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B73E" w14:textId="3BE8A132" w:rsidR="007E0475" w:rsidRDefault="007E0475" w:rsidP="00EF26F3">
      <w:pPr>
        <w:pStyle w:val="Title"/>
        <w:pBdr>
          <w:bottom w:val="none" w:sz="0" w:space="0" w:color="auto"/>
        </w:pBdr>
        <w:jc w:val="center"/>
        <w:rPr>
          <w:sz w:val="48"/>
          <w:szCs w:val="48"/>
        </w:rPr>
      </w:pPr>
    </w:p>
    <w:p w14:paraId="6F01A7FA" w14:textId="179B3BA1" w:rsidR="00D36BC1" w:rsidRPr="00EF26F3" w:rsidRDefault="00531CAC" w:rsidP="00EF26F3">
      <w:pPr>
        <w:pStyle w:val="Title"/>
        <w:pBdr>
          <w:bottom w:val="none" w:sz="0" w:space="0" w:color="auto"/>
        </w:pBdr>
        <w:jc w:val="center"/>
        <w:rPr>
          <w:sz w:val="48"/>
          <w:szCs w:val="48"/>
        </w:rPr>
      </w:pPr>
      <w:r>
        <w:rPr>
          <w:sz w:val="48"/>
          <w:szCs w:val="48"/>
        </w:rPr>
        <w:t>2017</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44746C2C" w:rsidR="006F4E8D" w:rsidRPr="00541DB1" w:rsidRDefault="001137A1" w:rsidP="006F4E8D">
      <w:pPr>
        <w:rPr>
          <w:rFonts w:ascii="SourceSansProRegular" w:hAnsi="SourceSansProRegular" w:cs="Helvetica"/>
          <w:i/>
          <w:color w:val="333333"/>
          <w:sz w:val="21"/>
          <w:szCs w:val="21"/>
        </w:rPr>
      </w:pPr>
      <w:r w:rsidRPr="00B56118">
        <w:t xml:space="preserve">On behalf of the Colorado Board of Education, the State Advisory Council for Parent Involvement in </w:t>
      </w:r>
      <w:r w:rsidRPr="00BC37CF">
        <w:t xml:space="preserve">Education (SACPIE) invites applications from candidates </w:t>
      </w:r>
      <w:r w:rsidR="00A92763" w:rsidRPr="00BC37CF">
        <w:t xml:space="preserve">to fill </w:t>
      </w:r>
      <w:r w:rsidR="00531CAC">
        <w:t xml:space="preserve">the vacancy of </w:t>
      </w:r>
      <w:r w:rsidR="00541DB1" w:rsidRPr="00541DB1">
        <w:rPr>
          <w:i/>
        </w:rPr>
        <w:t>a representative from a state-based nonprofit organization specializing in promoting the involvement of families of traditionally underserved populations.</w:t>
      </w:r>
      <w:bookmarkStart w:id="0" w:name="_GoBack"/>
      <w:bookmarkEnd w:id="0"/>
    </w:p>
    <w:p w14:paraId="1F569B7C" w14:textId="5B051FC5" w:rsidR="000631E3" w:rsidRPr="00C65860" w:rsidRDefault="00A92763" w:rsidP="006F4E8D">
      <w:r>
        <w:t xml:space="preserve"> </w:t>
      </w:r>
      <w:r w:rsidR="000F323A">
        <w:rPr>
          <w:noProof/>
        </w:rPr>
        <mc:AlternateContent>
          <mc:Choice Requires="wps">
            <w:drawing>
              <wp:anchor distT="0" distB="0" distL="114300" distR="114300" simplePos="0" relativeHeight="251660288" behindDoc="0" locked="0" layoutInCell="1" allowOverlap="1" wp14:anchorId="75322BE1" wp14:editId="1FF29B14">
                <wp:simplePos x="0" y="0"/>
                <wp:positionH relativeFrom="column">
                  <wp:posOffset>4183380</wp:posOffset>
                </wp:positionH>
                <wp:positionV relativeFrom="paragraph">
                  <wp:posOffset>381635</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4pt;margin-top:30.0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0ZjwIAALIFAAAOAAAAZHJzL2Uyb0RvYy54bWysVEtv2zAMvg/YfxB0X51kabIFdYqsRYcB&#10;RVusHXpWZKkRKouapMTOfv1I2UnTx6XDLjYlfqTIj4+T07a2bKNCNOBKPjwacKachMq4h5L/urv4&#10;9IWzmISrhAWnSr5VkZ/OP344afxMjWAFtlKBoRMXZ40v+SolPyuKKFeqFvEIvHKo1BBqkfAYHooq&#10;iAa917YYDQaTooFQ+QBSxYi3552Sz7N/rZVM11pHlZgtOcaW8jfk75K+xfxEzB6C8Csj+zDEP0RR&#10;C+Pw0b2rc5EEWwfzylVtZIAIOh1JqAvQ2kiVc8BshoMX2dyuhFc5FyQn+j1N8f+5lVebm8BMhbXj&#10;zIkaS3Sn2sS+QcuGxE7j4wxBtx5hqcVrQvb3ES8p6VaHmv6YDkM98rzdc0vOJF6OBtPJ+BhVEnXj&#10;8XQyPSY3xZO1DzF9V1AzEkoesHaZUrG5jKmD7iD0WARrqgtjbT5Qv6gzG9hGYKVTO+qdP0NZx5qS&#10;Tz5jGK88kOu9/dIK+fjaAwZrHVmq3Fl9WMRQx0SW0tYqwlj3U2lkNhPyRoxCSuVS5jL7RTShNGb0&#10;HsMe/xTVe4y7PHYvg0t749o4CB1Lz6mtHnch6w6PNTzIm8TULtu+Q5ZQbbFxAnSDF728MEj0pYjp&#10;RgScNGwI3B7pGj/aAlYHeomzFYQ/b90THgcAtZw1OLklj7/XIijO7A+Ho/F1OB7TqOfD+Hg6wkM4&#10;1CwPNW5dnwG2DLY/RpdFwie7E3WA+h6XzIJeRZVwEt/GHtuJZ6nbJ7ikpFosMgiH24t06W69JNdU&#10;HWqwu/ZeBN83eMLRuILdjIvZiz7vsGTpYLFOoE0eAiK4Y7UnHhdDHqN+idHmOTxn1NOqnf8FAAD/&#10;/wMAUEsDBBQABgAIAAAAIQBMcZTi3AAAAAoBAAAPAAAAZHJzL2Rvd25yZXYueG1sTI9NT8MwDIbv&#10;SPyHyEjcWFLQqlKaTgiJyzggxri7jWmrNU5psnX8e8wJbv549PpxtTn7UZ1ojkNgC9nKgCJugxu4&#10;s7B/f74pQMWE7HAMTBa+KcKmvryosHRh4Tc67VKnJIRjiRb6lKZS69j25DGuwkQsu88we0zSzp12&#10;My4S7kd9a0yuPQ4sF3qc6Kmn9rA7egsvzderX/a4PZhIW9flH76NmbXXV+fHB1CJzukPhl99UYda&#10;nJpwZBfVaCFfF6KepDAZKAHui7UMGiHvTA66rvT/F+ofAAAA//8DAFBLAQItABQABgAIAAAAIQC2&#10;gziS/gAAAOEBAAATAAAAAAAAAAAAAAAAAAAAAABbQ29udGVudF9UeXBlc10ueG1sUEsBAi0AFAAG&#10;AAgAAAAhADj9If/WAAAAlAEAAAsAAAAAAAAAAAAAAAAALwEAAF9yZWxzLy5yZWxzUEsBAi0AFAAG&#10;AAgAAAAhAKeW/RmPAgAAsgUAAA4AAAAAAAAAAAAAAAAALgIAAGRycy9lMm9Eb2MueG1sUEsBAi0A&#10;FAAGAAgAAAAhAExxlOLcAAAACgEAAA8AAAAAAAAAAAAAAAAA6Q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2C2C18" w:rsidRPr="0015798C">
        <w:rPr>
          <w:noProof/>
        </w:rPr>
        <mc:AlternateContent>
          <mc:Choice Requires="wpg">
            <w:drawing>
              <wp:anchor distT="0" distB="0" distL="114300" distR="114300" simplePos="0" relativeHeight="251659264" behindDoc="1" locked="0" layoutInCell="1" allowOverlap="1" wp14:anchorId="3CA6D24A" wp14:editId="6CDA24A0">
                <wp:simplePos x="0" y="0"/>
                <wp:positionH relativeFrom="page">
                  <wp:posOffset>4884420</wp:posOffset>
                </wp:positionH>
                <wp:positionV relativeFrom="page">
                  <wp:posOffset>3550920</wp:posOffset>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3350E828"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531CAC">
                                <w:rPr>
                                  <w:rFonts w:asciiTheme="minorHAnsi" w:eastAsiaTheme="minorHAnsi" w:hAnsiTheme="minorHAnsi" w:cstheme="minorBidi"/>
                                  <w:bCs w:val="0"/>
                                  <w:i/>
                                  <w:color w:val="auto"/>
                                  <w:sz w:val="22"/>
                                  <w:szCs w:val="22"/>
                                </w:rPr>
                                <w:t>September 1, 2017</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384.6pt;margin-top:279.6pt;width:194.95pt;height:265.8pt;z-index:-25165721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E8AMAAIIKAAAOAAAAZHJzL2Uyb0RvYy54bWy0VttuGzcQfS/QfyD4XksraSVZsBwITm0U&#10;cBMjTpFnisu9tFySJSmvnK/vcLhcS45iI5fqYUUuZ4Yzh3PO8uLNvpXkQVjXaLWm2dmYEqG4LhpV&#10;relfH69/W1LiPFMFk1qJNX0Ujr65/PWXi86sxETXWhbCEgii3Koza1p7b1ajkeO1aJk700YoWCy1&#10;bZmHqa1GhWUdRG/laDIez0edtoWxmgvn4O3buEgvMX5ZCu7fl6UTnsg1hdw8Pi0+t+E5urxgq8oy&#10;Uze8T4N9RxYtaxRsOoR6yzwjO9t8EaptuNVOl/6M63aky7LhAmuAarLxs2purN4ZrKVadZUZYAJo&#10;n+H03WH5u4c7S5piTWdTShRr4YxwWwJzAKcz1Qpsbqy5N3e2f1HFWah3X9o2/EMlZI+wPg6wir0n&#10;HF5OZot8Oc8p4bA2nS7y+bwHntdwOl/48fr3U57neZ7Plug5ShuPQn5DOp2BJnJPOLkfw+m+ZkYg&#10;/C5gkHCaJZw2O6/RhmSziBXaBaACJM7cav6PI0pf1UxVYmOt7mrBCkgrC/aQ/IFDmDhwJdvuT13A&#10;MTAIjz31zRifQoqtjHX+RuiWhMGaWuAGhmcPt86HdJ5MMH0tm+K6kRIngY/iSlrywIBJ2yoWAEUe&#10;WklFOqgtXy5yjHy0iJQ+DDFBG7lrodwYNh/DD5GBwGlHTOwgEqQpVcgJ2qtPPEEX2hVA9I9SBAOp&#10;PogSehv7MlZhq20oIgoA0AgkIckAxgWHYFhC2YNvNh7HVIeUYrbST/pce3NMCjVn8B1HHPjL+4rk&#10;hHtr5Qf/lv2t7dArfWWhSL/f7pG2eBDhzVYXj9A9VkeNA02GQa3tZ0o60Lc1df/umBWUyD9U6MDl&#10;ZAlkIh5ns3wBakqJPVrb4mwxzfIJJUxxiLamPg2vfIRxZ2xT1bBZhsUqHXhRNthST4n17Q70jKf0&#10;//N0nnj6ATodCCgFmc0DliEp4PMgaJF3AftnTFtk59k5JaBa59PxcrpEb2y8qGvTaQawRV3LsuVi&#10;lvcNkeL8RMoxzoXyX6FdyF3pQNbI40AQVJcgKF9nxcm2ThuFmK5mhXiNm0gz7Nwj1vSdf6QbKXbM&#10;8nXavOD8AmcaBZzB9JOGJMIm+MrIsQRSFIwjWiG1n7p3oJUz/LoB/bxlzt8xC3cFOP/AtffwKKUG&#10;/dP9iJLAvlPvv42biamnuDmd5wv4mBK1a680CHMGty3DcRjY7GUalla3n+CqtAmqAEuJzds0TGyG&#10;qxYXmw0awRXFMH+r7g1P7A4d/XH/iVnTf0Y8yPC7+BlEzJ99TaJt7M9XdQG/5nDRQcnvL2XhJnU4&#10;xzN7ujpe/gcAAP//AwBQSwMEFAAGAAgAAAAhAG1RgwjiAAAADQEAAA8AAABkcnMvZG93bnJldi54&#10;bWxMj8FqwzAMhu+DvYNRYbfVdke6Jo1TStl2KoO2g7Gbm6hJaCyH2E3St59z2m6/0MevT+lmNA3r&#10;sXO1JQVyLoAh5baoqVTwdXp/XgFzXlOhG0uo4I4ONtnjQ6qTwg50wP7oSxZKyCVaQeV9m3Du8gqN&#10;dnPbIoXdxXZG+zB2JS86PYRy0/CFEEtudE3hQqVb3FWYX483o+Bj0MP2Rb71++tld/85RZ/fe4lK&#10;Pc3G7RqYx9H/wTDpB3XIgtPZ3qhwrFHwuowXAVUQRVOYCBnFEtg5JBGLFfAs5f+/yH4BAAD//wMA&#10;UEsBAi0AFAAGAAgAAAAhALaDOJL+AAAA4QEAABMAAAAAAAAAAAAAAAAAAAAAAFtDb250ZW50X1R5&#10;cGVzXS54bWxQSwECLQAUAAYACAAAACEAOP0h/9YAAACUAQAACwAAAAAAAAAAAAAAAAAvAQAAX3Jl&#10;bHMvLnJlbHNQSwECLQAUAAYACAAAACEADzRYxPADAACCCgAADgAAAAAAAAAAAAAAAAAuAgAAZHJz&#10;L2Uyb0RvYy54bWxQSwECLQAUAAYACAAAACEAbVGDCOIAAAANAQAADwAAAAAAAAAAAAAAAABKBgAA&#10;ZHJzL2Rvd25yZXYueG1sUEsFBgAAAAAEAAQA8wAAAFk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3350E828"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531CAC">
                          <w:rPr>
                            <w:rFonts w:asciiTheme="minorHAnsi" w:eastAsiaTheme="minorHAnsi" w:hAnsiTheme="minorHAnsi" w:cstheme="minorBidi"/>
                            <w:bCs w:val="0"/>
                            <w:i/>
                            <w:color w:val="auto"/>
                            <w:sz w:val="22"/>
                            <w:szCs w:val="22"/>
                          </w:rPr>
                          <w:t>September 1, 2017</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10"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page"/>
              </v:group>
            </w:pict>
          </mc:Fallback>
        </mc:AlternateConten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 xml:space="preserve">artnerships, for increasing parent involvement in public education and promoting family and school partnerships in order to help improve the quality of public education and raise the level of students’ academic achievement </w:t>
      </w:r>
      <w:proofErr w:type="gramStart"/>
      <w:r w:rsidR="001137A1">
        <w:t>throughout</w:t>
      </w:r>
      <w:proofErr w:type="gramEnd"/>
      <w:r w:rsidR="001137A1">
        <w:t xml:space="preserve">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33DBE2B3" w:rsidR="001137A1" w:rsidRDefault="001137A1" w:rsidP="00112569">
      <w:pPr>
        <w:spacing w:after="0"/>
      </w:pPr>
      <w:r>
        <w:t>Membership a</w:t>
      </w:r>
      <w:r w:rsidR="0039723C">
        <w:t xml:space="preserve">ppointments will begin in </w:t>
      </w:r>
      <w:r w:rsidR="00531CAC">
        <w:t>November</w:t>
      </w:r>
      <w:r w:rsidR="00022153">
        <w:t xml:space="preserve"> 2017</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7CB4151" w:rsidR="003642AA" w:rsidRDefault="005C1F8F" w:rsidP="00402E76">
      <w:pPr>
        <w:spacing w:after="0"/>
      </w:pPr>
      <w:proofErr w:type="gramStart"/>
      <w:r>
        <w:rPr>
          <w:i/>
        </w:rPr>
        <w:t>Time Commitment.</w:t>
      </w:r>
      <w:proofErr w:type="gramEnd"/>
      <w:r>
        <w:rPr>
          <w:i/>
        </w:rPr>
        <w:t xml:space="preserve">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3642AA" w:rsidRPr="004A2659">
        <w:t xml:space="preserve"> from </w:t>
      </w:r>
      <w:r w:rsidR="00A92763">
        <w:t>1</w:t>
      </w:r>
      <w:r w:rsidR="00687C81">
        <w:t>1:00 a</w:t>
      </w:r>
      <w:r w:rsidR="003642AA" w:rsidRPr="004A2659">
        <w:t xml:space="preserve">.m. – </w:t>
      </w:r>
      <w:r w:rsidR="007E0475" w:rsidRPr="004A2659">
        <w:t>3</w:t>
      </w:r>
      <w:r w:rsidR="003642AA" w:rsidRPr="004A2659">
        <w:t>:00 p.m.</w:t>
      </w:r>
      <w:r w:rsidR="007E0475" w:rsidRPr="004A2659">
        <w:t xml:space="preserve"> </w:t>
      </w:r>
    </w:p>
    <w:p w14:paraId="1CD8C6F0" w14:textId="77777777" w:rsidR="00402E76" w:rsidRDefault="00402E76" w:rsidP="00402E76">
      <w:pPr>
        <w:spacing w:after="0"/>
      </w:pPr>
    </w:p>
    <w:p w14:paraId="4354B62F" w14:textId="77777777" w:rsidR="00402E76" w:rsidRDefault="00402E76" w:rsidP="00402E76">
      <w:pPr>
        <w:spacing w:after="0"/>
      </w:pPr>
      <w:r>
        <w:t xml:space="preserve">Members are also expected to serve on one of four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77777777" w:rsidR="00402E76" w:rsidRPr="00352D36" w:rsidRDefault="00CF42A7" w:rsidP="00402E76">
      <w:pPr>
        <w:pStyle w:val="ListParagraph"/>
        <w:numPr>
          <w:ilvl w:val="0"/>
          <w:numId w:val="12"/>
        </w:numPr>
        <w:spacing w:after="0" w:line="240" w:lineRule="auto"/>
        <w:ind w:left="720"/>
      </w:pPr>
      <w:r w:rsidRPr="006C4A49">
        <w:rPr>
          <w:b/>
          <w:noProof/>
          <w:sz w:val="18"/>
          <w:szCs w:val="18"/>
        </w:rPr>
        <w:lastRenderedPageBreak/>
        <mc:AlternateContent>
          <mc:Choice Requires="wps">
            <w:drawing>
              <wp:anchor distT="0" distB="0" distL="114300" distR="114300" simplePos="0" relativeHeight="251664384" behindDoc="0" locked="0" layoutInCell="1" allowOverlap="1" wp14:anchorId="0A4B91C5" wp14:editId="1023F7CE">
                <wp:simplePos x="0" y="0"/>
                <wp:positionH relativeFrom="column">
                  <wp:posOffset>-707390</wp:posOffset>
                </wp:positionH>
                <wp:positionV relativeFrom="page">
                  <wp:posOffset>627380</wp:posOffset>
                </wp:positionV>
                <wp:extent cx="587375" cy="870585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7pt;margin-top:49.4pt;width:46.25pt;height:6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C0iQIAABkFAAAOAAAAZHJzL2Uyb0RvYy54bWysVNuO2yAQfa/Uf0C8Z32pvb5ondXupqkq&#10;bS/Sbj+AAI5RbaBAYq+q/nsHnKTptpWqqn7ADAzDmTlnuLqehh7tubFCyQYnFzFGXFLFhNw2+NPj&#10;elFiZB2RjPRK8gY/cYuvly9fXI265qnqVM+4QRBE2nrUDe6c03UUWdrxgdgLpbmEzVaZgTgwzTZi&#10;howQfeijNI4vo1EZpo2i3FpYXc2beBnity2n7kPbWu5Q32DA5sJowrjxY7S8IvXWEN0JeoBB/gHF&#10;QISES0+hVsQRtDPil1CDoEZZ1boLqoZIta2gPOQA2STxs2weOqJ5yAWKY/WpTPb/haXv9x8NEqzB&#10;OUaSDEDRI58culUTSn11Rm1rcHrQ4OYmWAaWQ6ZW3yv62SKp7joit/zGGDV2nDBAl/iT0dnROY71&#10;QTbjO8XgGrJzKgSaWjP40kExEEQHlp5OzHgoFBbzsnhVAEIKW2UR52UeqItIfTytjXVvuBqQnzTY&#10;APMhOtnfW+fRkPro4i+zqhdsLfo+GGa7uesN2hNQyassX5WrkMAzt156Z6n8sTnivAIg4Q6/5+EG&#10;1r9WSZrFt2m1WF+WxSJbZ/miKuJyESfVbXUZZ1W2Wn/zAJOs7gRjXN4LyY8KTLK/Y/jQC7N2ggbR&#10;2OAqT/OZoj8mGYfvd0kOwkFD9mKAQp+cSO2JfS0ZpE1qR0Q/z6Of4YcqQw2O/1CVIAPP/KwBN22m&#10;oLfsqK6NYk+gC6OANiAfHhOY+DEtwByhNxtsv+yI4Rj1byXIq0qyzDdzMLK8SMEw5zub8x0iaaeg&#10;5R1G8/TOzQ/AThux7eCyWdBS3YAkWxHU4rU7AzsIGfovpHV4K3yDn9vB68eLtvwOAAD//wMAUEsD&#10;BBQABgAIAAAAIQC3/qwa3wAAAAwBAAAPAAAAZHJzL2Rvd25yZXYueG1sTI9BT4NAEIXvJv6HzTTx&#10;Rhe0qUBZGtOIid5s9b5lp0DKzhJ2W+i/dzzpcTJf3vtesZ1tL644+s6RgmQZg0CqnemoUfB1qKIU&#10;hA+ajO4doYIbetiW93eFzo2b6BOv+9AIDiGfawVtCEMupa9btNov3YDEv5MbrQ58jo00o5443Pby&#10;MY7X0uqOuKHVA+5arM/7i1XwXj1P7vtUvbnXw3CWH7i72adOqYfF/LIBEXAOfzD86rM6lOx0dBcy&#10;XvQKoiRJVswqyFLewESUpBmII6OrdZaCLAv5f0T5AwAA//8DAFBLAQItABQABgAIAAAAIQC2gziS&#10;/gAAAOEBAAATAAAAAAAAAAAAAAAAAAAAAABbQ29udGVudF9UeXBlc10ueG1sUEsBAi0AFAAGAAgA&#10;AAAhADj9If/WAAAAlAEAAAsAAAAAAAAAAAAAAAAALwEAAF9yZWxzLy5yZWxzUEsBAi0AFAAGAAgA&#10;AAAhANf2wLSJAgAAGQUAAA4AAAAAAAAAAAAAAAAALgIAAGRycy9lMm9Eb2MueG1sUEsBAi0AFAAG&#10;AAgAAAAhALf+rBrfAAAADAEAAA8AAAAAAAAAAAAAAAAA4wQAAGRycy9kb3ducmV2LnhtbFBLBQYA&#10;AAAABAAEAPMAAADvBQAAAAA=&#10;" fillcolor="#345d8d" stroked="f">
                <v:textbox style="layout-flow:vertical;mso-layout-flow-alt:bottom-to-top">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402E76" w:rsidRPr="007E0475">
        <w:rPr>
          <w:bCs/>
          <w:u w:val="single"/>
        </w:rPr>
        <w:t>Early Childhood:</w:t>
      </w:r>
      <w:r w:rsidR="00402E76" w:rsidRPr="007E0475">
        <w:rPr>
          <w:b/>
          <w:bCs/>
        </w:rPr>
        <w:t xml:space="preserve"> </w:t>
      </w:r>
      <w:r w:rsidR="00402E76" w:rsidRPr="00352D36">
        <w:t>To identify and communicate with Colorado early childhood councils and networks regarding partnerships and resources</w:t>
      </w:r>
      <w:r w:rsidR="00402E76">
        <w:t>.</w:t>
      </w:r>
    </w:p>
    <w:p w14:paraId="1DAA76D0" w14:textId="0C66766E" w:rsidR="00402E76" w:rsidRDefault="00DD475D" w:rsidP="00402E76">
      <w:pPr>
        <w:pStyle w:val="ListParagraph"/>
        <w:numPr>
          <w:ilvl w:val="0"/>
          <w:numId w:val="12"/>
        </w:numPr>
        <w:spacing w:after="0" w:line="240" w:lineRule="auto"/>
        <w:ind w:left="720"/>
      </w:pPr>
      <w:r w:rsidRPr="006C4A49">
        <w:rPr>
          <w:b/>
          <w:noProof/>
          <w:sz w:val="18"/>
          <w:szCs w:val="18"/>
        </w:rPr>
        <mc:AlternateContent>
          <mc:Choice Requires="wps">
            <w:drawing>
              <wp:anchor distT="0" distB="0" distL="114300" distR="114300" simplePos="0" relativeHeight="251668480" behindDoc="0" locked="0" layoutInCell="1" allowOverlap="1" wp14:anchorId="51DA1262" wp14:editId="65216624">
                <wp:simplePos x="0" y="0"/>
                <wp:positionH relativeFrom="column">
                  <wp:posOffset>-654050</wp:posOffset>
                </wp:positionH>
                <wp:positionV relativeFrom="page">
                  <wp:posOffset>779780</wp:posOffset>
                </wp:positionV>
                <wp:extent cx="587375" cy="870585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81BFB"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5pt;margin-top:61.4pt;width:46.25pt;height:6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m7igIAABkFAAAOAAAAZHJzL2Uyb0RvYy54bWysVNuO2yAQfa/Uf0C8Z31Ze33ROqvupqkq&#10;bS/Sbj+AAI5RMbhAYq+q/nsHnKTptpWqqn7ADAyHmTlnuL6Zeon23FihVYOTixgjrqhmQm0b/Olx&#10;vSgxso4oRqRWvMFP3OKb5csX1+NQ81R3WjJuEIAoW49DgzvnhjqKLO14T+yFHriCzVabnjgwzTZi&#10;hoyA3ssojeOraNSGDUZTbi2sruZNvAz4bcup+9C2ljskGwyxuTCaMG78GC2vSb01ZOgEPYRB/iGK&#10;nggFl56gVsQRtDPiF6heUKOtbt0F1X2k21ZQHnKAbJL4WTYPHRl4yAWKY4dTmez/g6Xv9x8NEqzB&#10;lxgp0gNFj3xy6FZPKPXVGQdbg9PDAG5ugmVgOWRqh3tNP1uk9F1H1Ja/MkaPHScMokv8yejs6Ixj&#10;PchmfKcZXEN2TgegqTW9Lx0UAwE6sPR0YsaHQmExL4vLIseIwlZZxHmZB+oiUh9PD8a6N1z3yE8a&#10;bID5gE7299b5aEh9dPGXWS0FWwspg2G2mztp0J6ASi6zfFWuQgLP3KTyzkr7YzPivAJBwh1+z4cb&#10;WP9aJWkW36bVYn1VFotsneWLqojLRZxUt9VVnFXZav3NB5hkdScY4+peKH5UYJL9HcOHXpi1EzSI&#10;xgZXeZrPFP0xyTh8v0uyFw4aUooeCn1yIrUn9rVikDapHRFynkc/hx+qDDU4/kNVggw887MG3LSZ&#10;gt6yo7o2mj2BLowG2oB8eExg4se0AHOE3myw/bIjhmMk3yqQV5VkmW/mYGR5kYJhznc25ztE0U5D&#10;yzuM5umdmx+A3WDEtoPLZkEr/Qok2YqgFq/dObCDkKH/QlqHt8I3+LkdvH68aMvvAAAA//8DAFBL&#10;AwQUAAYACAAAACEAQse2RN8AAAANAQAADwAAAGRycy9kb3ducmV2LnhtbEyPwW7CMBBE75X4B2uR&#10;egOHpAWaxkEVairRW6G9m3hJIuJ1FBsS/r7LqT3uzGh2XrYZbSuu2PvGkYLFPAKBVDrTUKXg+1DM&#10;1iB80GR06wgV3NDDJp88ZDo1bqAvvO5DJbiEfKoV1CF0qZS+rNFqP3cdEnsn11sd+OwraXo9cLlt&#10;ZRxFS2l1Q/yh1h1uayzP+4tVsCtWg/s5FR/u/dCd5SdubzZplHqcjm+vIAKO4S8M9/k8HXLedHQX&#10;Ml60CmaLKGGYwE4cMwRHWHoGcWTl6SVZg8wz+Z8i/wUAAP//AwBQSwECLQAUAAYACAAAACEAtoM4&#10;kv4AAADhAQAAEwAAAAAAAAAAAAAAAAAAAAAAW0NvbnRlbnRfVHlwZXNdLnhtbFBLAQItABQABgAI&#10;AAAAIQA4/SH/1gAAAJQBAAALAAAAAAAAAAAAAAAAAC8BAABfcmVscy8ucmVsc1BLAQItABQABgAI&#10;AAAAIQCIDhm7igIAABkFAAAOAAAAAAAAAAAAAAAAAC4CAABkcnMvZTJvRG9jLnhtbFBLAQItABQA&#10;BgAIAAAAIQBCx7ZE3wAAAA0BAAAPAAAAAAAAAAAAAAAAAOQEAABkcnMvZG93bnJldi54bWxQSwUG&#10;AAAAAAQABADzAAAA8AUAAAAA&#10;" fillcolor="#345d8d" stroked="f">
                <v:textbox style="layout-flow:vertical;mso-layout-flow-alt:bottom-to-top">
                  <w:txbxContent>
                    <w:p w14:paraId="7F481BFB"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687C81">
        <w:rPr>
          <w:bCs/>
          <w:u w:val="single"/>
        </w:rPr>
        <w:t>Elementary</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BD39A2">
        <w:t xml:space="preserve"> at the elementary level (grades K-5/6)</w:t>
      </w:r>
      <w:r w:rsidR="007E0475">
        <w:t>.</w:t>
      </w:r>
    </w:p>
    <w:p w14:paraId="5898CB8A" w14:textId="53D4FA10" w:rsidR="00BD39A2" w:rsidRPr="00352D36" w:rsidRDefault="00BD39A2" w:rsidP="00BD39A2">
      <w:pPr>
        <w:pStyle w:val="ListParagraph"/>
        <w:numPr>
          <w:ilvl w:val="0"/>
          <w:numId w:val="12"/>
        </w:numPr>
        <w:spacing w:after="0" w:line="240" w:lineRule="auto"/>
        <w:ind w:left="720"/>
      </w:pPr>
      <w:r>
        <w:rPr>
          <w:bCs/>
          <w:u w:val="single"/>
        </w:rPr>
        <w:t>Secondary</w:t>
      </w:r>
      <w:r w:rsidRPr="00352D36">
        <w:rPr>
          <w:bCs/>
          <w:u w:val="single"/>
        </w:rPr>
        <w:t>:</w:t>
      </w:r>
      <w:r w:rsidRPr="00352D36">
        <w:t xml:space="preserve"> To work with CDE in supporting di</w:t>
      </w:r>
      <w:r>
        <w:t>stricts to enact accountability</w:t>
      </w:r>
      <w:r w:rsidRPr="00352D36">
        <w:t xml:space="preserve"> requirements, regional trainings, indicators,</w:t>
      </w:r>
      <w:r>
        <w:t xml:space="preserve"> and </w:t>
      </w:r>
      <w:r w:rsidRPr="00352D36">
        <w:t>policies</w:t>
      </w:r>
      <w:r>
        <w:t xml:space="preserve"> at the elementary level (grades 6/7-12).</w:t>
      </w:r>
    </w:p>
    <w:p w14:paraId="2F9CCEDF" w14:textId="77777777" w:rsidR="00402E76" w:rsidRPr="00352D36" w:rsidRDefault="00402E76" w:rsidP="00402E76">
      <w:pPr>
        <w:pStyle w:val="ListParagraph"/>
        <w:numPr>
          <w:ilvl w:val="0"/>
          <w:numId w:val="12"/>
        </w:numPr>
        <w:spacing w:after="0" w:line="240" w:lineRule="auto"/>
        <w:ind w:left="720"/>
      </w:pPr>
      <w:r w:rsidRPr="00352D36">
        <w:rPr>
          <w:bCs/>
          <w:u w:val="single"/>
        </w:rPr>
        <w:t>Higher Education:</w:t>
      </w:r>
      <w:r w:rsidRPr="00352D36">
        <w:rPr>
          <w:b/>
          <w:bCs/>
        </w:rPr>
        <w:t xml:space="preserve"> </w:t>
      </w:r>
      <w:r w:rsidRPr="00352D36">
        <w:t>To communicate with the Colorado higher education community regarding partnerships, resources, and measures; to support the implementation of SACPIE’s Additional 7</w:t>
      </w:r>
      <w:r w:rsidRPr="00352D36">
        <w:rPr>
          <w:vertAlign w:val="superscript"/>
        </w:rPr>
        <w:t>th</w:t>
      </w:r>
      <w:r w:rsidRPr="00352D36">
        <w:t xml:space="preserve"> Standard – </w:t>
      </w:r>
      <w:r w:rsidRPr="00352D36">
        <w:rPr>
          <w:i/>
          <w:iCs/>
        </w:rPr>
        <w:t>Providing professional development and pre-service training for teachers and administrators</w:t>
      </w:r>
      <w:r>
        <w:rPr>
          <w:i/>
          <w:iCs/>
        </w:rPr>
        <w:t>.</w:t>
      </w:r>
    </w:p>
    <w:p w14:paraId="3161CDB4" w14:textId="6E399784" w:rsidR="005C1F8F" w:rsidRPr="0032249D" w:rsidRDefault="00AA376C" w:rsidP="005C1F8F">
      <w:pPr>
        <w:pStyle w:val="NormalWeb"/>
        <w:rPr>
          <w:rFonts w:asciiTheme="minorHAnsi" w:hAnsiTheme="minorHAnsi" w:cs="Tahoma"/>
          <w:color w:val="000000"/>
          <w:sz w:val="22"/>
          <w:szCs w:val="22"/>
        </w:rPr>
      </w:pPr>
      <w:proofErr w:type="gramStart"/>
      <w:r w:rsidRPr="0032249D">
        <w:rPr>
          <w:rFonts w:asciiTheme="minorHAnsi" w:eastAsia="Calibri" w:hAnsiTheme="minorHAnsi"/>
          <w:i/>
          <w:sz w:val="22"/>
          <w:szCs w:val="22"/>
        </w:rPr>
        <w:t>Compensation.</w:t>
      </w:r>
      <w:proofErr w:type="gramEnd"/>
      <w:r w:rsidRPr="0032249D">
        <w:rPr>
          <w:rFonts w:asciiTheme="minorHAnsi" w:eastAsia="Calibri" w:hAnsiTheme="minorHAnsi"/>
          <w:sz w:val="22"/>
          <w:szCs w:val="22"/>
        </w:rPr>
        <w:t xml:space="preserve">  </w:t>
      </w:r>
      <w:r w:rsidR="005C1F8F" w:rsidRPr="0032249D">
        <w:rPr>
          <w:rFonts w:asciiTheme="minorHAnsi" w:eastAsia="Calibri" w:hAnsiTheme="minorHAnsi"/>
          <w:sz w:val="22"/>
          <w:szCs w:val="22"/>
        </w:rPr>
        <w:t xml:space="preserve">SACPIE members can be reimbursed for </w:t>
      </w:r>
      <w:r w:rsidR="005C1F8F" w:rsidRPr="0032249D">
        <w:rPr>
          <w:rFonts w:asciiTheme="minorHAnsi" w:hAnsiTheme="minorHAnsi" w:cs="Tahoma"/>
          <w:color w:val="000000"/>
          <w:sz w:val="22"/>
          <w:szCs w:val="22"/>
        </w:rPr>
        <w:t>mileage and meals (related to SACPIE business) and some required activities (e.g., trainings for the field).</w:t>
      </w:r>
    </w:p>
    <w:p w14:paraId="101D4D0F" w14:textId="6750709B" w:rsidR="00FD6133" w:rsidRPr="0032249D" w:rsidRDefault="005C1F8F" w:rsidP="005C1F8F">
      <w:pPr>
        <w:pStyle w:val="NormalWeb"/>
        <w:rPr>
          <w:sz w:val="22"/>
          <w:szCs w:val="22"/>
        </w:rPr>
      </w:pPr>
      <w:r w:rsidRPr="0032249D">
        <w:rPr>
          <w:rFonts w:ascii="Tahoma" w:hAnsi="Tahoma" w:cs="Tahoma"/>
          <w:color w:val="000000"/>
          <w:sz w:val="22"/>
          <w:szCs w:val="22"/>
        </w:rPr>
        <w:t> </w:t>
      </w:r>
      <w:proofErr w:type="gramStart"/>
      <w:r w:rsidR="00AA376C" w:rsidRPr="0032249D">
        <w:rPr>
          <w:rFonts w:asciiTheme="minorHAnsi" w:hAnsiTheme="minorHAnsi"/>
          <w:i/>
          <w:sz w:val="22"/>
          <w:szCs w:val="22"/>
        </w:rPr>
        <w:t>Application Process.</w:t>
      </w:r>
      <w:proofErr w:type="gramEnd"/>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F47A9D">
        <w:rPr>
          <w:rFonts w:asciiTheme="minorHAnsi" w:hAnsiTheme="minorHAnsi"/>
          <w:sz w:val="22"/>
          <w:szCs w:val="22"/>
        </w:rPr>
        <w:t xml:space="preserve">by </w:t>
      </w:r>
      <w:r w:rsidR="008B0BCB">
        <w:rPr>
          <w:rFonts w:asciiTheme="minorHAnsi" w:hAnsiTheme="minorHAnsi"/>
          <w:sz w:val="22"/>
          <w:szCs w:val="22"/>
        </w:rPr>
        <w:t>September 1</w:t>
      </w:r>
      <w:r w:rsidR="008B0BCB" w:rsidRPr="008B0BCB">
        <w:rPr>
          <w:rFonts w:asciiTheme="minorHAnsi" w:hAnsiTheme="minorHAnsi"/>
          <w:sz w:val="22"/>
          <w:szCs w:val="22"/>
          <w:vertAlign w:val="superscript"/>
        </w:rPr>
        <w:t>st</w:t>
      </w:r>
      <w:r w:rsidR="008B0BCB">
        <w:rPr>
          <w:rFonts w:asciiTheme="minorHAnsi" w:hAnsiTheme="minorHAnsi"/>
          <w:sz w:val="22"/>
          <w:szCs w:val="22"/>
        </w:rPr>
        <w:t>, 2017</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1"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2"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77777777" w:rsidR="00AA376C" w:rsidRDefault="007E0475" w:rsidP="00AA376C">
      <w:pPr>
        <w:pStyle w:val="Heading2"/>
        <w:jc w:val="center"/>
      </w:pPr>
      <w:r w:rsidRPr="004A2659">
        <w:rPr>
          <w:b w:val="0"/>
          <w:noProof/>
          <w:sz w:val="18"/>
          <w:szCs w:val="18"/>
        </w:rPr>
        <w:lastRenderedPageBreak/>
        <mc:AlternateContent>
          <mc:Choice Requires="wps">
            <w:drawing>
              <wp:anchor distT="0" distB="0" distL="114300" distR="114300" simplePos="0" relativeHeight="251666432" behindDoc="0" locked="0" layoutInCell="1" allowOverlap="1" wp14:anchorId="4EE64704" wp14:editId="733F5298">
                <wp:simplePos x="0" y="0"/>
                <wp:positionH relativeFrom="column">
                  <wp:posOffset>-685800</wp:posOffset>
                </wp:positionH>
                <wp:positionV relativeFrom="page">
                  <wp:posOffset>571500</wp:posOffset>
                </wp:positionV>
                <wp:extent cx="587375" cy="87058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pt;margin-top:45pt;width:46.25pt;height:6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3LigIAABkFAAAOAAAAZHJzL2Uyb0RvYy54bWysVNuO2yAQfa/Uf0C8Z32pvb5ondXupqkq&#10;bS/Sbj+AGByjYqBAYq+q/nsHnKTptpWqqn7ADAyHmTlnuLqeBoH2zFiuZIOTixgjJltFudw2+NPj&#10;elFiZB2RlAglWYOfmMXXy5cvrkZds1T1SlBmEIBIW4+6wb1zuo4i2/ZsIPZCaSZhs1NmIA5Ms42o&#10;ISOgDyJK4/gyGpWh2qiWWQurq3kTLwN+17HWfeg6yxwSDYbYXBhNGDd+jJZXpN4aonveHsIg/xDF&#10;QLiES09QK+II2hn+C9TAW6Os6txFq4ZIdR1vWcgBskniZ9k89ESzkAsUx+pTmez/g23f7z8axGmD&#10;C4wkGYCiRzY5dKsmlPrqjNrW4PSgwc1NsAwsh0ytvlftZ4ukuuuJ3LIbY9TYM0IhusSfjM6OzjjW&#10;g2zGd4rCNWTnVACaOjP40kExEKADS08nZnwoLSzmZfGqyDFqYass4rzMA3URqY+ntbHuDVMD8pMG&#10;G2A+oJP9vXU+GlIfXfxlVglO11yIYJjt5k4YtCegkldZvipXIYFnbkJ6Z6n8sRlxXoEg4Q6/58MN&#10;rH+tkjSLb9Nqsb4si0W2zvJFVcTlIk6q2+oyzqpstf7mA0yyuueUMnnPJTsqMMn+juFDL8zaCRpE&#10;Y4OrPM1niv6YZBy+3yU5cAcNKfgAhT45kdoT+1pSSJvUjnAxz6Ofww9Vhhoc/6EqQQae+VkDbtpM&#10;QW/5UV0bRZ9AF0YBbUA+PCYw8WNagDlCbzbYftkRwzASbyXIq0qyzDdzMLK8SMEw5zub8x0i215B&#10;yzuM5umdmx+AnTZ828Nls6ClugFJdjyoxWt3DuwgZOi/kNbhrfANfm4Hrx8v2vI7AAAA//8DAFBL&#10;AwQUAAYACAAAACEA2Zb+oeAAAAAMAQAADwAAAGRycy9kb3ducmV2LnhtbEyPwU7DMAyG70i8Q2Qk&#10;bl1SYGMrTSc0USS4sbF71nhttcapmmzt3h5zgpNl+dPv78/Xk+vEBYfQetKQzhQIpMrblmoN37sy&#10;WYII0ZA1nSfUcMUA6+L2JjeZ9SN94WUba8EhFDKjoYmxz6QMVYPOhJnvkfh29IMzkdehlnYwI4e7&#10;Tj4otZDOtMQfGtPjpsHqtD07DR/l8+j3x/Ldv+36k/zEzdU9tlrf302vLyAiTvEPhl99VoeCnQ7+&#10;TDaITkOSqiWXiRpWiicTSTqfgzgw+rRIFcgil/9LFD8AAAD//wMAUEsBAi0AFAAGAAgAAAAhALaD&#10;OJL+AAAA4QEAABMAAAAAAAAAAAAAAAAAAAAAAFtDb250ZW50X1R5cGVzXS54bWxQSwECLQAUAAYA&#10;CAAAACEAOP0h/9YAAACUAQAACwAAAAAAAAAAAAAAAAAvAQAAX3JlbHMvLnJlbHNQSwECLQAUAAYA&#10;CAAAACEAdmfdy4oCAAAZBQAADgAAAAAAAAAAAAAAAAAuAgAAZHJzL2Uyb0RvYy54bWxQSwECLQAU&#10;AAYACAAAACEA2Zb+oeAAAAAMAQAADwAAAAAAAAAAAAAAAADkBAAAZHJzL2Rvd25yZXYueG1sUEsF&#10;BgAAAAAEAAQA8wAAAPEFAAAAAA==&#10;" fillcolor="#345d8d" stroked="f">
                <v:textbox style="layout-flow:vertical;mso-layout-flow-alt:bottom-to-top">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AA376C">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77777777" w:rsidR="00D36BC1" w:rsidRDefault="00E63C99">
            <w:r>
              <w:t>Gender:</w:t>
            </w:r>
          </w:p>
        </w:tc>
        <w:tc>
          <w:tcPr>
            <w:tcW w:w="5760" w:type="dxa"/>
          </w:tcPr>
          <w:p w14:paraId="4825F12F" w14:textId="77777777" w:rsidR="00D36BC1" w:rsidRDefault="00D36BC1"/>
        </w:tc>
      </w:tr>
      <w:tr w:rsidR="007E0475" w14:paraId="79625F99" w14:textId="77777777" w:rsidTr="00B24276">
        <w:tc>
          <w:tcPr>
            <w:tcW w:w="1620" w:type="dxa"/>
          </w:tcPr>
          <w:p w14:paraId="5AE80779" w14:textId="77777777" w:rsidR="00E63C99" w:rsidRDefault="00E63C99">
            <w:r>
              <w:t>Ethnicity:</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383DD433" w:rsidR="00ED78D5" w:rsidRDefault="00DD475D" w:rsidP="006F4836">
      <w:pPr>
        <w:pStyle w:val="Heading2"/>
      </w:pPr>
      <w:r w:rsidRPr="004A2659">
        <w:rPr>
          <w:b w:val="0"/>
          <w:noProof/>
          <w:sz w:val="18"/>
          <w:szCs w:val="18"/>
        </w:rPr>
        <w:lastRenderedPageBreak/>
        <mc:AlternateContent>
          <mc:Choice Requires="wps">
            <w:drawing>
              <wp:anchor distT="0" distB="0" distL="114300" distR="114300" simplePos="0" relativeHeight="251670528" behindDoc="0" locked="0" layoutInCell="1" allowOverlap="1" wp14:anchorId="06BC2919" wp14:editId="3FF5774B">
                <wp:simplePos x="0" y="0"/>
                <wp:positionH relativeFrom="column">
                  <wp:posOffset>-662940</wp:posOffset>
                </wp:positionH>
                <wp:positionV relativeFrom="page">
                  <wp:posOffset>723900</wp:posOffset>
                </wp:positionV>
                <wp:extent cx="587375" cy="870585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73A3A"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2pt;margin-top:57pt;width:46.25pt;height:6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avigIAABkFAAAOAAAAZHJzL2Uyb0RvYy54bWysVNuO2yAQfa/Uf0C8Z31ZO74ozmqzaapK&#10;24u02w8gGMeoGFwgsVfV/nsHnKTptpWqqn7ADAyHmTlnWNyMnUAHpg1XssLRVYgRk1TVXO4q/Plx&#10;M8sxMpbImgglWYWfmME3y9evFkNfsli1StRMIwCRphz6CrfW9mUQGNqyjpgr1TMJm43SHbFg6l1Q&#10;azIAeieCOAznwaB03WtFmTGwup428dLjNw2j9mPTGGaRqDDEZv2o/bh1Y7BckHKnSd9yegyD/EMU&#10;HeESLj1DrYklaK/5L1Adp1oZ1dgrqrpANQ2nzOcA2UThi2weWtIznwsUx/TnMpn/B0s/HD5pxOsK&#10;JxhJ0gFFj2y0aKVGFLvqDL0pwemhBzc7wjKw7DM1/b2iXwyS6q4lcsdutVZDy0gN0UXuZHBxdMIx&#10;DmQ7vFc1XEP2VnmgsdGdKx0UAwE6sPR0ZsaFQmExzbPrLMWIwlaehWmeeuoCUp5O99rYt0x1yE0q&#10;rIF5j04O98a6aEh5cnGXGSV4veFCeEPvtndCowMBlVwn6Tpf+wReuAnpnKVyxybEaQWChDvcngvX&#10;s/6tiOIkXMXFbDPPs1mySdJZkYX5LIyKVTEPkyJZb55dgFFStryumbznkp0UGCV/x/CxFybteA2i&#10;ocJFGqcTRX9MMvTf75LsuIWGFLyDQp+dSOmIfSNrSJuUlnAxzYOfw/dVhhqc/r4qXgaO+UkDdtyO&#10;Xm/zk7q2qn4CXWgFtAH58JjAxI1xBuYAvVlh83VPNMNIvJMgryJKEtfM3kjSLAZDX+5sL3eIpK2C&#10;lrcYTdM7Oz0A+17zXQuXTYKW6hYk2XCvFqfdKbCjkKH/fFrHt8I1+KXtvX68aMvvAAAA//8DAFBL&#10;AwQUAAYACAAAACEAn1gmvOAAAAANAQAADwAAAGRycy9kb3ducmV2LnhtbEyPwU7DMBBE70j8g7VI&#10;3FI7EKCEOBWqCBK90cLdjbdJ1HgdxW6T/j3LCY478zQ7U6xm14szjqHzpCFdKBBItbcdNRq+dlWy&#10;BBGiIWt6T6jhggFW5fVVYXLrJ/rE8zY2gkMo5EZDG+OQSxnqFp0JCz8gsXfwozORz7GRdjQTh7te&#10;3in1KJ3piD+0ZsB1i/Vxe3IaPqqnyX8fqnf/thuOcoPri7vvtL69mV9fQESc4x8Mv/W5OpTcae9P&#10;ZIPoNSSpyjJm2UkzXsVIkqbPIPasZMsHBbIs5P8V5Q8AAAD//wMAUEsBAi0AFAAGAAgAAAAhALaD&#10;OJL+AAAA4QEAABMAAAAAAAAAAAAAAAAAAAAAAFtDb250ZW50X1R5cGVzXS54bWxQSwECLQAUAAYA&#10;CAAAACEAOP0h/9YAAACUAQAACwAAAAAAAAAAAAAAAAAvAQAAX3JlbHMvLnJlbHNQSwECLQAUAAYA&#10;CAAAACEAxVJ2r4oCAAAZBQAADgAAAAAAAAAAAAAAAAAuAgAAZHJzL2Uyb0RvYy54bWxQSwECLQAU&#10;AAYACAAAACEAn1gmvOAAAAANAQAADwAAAAAAAAAAAAAAAADkBAAAZHJzL2Rvd25yZXYueG1sUEsF&#10;BgAAAAAEAAQA8wAAAPEFAAAAAA==&#10;" fillcolor="#345d8d" stroked="f">
                <v:textbox style="layout-flow:vertical;mso-layout-flow-alt:bottom-to-top">
                  <w:txbxContent>
                    <w:p w14:paraId="62573A3A"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3"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676B2F74" w:rsidR="00B73E6F" w:rsidRDefault="00B73E6F" w:rsidP="00CE73AE">
      <w:pPr>
        <w:spacing w:after="0" w:line="240" w:lineRule="auto"/>
        <w:ind w:firstLine="720"/>
      </w:pPr>
      <w:r>
        <w:t>201 E. Colfax, Ro</w:t>
      </w:r>
      <w:r w:rsidR="00E06D75">
        <w:t>om 401</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0A71FCB3" w:rsidR="0017348A" w:rsidRDefault="00F47A9D" w:rsidP="0017348A">
      <w:pPr>
        <w:spacing w:line="240" w:lineRule="auto"/>
      </w:pPr>
      <w:r>
        <w:rPr>
          <w:u w:val="single"/>
        </w:rPr>
        <w:t xml:space="preserve">All applications and supporting material must be received at the email or U.S. mail address above no later than 5:00 p.m. </w:t>
      </w:r>
      <w:r w:rsidR="008B0BCB">
        <w:rPr>
          <w:u w:val="single"/>
        </w:rPr>
        <w:t>September 1</w:t>
      </w:r>
      <w:r w:rsidR="00587FB7">
        <w:rPr>
          <w:u w:val="single"/>
        </w:rPr>
        <w:t>,</w:t>
      </w:r>
      <w:r w:rsidR="00531F1B">
        <w:rPr>
          <w:u w:val="single"/>
        </w:rPr>
        <w:t xml:space="preserve"> 2017</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B147" w14:textId="77777777" w:rsidR="00FD41D3" w:rsidRDefault="00FD41D3" w:rsidP="00D36BC1">
      <w:pPr>
        <w:spacing w:after="0" w:line="240" w:lineRule="auto"/>
      </w:pPr>
      <w:r>
        <w:separator/>
      </w:r>
    </w:p>
  </w:endnote>
  <w:endnote w:type="continuationSeparator" w:id="0">
    <w:p w14:paraId="753D9ECA" w14:textId="77777777" w:rsidR="00FD41D3" w:rsidRDefault="00FD41D3"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86538"/>
      <w:docPartObj>
        <w:docPartGallery w:val="Page Numbers (Bottom of Page)"/>
        <w:docPartUnique/>
      </w:docPartObj>
    </w:sdtPr>
    <w:sdtEndPr>
      <w:rPr>
        <w:noProof/>
      </w:rPr>
    </w:sdtEndPr>
    <w:sdtContent>
      <w:p w14:paraId="06362431" w14:textId="395CB9AE" w:rsidR="007E0475" w:rsidRDefault="007E0475" w:rsidP="00EF26F3">
        <w:pPr>
          <w:pStyle w:val="Footer"/>
          <w:tabs>
            <w:tab w:val="clear" w:pos="4680"/>
            <w:tab w:val="center" w:pos="-90"/>
          </w:tabs>
          <w:jc w:val="right"/>
        </w:pPr>
        <w:r>
          <w:t>State Advisory Council for Parent Involvemen</w:t>
        </w:r>
        <w:r w:rsidR="008B0BCB">
          <w:t>t in Education Application (2017</w:t>
        </w:r>
        <w:r>
          <w:t>)</w:t>
        </w:r>
        <w:r>
          <w:tab/>
        </w:r>
        <w:r>
          <w:fldChar w:fldCharType="begin"/>
        </w:r>
        <w:r>
          <w:instrText xml:space="preserve"> PAGE   \* MERGEFORMAT </w:instrText>
        </w:r>
        <w:r>
          <w:fldChar w:fldCharType="separate"/>
        </w:r>
        <w:r w:rsidR="00541DB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9AE6F" w14:textId="77777777" w:rsidR="00FD41D3" w:rsidRDefault="00FD41D3" w:rsidP="00D36BC1">
      <w:pPr>
        <w:spacing w:after="0" w:line="240" w:lineRule="auto"/>
      </w:pPr>
      <w:r>
        <w:separator/>
      </w:r>
    </w:p>
  </w:footnote>
  <w:footnote w:type="continuationSeparator" w:id="0">
    <w:p w14:paraId="382C9308" w14:textId="77777777" w:rsidR="00FD41D3" w:rsidRDefault="00FD41D3"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56A6" w14:textId="77777777" w:rsidR="007E0475" w:rsidRDefault="00CE7DB6">
    <w:pPr>
      <w:pStyle w:val="Header"/>
    </w:pPr>
    <w:r>
      <w:rPr>
        <w:noProof/>
      </w:rPr>
      <w:drawing>
        <wp:anchor distT="0" distB="0" distL="114300" distR="114300" simplePos="0" relativeHeight="251661312" behindDoc="0" locked="0" layoutInCell="1" allowOverlap="1" wp14:anchorId="2C111BA3" wp14:editId="275E136F">
          <wp:simplePos x="0" y="0"/>
          <wp:positionH relativeFrom="column">
            <wp:posOffset>2171700</wp:posOffset>
          </wp:positionH>
          <wp:positionV relativeFrom="paragraph">
            <wp:posOffset>-114300</wp:posOffset>
          </wp:positionV>
          <wp:extent cx="1593214" cy="571500"/>
          <wp:effectExtent l="0" t="0" r="7620" b="0"/>
          <wp:wrapNone/>
          <wp:docPr id="11" name="Picture 11"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77" cy="5717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5"/>
  </w:num>
  <w:num w:numId="4">
    <w:abstractNumId w:val="9"/>
  </w:num>
  <w:num w:numId="5">
    <w:abstractNumId w:val="8"/>
  </w:num>
  <w:num w:numId="6">
    <w:abstractNumId w:val="2"/>
  </w:num>
  <w:num w:numId="7">
    <w:abstractNumId w:val="10"/>
  </w:num>
  <w:num w:numId="8">
    <w:abstractNumId w:val="0"/>
  </w:num>
  <w:num w:numId="9">
    <w:abstractNumId w:val="1"/>
  </w:num>
  <w:num w:numId="10">
    <w:abstractNumId w:val="3"/>
  </w:num>
  <w:num w:numId="11">
    <w:abstractNumId w:val="1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1"/>
    <w:rsid w:val="00022153"/>
    <w:rsid w:val="00022E00"/>
    <w:rsid w:val="00061957"/>
    <w:rsid w:val="000631E3"/>
    <w:rsid w:val="00067545"/>
    <w:rsid w:val="000965C9"/>
    <w:rsid w:val="000E0A9B"/>
    <w:rsid w:val="000E4090"/>
    <w:rsid w:val="000E566D"/>
    <w:rsid w:val="000E715D"/>
    <w:rsid w:val="000F323A"/>
    <w:rsid w:val="00103C13"/>
    <w:rsid w:val="001053B1"/>
    <w:rsid w:val="00112569"/>
    <w:rsid w:val="001137A1"/>
    <w:rsid w:val="0015798C"/>
    <w:rsid w:val="0017348A"/>
    <w:rsid w:val="00173805"/>
    <w:rsid w:val="001A7C40"/>
    <w:rsid w:val="001F4161"/>
    <w:rsid w:val="002356A8"/>
    <w:rsid w:val="00240002"/>
    <w:rsid w:val="002416D2"/>
    <w:rsid w:val="002500B6"/>
    <w:rsid w:val="00250339"/>
    <w:rsid w:val="00266E55"/>
    <w:rsid w:val="002779CA"/>
    <w:rsid w:val="002963F9"/>
    <w:rsid w:val="002A10EB"/>
    <w:rsid w:val="002B38B2"/>
    <w:rsid w:val="002B6A36"/>
    <w:rsid w:val="002C2C18"/>
    <w:rsid w:val="002C501B"/>
    <w:rsid w:val="002C7B3A"/>
    <w:rsid w:val="002D298E"/>
    <w:rsid w:val="002D4161"/>
    <w:rsid w:val="002E1294"/>
    <w:rsid w:val="002E3A32"/>
    <w:rsid w:val="002F3E73"/>
    <w:rsid w:val="002F7D56"/>
    <w:rsid w:val="0032249D"/>
    <w:rsid w:val="00350A29"/>
    <w:rsid w:val="003642AA"/>
    <w:rsid w:val="0039723C"/>
    <w:rsid w:val="003A7ADA"/>
    <w:rsid w:val="003E105B"/>
    <w:rsid w:val="00402E76"/>
    <w:rsid w:val="00413BD9"/>
    <w:rsid w:val="00416BA4"/>
    <w:rsid w:val="00422AF0"/>
    <w:rsid w:val="00423F7F"/>
    <w:rsid w:val="00461E6E"/>
    <w:rsid w:val="00462517"/>
    <w:rsid w:val="00463BB9"/>
    <w:rsid w:val="004A2659"/>
    <w:rsid w:val="004D0BEA"/>
    <w:rsid w:val="004F6F5A"/>
    <w:rsid w:val="00531CAC"/>
    <w:rsid w:val="00531F1B"/>
    <w:rsid w:val="00541DB1"/>
    <w:rsid w:val="00580D45"/>
    <w:rsid w:val="00587FB7"/>
    <w:rsid w:val="005A6626"/>
    <w:rsid w:val="005C1F8F"/>
    <w:rsid w:val="005C2977"/>
    <w:rsid w:val="005D5D6C"/>
    <w:rsid w:val="005E2595"/>
    <w:rsid w:val="0060728A"/>
    <w:rsid w:val="006307CD"/>
    <w:rsid w:val="00631B50"/>
    <w:rsid w:val="00687C81"/>
    <w:rsid w:val="006A30DF"/>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6A9D"/>
    <w:rsid w:val="007B7B53"/>
    <w:rsid w:val="007E0475"/>
    <w:rsid w:val="007E7D7B"/>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64C6"/>
    <w:rsid w:val="00925FEF"/>
    <w:rsid w:val="00985028"/>
    <w:rsid w:val="00990C9D"/>
    <w:rsid w:val="009A1733"/>
    <w:rsid w:val="009B6246"/>
    <w:rsid w:val="009C7C0C"/>
    <w:rsid w:val="009D7BB5"/>
    <w:rsid w:val="00A10CBE"/>
    <w:rsid w:val="00A1747E"/>
    <w:rsid w:val="00A92763"/>
    <w:rsid w:val="00AA0B70"/>
    <w:rsid w:val="00AA376C"/>
    <w:rsid w:val="00AE148E"/>
    <w:rsid w:val="00AE4970"/>
    <w:rsid w:val="00B24276"/>
    <w:rsid w:val="00B27352"/>
    <w:rsid w:val="00B55507"/>
    <w:rsid w:val="00B55F3E"/>
    <w:rsid w:val="00B73E6F"/>
    <w:rsid w:val="00BC37CF"/>
    <w:rsid w:val="00BD1251"/>
    <w:rsid w:val="00BD39A2"/>
    <w:rsid w:val="00BD6AA4"/>
    <w:rsid w:val="00C15CF2"/>
    <w:rsid w:val="00C65860"/>
    <w:rsid w:val="00C77923"/>
    <w:rsid w:val="00C9150B"/>
    <w:rsid w:val="00C94A21"/>
    <w:rsid w:val="00CB154C"/>
    <w:rsid w:val="00CD25D6"/>
    <w:rsid w:val="00CE605E"/>
    <w:rsid w:val="00CE73AE"/>
    <w:rsid w:val="00CE7DB6"/>
    <w:rsid w:val="00CF42A7"/>
    <w:rsid w:val="00D063CE"/>
    <w:rsid w:val="00D36BC1"/>
    <w:rsid w:val="00D65741"/>
    <w:rsid w:val="00D720F4"/>
    <w:rsid w:val="00D74BA8"/>
    <w:rsid w:val="00DA1DBD"/>
    <w:rsid w:val="00DB1E96"/>
    <w:rsid w:val="00DB7A08"/>
    <w:rsid w:val="00DD00CF"/>
    <w:rsid w:val="00DD475D"/>
    <w:rsid w:val="00DF06E4"/>
    <w:rsid w:val="00E03FCF"/>
    <w:rsid w:val="00E06D75"/>
    <w:rsid w:val="00E26260"/>
    <w:rsid w:val="00E416F2"/>
    <w:rsid w:val="00E63C99"/>
    <w:rsid w:val="00E96920"/>
    <w:rsid w:val="00EA08F9"/>
    <w:rsid w:val="00ED78D5"/>
    <w:rsid w:val="00EF26F3"/>
    <w:rsid w:val="00F04B43"/>
    <w:rsid w:val="00F15B77"/>
    <w:rsid w:val="00F20B11"/>
    <w:rsid w:val="00F34EED"/>
    <w:rsid w:val="00F441C1"/>
    <w:rsid w:val="00F45202"/>
    <w:rsid w:val="00F47A9D"/>
    <w:rsid w:val="00F67EEC"/>
    <w:rsid w:val="00FB7D2E"/>
    <w:rsid w:val="00FD41D3"/>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tchins_d@cde.state.c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sacp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tchins_d@cde.state.c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tchins_d@cde.state.co.us" TargetMode="External"/><Relationship Id="rId4" Type="http://schemas.microsoft.com/office/2007/relationships/stylesWithEffects" Target="stylesWithEffects.xml"/><Relationship Id="rId9" Type="http://schemas.openxmlformats.org/officeDocument/2006/relationships/hyperlink" Target="mailto:hutchins_d@cde.state.co.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218E-D80F-4A72-B5AA-526B190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Hutchins, Darcy</cp:lastModifiedBy>
  <cp:revision>3</cp:revision>
  <dcterms:created xsi:type="dcterms:W3CDTF">2017-07-17T22:07:00Z</dcterms:created>
  <dcterms:modified xsi:type="dcterms:W3CDTF">2017-07-17T22:08:00Z</dcterms:modified>
</cp:coreProperties>
</file>