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D1" w:rsidRDefault="00002910"/>
    <w:p w:rsidR="000A5AFE" w:rsidRDefault="000A5AFE" w:rsidP="000A5AFE">
      <w:pPr>
        <w:jc w:val="center"/>
        <w:rPr>
          <w:b/>
          <w:sz w:val="28"/>
          <w:szCs w:val="28"/>
        </w:rPr>
      </w:pPr>
      <w:r w:rsidRPr="009413E6">
        <w:rPr>
          <w:b/>
          <w:sz w:val="28"/>
          <w:szCs w:val="28"/>
        </w:rPr>
        <w:t>P</w:t>
      </w:r>
      <w:r>
        <w:rPr>
          <w:b/>
          <w:sz w:val="28"/>
          <w:szCs w:val="28"/>
        </w:rPr>
        <w:t xml:space="preserve">athways in </w:t>
      </w:r>
      <w:r w:rsidRPr="009413E6">
        <w:rPr>
          <w:b/>
          <w:sz w:val="28"/>
          <w:szCs w:val="28"/>
        </w:rPr>
        <w:t>T</w:t>
      </w:r>
      <w:r>
        <w:rPr>
          <w:b/>
          <w:sz w:val="28"/>
          <w:szCs w:val="28"/>
        </w:rPr>
        <w:t xml:space="preserve">echnology </w:t>
      </w:r>
      <w:r w:rsidRPr="009413E6">
        <w:rPr>
          <w:b/>
          <w:sz w:val="28"/>
          <w:szCs w:val="28"/>
        </w:rPr>
        <w:t>E</w:t>
      </w:r>
      <w:r>
        <w:rPr>
          <w:b/>
          <w:sz w:val="28"/>
          <w:szCs w:val="28"/>
        </w:rPr>
        <w:t xml:space="preserve">arly </w:t>
      </w:r>
      <w:r w:rsidRPr="009413E6">
        <w:rPr>
          <w:b/>
          <w:sz w:val="28"/>
          <w:szCs w:val="28"/>
        </w:rPr>
        <w:t>C</w:t>
      </w:r>
      <w:r>
        <w:rPr>
          <w:b/>
          <w:sz w:val="28"/>
          <w:szCs w:val="28"/>
        </w:rPr>
        <w:t xml:space="preserve">ollege </w:t>
      </w:r>
      <w:r w:rsidRPr="009413E6">
        <w:rPr>
          <w:b/>
          <w:sz w:val="28"/>
          <w:szCs w:val="28"/>
        </w:rPr>
        <w:t>H</w:t>
      </w:r>
      <w:r>
        <w:rPr>
          <w:b/>
          <w:sz w:val="28"/>
          <w:szCs w:val="28"/>
        </w:rPr>
        <w:t>igh School (P-TECH)</w:t>
      </w:r>
    </w:p>
    <w:p w:rsidR="000A5AFE" w:rsidRDefault="00002910" w:rsidP="000A5AFE">
      <w:pPr>
        <w:jc w:val="center"/>
        <w:rPr>
          <w:rStyle w:val="Hyperlink"/>
          <w:rFonts w:ascii="Verdana" w:eastAsia="Times New Roman" w:hAnsi="Verdana" w:cs="Times New Roman"/>
          <w:sz w:val="20"/>
          <w:szCs w:val="20"/>
        </w:rPr>
      </w:pPr>
      <w:hyperlink r:id="rId7" w:history="1">
        <w:r w:rsidR="000A5AFE" w:rsidRPr="003C6648">
          <w:rPr>
            <w:rStyle w:val="Hyperlink"/>
            <w:rFonts w:ascii="Verdana" w:eastAsia="Times New Roman" w:hAnsi="Verdana" w:cs="Times New Roman"/>
            <w:sz w:val="20"/>
            <w:szCs w:val="20"/>
          </w:rPr>
          <w:t>C.R.S. 22-35.3-101-105</w:t>
        </w:r>
      </w:hyperlink>
    </w:p>
    <w:p w:rsidR="000A5AFE" w:rsidRDefault="000A5AFE" w:rsidP="000A5AFE">
      <w:pPr>
        <w:jc w:val="center"/>
        <w:rPr>
          <w:rStyle w:val="Hyperlink"/>
          <w:rFonts w:ascii="Verdana" w:eastAsia="Times New Roman" w:hAnsi="Verdana" w:cs="Times New Roman"/>
          <w:sz w:val="20"/>
          <w:szCs w:val="20"/>
        </w:rPr>
      </w:pPr>
    </w:p>
    <w:p w:rsidR="0093148B" w:rsidRPr="00871A87" w:rsidRDefault="00871A87" w:rsidP="00871A87">
      <w:pPr>
        <w:jc w:val="center"/>
        <w:rPr>
          <w:rFonts w:ascii="Trebuchet MS" w:hAnsi="Trebuchet MS"/>
          <w:b/>
          <w:sz w:val="26"/>
          <w:szCs w:val="26"/>
        </w:rPr>
      </w:pPr>
      <w:r w:rsidRPr="00871A87">
        <w:rPr>
          <w:rFonts w:ascii="Trebuchet MS" w:hAnsi="Trebuchet MS"/>
          <w:b/>
          <w:color w:val="000000" w:themeColor="text1"/>
          <w:sz w:val="26"/>
          <w:szCs w:val="26"/>
        </w:rPr>
        <w:t>SCHOOL SPECIFICATIONS</w:t>
      </w:r>
    </w:p>
    <w:tbl>
      <w:tblPr>
        <w:tblStyle w:val="TableGrid"/>
        <w:tblW w:w="8298" w:type="dxa"/>
        <w:tblLook w:val="04A0" w:firstRow="1" w:lastRow="0" w:firstColumn="1" w:lastColumn="0" w:noHBand="0" w:noVBand="1"/>
      </w:tblPr>
      <w:tblGrid>
        <w:gridCol w:w="3258"/>
        <w:gridCol w:w="5040"/>
      </w:tblGrid>
      <w:tr w:rsidR="0093148B" w:rsidRPr="00240336" w:rsidTr="00802243">
        <w:tc>
          <w:tcPr>
            <w:tcW w:w="3258" w:type="dxa"/>
          </w:tcPr>
          <w:p w:rsidR="0093148B" w:rsidRPr="00ED6AA2" w:rsidRDefault="0093148B" w:rsidP="00802243">
            <w:pPr>
              <w:rPr>
                <w:b/>
              </w:rPr>
            </w:pPr>
            <w:r>
              <w:rPr>
                <w:b/>
              </w:rPr>
              <w:t>REQUIREMENTS</w:t>
            </w:r>
          </w:p>
        </w:tc>
        <w:tc>
          <w:tcPr>
            <w:tcW w:w="5040" w:type="dxa"/>
          </w:tcPr>
          <w:p w:rsidR="0093148B" w:rsidRPr="00240336" w:rsidRDefault="0093148B" w:rsidP="00802243">
            <w:pPr>
              <w:rPr>
                <w:rFonts w:cs="Helvetica"/>
                <w:color w:val="000000" w:themeColor="text1"/>
                <w:lang w:val="en"/>
              </w:rPr>
            </w:pPr>
            <w:r w:rsidRPr="00240336">
              <w:rPr>
                <w:rFonts w:cs="Times New Roman"/>
                <w:color w:val="000000" w:themeColor="text1"/>
              </w:rPr>
              <w:t xml:space="preserve">Must be a public school or a program in a high school that includes up to 6 years of high school, designed to prepare students for high-potential careers in industry by enabling them to graduate with a high school diploma and an industry-recognized associate degree. </w:t>
            </w:r>
            <w:r w:rsidRPr="00240336">
              <w:rPr>
                <w:rFonts w:cs="Helvetica"/>
                <w:color w:val="000000" w:themeColor="text1"/>
                <w:lang w:val="en"/>
              </w:rPr>
              <w:t>Students may also earn pre-apprenticeship certificates and other industry-recognized certificates in addition to an associate degree.</w:t>
            </w:r>
          </w:p>
          <w:p w:rsidR="0093148B" w:rsidRPr="00240336" w:rsidRDefault="0093148B" w:rsidP="00802243">
            <w:pPr>
              <w:rPr>
                <w:color w:val="000000" w:themeColor="text1"/>
              </w:rPr>
            </w:pPr>
          </w:p>
        </w:tc>
      </w:tr>
      <w:tr w:rsidR="0093148B" w:rsidRPr="00240336" w:rsidTr="00802243">
        <w:tc>
          <w:tcPr>
            <w:tcW w:w="3258" w:type="dxa"/>
          </w:tcPr>
          <w:p w:rsidR="0093148B" w:rsidRPr="00ED6AA2" w:rsidRDefault="0093148B" w:rsidP="00802243">
            <w:pPr>
              <w:rPr>
                <w:b/>
              </w:rPr>
            </w:pPr>
            <w:r>
              <w:rPr>
                <w:b/>
              </w:rPr>
              <w:t>GRADE LEVELS</w:t>
            </w:r>
          </w:p>
        </w:tc>
        <w:tc>
          <w:tcPr>
            <w:tcW w:w="5040" w:type="dxa"/>
          </w:tcPr>
          <w:p w:rsidR="0093148B" w:rsidRPr="00E938FD" w:rsidRDefault="0093148B" w:rsidP="00802243">
            <w:pPr>
              <w:rPr>
                <w:color w:val="000000" w:themeColor="text1"/>
              </w:rPr>
            </w:pPr>
            <w:r w:rsidRPr="00E938FD">
              <w:rPr>
                <w:bCs/>
                <w:color w:val="000000" w:themeColor="text1"/>
              </w:rPr>
              <w:t>P-TECH is for students beginning in the ninth grade and can continue for up to six years (i.e. high school and two equivalent years of college).</w:t>
            </w:r>
          </w:p>
          <w:p w:rsidR="0093148B" w:rsidRPr="00240336" w:rsidRDefault="0093148B" w:rsidP="00802243">
            <w:pPr>
              <w:rPr>
                <w:color w:val="000000" w:themeColor="text1"/>
              </w:rPr>
            </w:pPr>
          </w:p>
          <w:p w:rsidR="0093148B" w:rsidRPr="00240336" w:rsidRDefault="0093148B" w:rsidP="00802243">
            <w:pPr>
              <w:rPr>
                <w:color w:val="000000" w:themeColor="text1"/>
              </w:rPr>
            </w:pPr>
            <w:r w:rsidRPr="00240336">
              <w:rPr>
                <w:color w:val="000000" w:themeColor="text1"/>
              </w:rPr>
              <w:t xml:space="preserve"> </w:t>
            </w:r>
          </w:p>
        </w:tc>
      </w:tr>
      <w:tr w:rsidR="0093148B" w:rsidRPr="00240336" w:rsidTr="00802243">
        <w:tc>
          <w:tcPr>
            <w:tcW w:w="3258" w:type="dxa"/>
          </w:tcPr>
          <w:p w:rsidR="0093148B" w:rsidRDefault="0093148B" w:rsidP="00802243">
            <w:pPr>
              <w:rPr>
                <w:b/>
              </w:rPr>
            </w:pPr>
            <w:r>
              <w:rPr>
                <w:b/>
              </w:rPr>
              <w:t>STUDENT POPULATION</w:t>
            </w:r>
          </w:p>
        </w:tc>
        <w:tc>
          <w:tcPr>
            <w:tcW w:w="5040" w:type="dxa"/>
          </w:tcPr>
          <w:p w:rsidR="0093148B" w:rsidRPr="00240336" w:rsidRDefault="0093148B" w:rsidP="00802243">
            <w:pPr>
              <w:rPr>
                <w:color w:val="000000" w:themeColor="text1"/>
              </w:rPr>
            </w:pPr>
            <w:r w:rsidRPr="00240336">
              <w:rPr>
                <w:color w:val="000000" w:themeColor="text1"/>
              </w:rPr>
              <w:t>All students w/special focus on socio-economically/racially diverse; 1</w:t>
            </w:r>
            <w:r w:rsidRPr="00240336">
              <w:rPr>
                <w:color w:val="000000" w:themeColor="text1"/>
                <w:vertAlign w:val="superscript"/>
              </w:rPr>
              <w:t>st</w:t>
            </w:r>
            <w:r w:rsidRPr="00240336">
              <w:rPr>
                <w:color w:val="000000" w:themeColor="text1"/>
              </w:rPr>
              <w:t xml:space="preserve"> generation; English language learners; students with disabilities.</w:t>
            </w:r>
          </w:p>
          <w:p w:rsidR="0093148B" w:rsidRPr="00240336" w:rsidRDefault="0093148B" w:rsidP="00802243">
            <w:pPr>
              <w:rPr>
                <w:color w:val="000000" w:themeColor="text1"/>
              </w:rPr>
            </w:pPr>
          </w:p>
        </w:tc>
      </w:tr>
      <w:tr w:rsidR="0093148B" w:rsidRPr="00240336" w:rsidTr="00802243">
        <w:tc>
          <w:tcPr>
            <w:tcW w:w="3258" w:type="dxa"/>
          </w:tcPr>
          <w:p w:rsidR="0093148B" w:rsidRPr="00ED6AA2" w:rsidRDefault="0093148B" w:rsidP="00802243">
            <w:pPr>
              <w:rPr>
                <w:b/>
              </w:rPr>
            </w:pPr>
            <w:r w:rsidRPr="00ED6AA2">
              <w:rPr>
                <w:b/>
              </w:rPr>
              <w:t>SEPARATE SCHOOL OR PROGRAM WITHIN EXISTING SCHOOL</w:t>
            </w:r>
          </w:p>
        </w:tc>
        <w:tc>
          <w:tcPr>
            <w:tcW w:w="5040" w:type="dxa"/>
          </w:tcPr>
          <w:p w:rsidR="0093148B" w:rsidRPr="00240336" w:rsidRDefault="0093148B" w:rsidP="00802243">
            <w:pPr>
              <w:rPr>
                <w:color w:val="000000" w:themeColor="text1"/>
              </w:rPr>
            </w:pPr>
            <w:r w:rsidRPr="00240336">
              <w:rPr>
                <w:color w:val="000000" w:themeColor="text1"/>
              </w:rPr>
              <w:t xml:space="preserve">Can be a stand-alone school with its own school code, </w:t>
            </w:r>
            <w:r w:rsidRPr="00240336">
              <w:rPr>
                <w:color w:val="000000" w:themeColor="text1"/>
                <w:u w:val="single"/>
              </w:rPr>
              <w:t>or</w:t>
            </w:r>
            <w:r w:rsidRPr="00240336">
              <w:rPr>
                <w:color w:val="000000" w:themeColor="text1"/>
              </w:rPr>
              <w:t xml:space="preserve"> a program within an existing high school using existing school’s code.</w:t>
            </w:r>
          </w:p>
          <w:p w:rsidR="0093148B" w:rsidRPr="00240336" w:rsidRDefault="0093148B" w:rsidP="00802243">
            <w:pPr>
              <w:rPr>
                <w:color w:val="000000" w:themeColor="text1"/>
              </w:rPr>
            </w:pPr>
          </w:p>
        </w:tc>
      </w:tr>
      <w:tr w:rsidR="0093148B" w:rsidRPr="00240336" w:rsidTr="00802243">
        <w:tc>
          <w:tcPr>
            <w:tcW w:w="3258" w:type="dxa"/>
          </w:tcPr>
          <w:p w:rsidR="0093148B" w:rsidRPr="00ED6AA2" w:rsidRDefault="0093148B" w:rsidP="00802243">
            <w:pPr>
              <w:rPr>
                <w:b/>
              </w:rPr>
            </w:pPr>
            <w:r w:rsidRPr="00ED6AA2">
              <w:rPr>
                <w:b/>
              </w:rPr>
              <w:t>ACADEMIC EXPECTATIONS</w:t>
            </w:r>
          </w:p>
        </w:tc>
        <w:tc>
          <w:tcPr>
            <w:tcW w:w="5040" w:type="dxa"/>
          </w:tcPr>
          <w:p w:rsidR="0093148B" w:rsidRPr="00240336" w:rsidRDefault="0093148B" w:rsidP="0093148B">
            <w:pPr>
              <w:pStyle w:val="ListParagraph"/>
              <w:numPr>
                <w:ilvl w:val="0"/>
                <w:numId w:val="3"/>
              </w:numPr>
              <w:rPr>
                <w:color w:val="000000" w:themeColor="text1"/>
              </w:rPr>
            </w:pPr>
            <w:r w:rsidRPr="00240336">
              <w:rPr>
                <w:color w:val="000000" w:themeColor="text1"/>
              </w:rPr>
              <w:t xml:space="preserve">High school diploma + high-grown industry recognized associate degree.  </w:t>
            </w:r>
          </w:p>
          <w:p w:rsidR="0093148B" w:rsidRPr="00240336" w:rsidRDefault="0093148B" w:rsidP="0093148B">
            <w:pPr>
              <w:pStyle w:val="ListParagraph"/>
              <w:numPr>
                <w:ilvl w:val="0"/>
                <w:numId w:val="3"/>
              </w:numPr>
              <w:rPr>
                <w:color w:val="000000" w:themeColor="text1"/>
              </w:rPr>
            </w:pPr>
            <w:r w:rsidRPr="00240336">
              <w:rPr>
                <w:color w:val="000000" w:themeColor="text1"/>
              </w:rPr>
              <w:t>Industry recognized pre-apprenticeship and other certificates can be earned in addition to associate degree.</w:t>
            </w:r>
          </w:p>
          <w:p w:rsidR="0093148B" w:rsidRPr="00240336" w:rsidRDefault="0093148B" w:rsidP="0093148B">
            <w:pPr>
              <w:pStyle w:val="ListParagraph"/>
              <w:numPr>
                <w:ilvl w:val="0"/>
                <w:numId w:val="3"/>
              </w:numPr>
              <w:autoSpaceDE w:val="0"/>
              <w:autoSpaceDN w:val="0"/>
              <w:adjustRightInd w:val="0"/>
              <w:rPr>
                <w:rFonts w:ascii="Calibri" w:hAnsi="Calibri" w:cs="Calibri"/>
                <w:color w:val="000000" w:themeColor="text1"/>
              </w:rPr>
            </w:pPr>
            <w:r w:rsidRPr="00240336">
              <w:rPr>
                <w:rFonts w:ascii="Calibri" w:hAnsi="Calibri" w:cs="Calibri"/>
                <w:color w:val="000000" w:themeColor="text1"/>
              </w:rPr>
              <w:t>Must have a Science, Technology, Engineering and Mathematics (STEM) focus that is informed by current and projected industry standards.</w:t>
            </w:r>
          </w:p>
          <w:p w:rsidR="0093148B" w:rsidRPr="00240336" w:rsidRDefault="0093148B" w:rsidP="0093148B">
            <w:pPr>
              <w:pStyle w:val="ListParagraph"/>
              <w:numPr>
                <w:ilvl w:val="0"/>
                <w:numId w:val="3"/>
              </w:numPr>
              <w:autoSpaceDE w:val="0"/>
              <w:autoSpaceDN w:val="0"/>
              <w:adjustRightInd w:val="0"/>
              <w:rPr>
                <w:rFonts w:ascii="Calibri" w:hAnsi="Calibri" w:cs="Calibri"/>
                <w:color w:val="000000" w:themeColor="text1"/>
              </w:rPr>
            </w:pPr>
            <w:r w:rsidRPr="00240336">
              <w:rPr>
                <w:color w:val="000000" w:themeColor="text1"/>
              </w:rPr>
              <w:t>Must receive workplace experiences and training (mentoring, job shadowing, internships, pre-apprenticeship training).</w:t>
            </w:r>
          </w:p>
        </w:tc>
      </w:tr>
    </w:tbl>
    <w:p w:rsidR="0093148B" w:rsidRDefault="0093148B" w:rsidP="0093148B"/>
    <w:p w:rsidR="0093148B" w:rsidRDefault="0093148B" w:rsidP="0093148B"/>
    <w:p w:rsidR="0093148B" w:rsidRDefault="0093148B" w:rsidP="0093148B"/>
    <w:p w:rsidR="0093148B" w:rsidRDefault="0093148B" w:rsidP="0093148B">
      <w:pPr>
        <w:rPr>
          <w:color w:val="0070C0"/>
          <w:sz w:val="24"/>
          <w:szCs w:val="24"/>
          <w:u w:val="single"/>
        </w:rPr>
      </w:pPr>
    </w:p>
    <w:p w:rsidR="0093148B" w:rsidRPr="00871A87" w:rsidRDefault="0093148B" w:rsidP="00871A87">
      <w:pPr>
        <w:jc w:val="center"/>
        <w:rPr>
          <w:rFonts w:ascii="Trebuchet MS" w:hAnsi="Trebuchet MS"/>
          <w:b/>
          <w:color w:val="000000" w:themeColor="text1"/>
          <w:sz w:val="26"/>
          <w:szCs w:val="26"/>
        </w:rPr>
      </w:pPr>
      <w:r w:rsidRPr="00871A87">
        <w:rPr>
          <w:rFonts w:ascii="Trebuchet MS" w:hAnsi="Trebuchet MS"/>
          <w:b/>
          <w:color w:val="000000" w:themeColor="text1"/>
          <w:sz w:val="26"/>
          <w:szCs w:val="26"/>
        </w:rPr>
        <w:t>PARTNERSHIPS</w:t>
      </w:r>
    </w:p>
    <w:tbl>
      <w:tblPr>
        <w:tblStyle w:val="TableGrid"/>
        <w:tblW w:w="8298" w:type="dxa"/>
        <w:tblLook w:val="04A0" w:firstRow="1" w:lastRow="0" w:firstColumn="1" w:lastColumn="0" w:noHBand="0" w:noVBand="1"/>
      </w:tblPr>
      <w:tblGrid>
        <w:gridCol w:w="3258"/>
        <w:gridCol w:w="5040"/>
      </w:tblGrid>
      <w:tr w:rsidR="0093148B" w:rsidRPr="00240336" w:rsidTr="00802243">
        <w:tc>
          <w:tcPr>
            <w:tcW w:w="3258" w:type="dxa"/>
          </w:tcPr>
          <w:p w:rsidR="0093148B" w:rsidRPr="00ED6AA2" w:rsidRDefault="0093148B" w:rsidP="00802243">
            <w:pPr>
              <w:rPr>
                <w:b/>
              </w:rPr>
            </w:pPr>
            <w:r>
              <w:rPr>
                <w:b/>
              </w:rPr>
              <w:t xml:space="preserve">REQUIRED </w:t>
            </w:r>
            <w:r w:rsidRPr="00ED6AA2">
              <w:rPr>
                <w:b/>
              </w:rPr>
              <w:t>PARTNERSHIPS</w:t>
            </w:r>
          </w:p>
        </w:tc>
        <w:tc>
          <w:tcPr>
            <w:tcW w:w="5040" w:type="dxa"/>
          </w:tcPr>
          <w:p w:rsidR="0093148B" w:rsidRPr="00240336" w:rsidRDefault="0093148B" w:rsidP="00802243">
            <w:pPr>
              <w:rPr>
                <w:color w:val="000000" w:themeColor="text1"/>
              </w:rPr>
            </w:pPr>
            <w:r w:rsidRPr="00240336">
              <w:rPr>
                <w:color w:val="000000" w:themeColor="text1"/>
              </w:rPr>
              <w:t>School district, charter school, BOCES (that operate a high school) + Colorado community college</w:t>
            </w:r>
            <w:r w:rsidR="00002910">
              <w:rPr>
                <w:color w:val="000000" w:themeColor="text1"/>
              </w:rPr>
              <w:t>*</w:t>
            </w:r>
            <w:r w:rsidRPr="00240336">
              <w:rPr>
                <w:color w:val="000000" w:themeColor="text1"/>
              </w:rPr>
              <w:t xml:space="preserve"> + one or more local high-growth industry employers (preference given to employers that are certified center of learning).</w:t>
            </w:r>
          </w:p>
          <w:p w:rsidR="0093148B" w:rsidRDefault="0093148B" w:rsidP="00802243">
            <w:pPr>
              <w:rPr>
                <w:color w:val="000000" w:themeColor="text1"/>
              </w:rPr>
            </w:pPr>
          </w:p>
          <w:p w:rsidR="00002910" w:rsidRPr="00240336" w:rsidRDefault="00002910" w:rsidP="00802243">
            <w:pPr>
              <w:rPr>
                <w:color w:val="000000" w:themeColor="text1"/>
              </w:rPr>
            </w:pPr>
            <w:r>
              <w:rPr>
                <w:rFonts w:cstheme="minorHAnsi"/>
                <w:i/>
                <w:color w:val="373739"/>
                <w:sz w:val="20"/>
                <w:szCs w:val="20"/>
              </w:rPr>
              <w:t xml:space="preserve">* </w:t>
            </w:r>
            <w:bookmarkStart w:id="0" w:name="_GoBack"/>
            <w:bookmarkEnd w:id="0"/>
            <w:r>
              <w:rPr>
                <w:rFonts w:cstheme="minorHAnsi"/>
                <w:i/>
                <w:color w:val="373739"/>
                <w:sz w:val="20"/>
                <w:szCs w:val="20"/>
              </w:rPr>
              <w:t xml:space="preserve">"Community college" means a community college governed by the state board for community colleges and occupational education or a state-supported institution of higher education or local district college that is authorized to grant associate degrees [per </w:t>
            </w:r>
            <w:r>
              <w:rPr>
                <w:rFonts w:cstheme="minorHAnsi"/>
                <w:bCs/>
                <w:i/>
                <w:color w:val="373739"/>
                <w:sz w:val="20"/>
                <w:szCs w:val="20"/>
              </w:rPr>
              <w:t>22-35.3-102(4)]</w:t>
            </w:r>
            <w:r>
              <w:rPr>
                <w:rFonts w:cstheme="minorHAnsi"/>
                <w:i/>
                <w:color w:val="373739"/>
                <w:sz w:val="20"/>
                <w:szCs w:val="20"/>
              </w:rPr>
              <w:t> </w:t>
            </w:r>
          </w:p>
        </w:tc>
      </w:tr>
      <w:tr w:rsidR="0093148B" w:rsidRPr="00240336" w:rsidTr="00802243">
        <w:tc>
          <w:tcPr>
            <w:tcW w:w="3258" w:type="dxa"/>
          </w:tcPr>
          <w:p w:rsidR="0093148B" w:rsidRPr="00ED6AA2" w:rsidRDefault="0093148B" w:rsidP="00802243">
            <w:pPr>
              <w:rPr>
                <w:b/>
              </w:rPr>
            </w:pPr>
            <w:r>
              <w:rPr>
                <w:b/>
              </w:rPr>
              <w:t>PARTNER RESPONSIBILITIES</w:t>
            </w:r>
          </w:p>
        </w:tc>
        <w:tc>
          <w:tcPr>
            <w:tcW w:w="5040" w:type="dxa"/>
          </w:tcPr>
          <w:p w:rsidR="0093148B" w:rsidRPr="00240336" w:rsidRDefault="0093148B" w:rsidP="00802243">
            <w:pPr>
              <w:pStyle w:val="Default"/>
              <w:rPr>
                <w:b/>
                <w:color w:val="000000" w:themeColor="text1"/>
                <w:sz w:val="22"/>
                <w:szCs w:val="22"/>
              </w:rPr>
            </w:pPr>
            <w:r w:rsidRPr="00240336">
              <w:rPr>
                <w:b/>
                <w:color w:val="000000" w:themeColor="text1"/>
                <w:sz w:val="22"/>
                <w:szCs w:val="22"/>
              </w:rPr>
              <w:t xml:space="preserve">District/Charter/BOCES: </w:t>
            </w:r>
          </w:p>
          <w:p w:rsidR="0093148B" w:rsidRPr="00240336" w:rsidRDefault="0093148B" w:rsidP="0093148B">
            <w:pPr>
              <w:pStyle w:val="Default"/>
              <w:numPr>
                <w:ilvl w:val="0"/>
                <w:numId w:val="2"/>
              </w:numPr>
              <w:rPr>
                <w:color w:val="000000" w:themeColor="text1"/>
                <w:sz w:val="22"/>
                <w:szCs w:val="22"/>
              </w:rPr>
            </w:pPr>
            <w:r w:rsidRPr="00240336">
              <w:rPr>
                <w:color w:val="000000" w:themeColor="text1"/>
                <w:sz w:val="22"/>
                <w:szCs w:val="22"/>
              </w:rPr>
              <w:t>At a minimum, provide course work, counseling, and student support services, as well as provisions relating to instructor qualifications with community colleges.</w:t>
            </w:r>
          </w:p>
          <w:p w:rsidR="0093148B" w:rsidRPr="00240336" w:rsidRDefault="0093148B" w:rsidP="0093148B">
            <w:pPr>
              <w:pStyle w:val="Default"/>
              <w:numPr>
                <w:ilvl w:val="0"/>
                <w:numId w:val="2"/>
              </w:numPr>
              <w:rPr>
                <w:color w:val="000000" w:themeColor="text1"/>
                <w:sz w:val="22"/>
                <w:szCs w:val="22"/>
              </w:rPr>
            </w:pPr>
            <w:r w:rsidRPr="00240336">
              <w:rPr>
                <w:color w:val="000000" w:themeColor="text1"/>
                <w:sz w:val="22"/>
                <w:szCs w:val="22"/>
              </w:rPr>
              <w:t xml:space="preserve">Communicate and share decision-making with community college and employer regarding school operations. </w:t>
            </w:r>
          </w:p>
          <w:p w:rsidR="0093148B" w:rsidRPr="00240336" w:rsidRDefault="0093148B" w:rsidP="00802243">
            <w:pPr>
              <w:rPr>
                <w:color w:val="000000" w:themeColor="text1"/>
              </w:rPr>
            </w:pPr>
          </w:p>
          <w:p w:rsidR="0093148B" w:rsidRPr="00240336" w:rsidRDefault="0093148B" w:rsidP="00802243">
            <w:pPr>
              <w:rPr>
                <w:b/>
                <w:color w:val="000000" w:themeColor="text1"/>
              </w:rPr>
            </w:pPr>
            <w:r w:rsidRPr="00240336">
              <w:rPr>
                <w:b/>
                <w:color w:val="000000" w:themeColor="text1"/>
              </w:rPr>
              <w:t xml:space="preserve">Community College:  </w:t>
            </w:r>
          </w:p>
          <w:p w:rsidR="0093148B" w:rsidRPr="00240336" w:rsidRDefault="0093148B" w:rsidP="0093148B">
            <w:pPr>
              <w:pStyle w:val="ListParagraph"/>
              <w:numPr>
                <w:ilvl w:val="0"/>
                <w:numId w:val="2"/>
              </w:numPr>
              <w:rPr>
                <w:color w:val="000000" w:themeColor="text1"/>
              </w:rPr>
            </w:pPr>
            <w:r w:rsidRPr="00240336">
              <w:rPr>
                <w:color w:val="000000" w:themeColor="text1"/>
              </w:rPr>
              <w:t>At a minimum, provide course work, counseling, and student support services, as well as provisions relating to instructor qualifications with districts/charters/BOCES.</w:t>
            </w:r>
          </w:p>
          <w:p w:rsidR="0093148B" w:rsidRPr="00240336" w:rsidRDefault="0093148B" w:rsidP="0093148B">
            <w:pPr>
              <w:pStyle w:val="ListParagraph"/>
              <w:numPr>
                <w:ilvl w:val="0"/>
                <w:numId w:val="2"/>
              </w:numPr>
              <w:rPr>
                <w:color w:val="000000" w:themeColor="text1"/>
              </w:rPr>
            </w:pPr>
            <w:r w:rsidRPr="00240336">
              <w:rPr>
                <w:color w:val="000000" w:themeColor="text1"/>
              </w:rPr>
              <w:t>Communicate and share decision-making with local education provider employer regarding school operations.</w:t>
            </w:r>
          </w:p>
          <w:p w:rsidR="0093148B" w:rsidRDefault="0093148B" w:rsidP="00802243">
            <w:pPr>
              <w:pStyle w:val="ListParagraph"/>
              <w:ind w:left="360"/>
              <w:rPr>
                <w:color w:val="000000" w:themeColor="text1"/>
              </w:rPr>
            </w:pPr>
          </w:p>
          <w:p w:rsidR="0093148B" w:rsidRPr="00240336" w:rsidRDefault="0093148B" w:rsidP="00802243">
            <w:pPr>
              <w:pStyle w:val="Default"/>
              <w:rPr>
                <w:color w:val="000000" w:themeColor="text1"/>
                <w:sz w:val="22"/>
                <w:szCs w:val="22"/>
              </w:rPr>
            </w:pPr>
            <w:r w:rsidRPr="00240336">
              <w:rPr>
                <w:b/>
                <w:color w:val="000000" w:themeColor="text1"/>
                <w:sz w:val="22"/>
                <w:szCs w:val="22"/>
              </w:rPr>
              <w:t>Industry Employer</w:t>
            </w:r>
            <w:r w:rsidRPr="00240336">
              <w:rPr>
                <w:color w:val="000000" w:themeColor="text1"/>
                <w:sz w:val="22"/>
                <w:szCs w:val="22"/>
              </w:rPr>
              <w:t xml:space="preserve">: </w:t>
            </w:r>
          </w:p>
          <w:p w:rsidR="0093148B" w:rsidRPr="00240336" w:rsidRDefault="0093148B" w:rsidP="0093148B">
            <w:pPr>
              <w:pStyle w:val="Default"/>
              <w:numPr>
                <w:ilvl w:val="0"/>
                <w:numId w:val="4"/>
              </w:numPr>
              <w:rPr>
                <w:color w:val="000000" w:themeColor="text1"/>
                <w:sz w:val="22"/>
                <w:szCs w:val="22"/>
              </w:rPr>
            </w:pPr>
            <w:r w:rsidRPr="00240336">
              <w:rPr>
                <w:color w:val="000000" w:themeColor="text1"/>
                <w:sz w:val="22"/>
                <w:szCs w:val="22"/>
              </w:rPr>
              <w:t>Provide workplace experiences and training (mentoring, job shadowing, internships, pre-apprenticeship training).</w:t>
            </w:r>
          </w:p>
          <w:p w:rsidR="0093148B" w:rsidRPr="00240336" w:rsidRDefault="0093148B" w:rsidP="0093148B">
            <w:pPr>
              <w:pStyle w:val="Default"/>
              <w:numPr>
                <w:ilvl w:val="0"/>
                <w:numId w:val="4"/>
              </w:numPr>
              <w:rPr>
                <w:color w:val="000000" w:themeColor="text1"/>
                <w:sz w:val="22"/>
                <w:szCs w:val="22"/>
              </w:rPr>
            </w:pPr>
            <w:r w:rsidRPr="00240336">
              <w:rPr>
                <w:color w:val="000000" w:themeColor="text1"/>
                <w:sz w:val="22"/>
                <w:szCs w:val="22"/>
              </w:rPr>
              <w:t>Consult with the local education provider and community college on course design.</w:t>
            </w:r>
          </w:p>
          <w:p w:rsidR="0093148B" w:rsidRPr="00240336" w:rsidRDefault="0093148B" w:rsidP="0093148B">
            <w:pPr>
              <w:pStyle w:val="Default"/>
              <w:numPr>
                <w:ilvl w:val="0"/>
                <w:numId w:val="4"/>
              </w:numPr>
              <w:rPr>
                <w:color w:val="000000" w:themeColor="text1"/>
                <w:sz w:val="22"/>
                <w:szCs w:val="22"/>
              </w:rPr>
            </w:pPr>
            <w:r w:rsidRPr="00240336">
              <w:rPr>
                <w:color w:val="000000" w:themeColor="text1"/>
                <w:sz w:val="22"/>
                <w:szCs w:val="22"/>
              </w:rPr>
              <w:t xml:space="preserve">Work with community college to ensure that course and post-secondary program competencies meet wider industry expectations as well as the needs of the partner employer(s) </w:t>
            </w:r>
          </w:p>
          <w:p w:rsidR="0093148B" w:rsidRPr="00240336" w:rsidRDefault="0093148B" w:rsidP="0093148B">
            <w:pPr>
              <w:pStyle w:val="Default"/>
              <w:numPr>
                <w:ilvl w:val="0"/>
                <w:numId w:val="4"/>
              </w:numPr>
              <w:spacing w:after="200"/>
              <w:rPr>
                <w:color w:val="000000" w:themeColor="text1"/>
              </w:rPr>
            </w:pPr>
            <w:r w:rsidRPr="00240336">
              <w:rPr>
                <w:color w:val="000000" w:themeColor="text1"/>
                <w:sz w:val="22"/>
                <w:szCs w:val="22"/>
              </w:rPr>
              <w:t xml:space="preserve">Communicate and share decision-making with local education provider and community college regarding school operations. </w:t>
            </w:r>
          </w:p>
        </w:tc>
      </w:tr>
    </w:tbl>
    <w:p w:rsidR="0093148B" w:rsidRDefault="0093148B" w:rsidP="0093148B">
      <w:pPr>
        <w:rPr>
          <w:sz w:val="24"/>
          <w:szCs w:val="24"/>
          <w:u w:val="single"/>
        </w:rPr>
      </w:pPr>
    </w:p>
    <w:p w:rsidR="0093148B" w:rsidRDefault="0093148B" w:rsidP="0093148B">
      <w:pPr>
        <w:rPr>
          <w:sz w:val="24"/>
          <w:szCs w:val="24"/>
          <w:u w:val="single"/>
        </w:rPr>
      </w:pPr>
    </w:p>
    <w:p w:rsidR="0093148B" w:rsidRDefault="0093148B" w:rsidP="0093148B">
      <w:pPr>
        <w:rPr>
          <w:sz w:val="24"/>
          <w:szCs w:val="24"/>
          <w:u w:val="single"/>
        </w:rPr>
      </w:pPr>
    </w:p>
    <w:p w:rsidR="0093148B" w:rsidRDefault="0093148B" w:rsidP="0093148B">
      <w:pPr>
        <w:rPr>
          <w:sz w:val="24"/>
          <w:szCs w:val="24"/>
          <w:u w:val="single"/>
        </w:rPr>
      </w:pPr>
    </w:p>
    <w:p w:rsidR="0093148B" w:rsidRDefault="0093148B" w:rsidP="0093148B">
      <w:pPr>
        <w:rPr>
          <w:color w:val="0070C0"/>
          <w:sz w:val="24"/>
          <w:szCs w:val="24"/>
          <w:u w:val="single"/>
        </w:rPr>
      </w:pPr>
    </w:p>
    <w:p w:rsidR="0093148B" w:rsidRPr="00871A87" w:rsidRDefault="00871A87" w:rsidP="00871A87">
      <w:pPr>
        <w:jc w:val="center"/>
        <w:rPr>
          <w:rFonts w:ascii="Trebuchet MS" w:hAnsi="Trebuchet MS"/>
          <w:b/>
          <w:sz w:val="26"/>
          <w:szCs w:val="26"/>
        </w:rPr>
      </w:pPr>
      <w:r>
        <w:rPr>
          <w:rFonts w:ascii="Trebuchet MS" w:hAnsi="Trebuchet MS"/>
          <w:b/>
          <w:color w:val="000000" w:themeColor="text1"/>
          <w:sz w:val="26"/>
          <w:szCs w:val="26"/>
        </w:rPr>
        <w:t>FUNDING</w:t>
      </w:r>
    </w:p>
    <w:tbl>
      <w:tblPr>
        <w:tblStyle w:val="TableGrid"/>
        <w:tblW w:w="8298" w:type="dxa"/>
        <w:tblLook w:val="04A0" w:firstRow="1" w:lastRow="0" w:firstColumn="1" w:lastColumn="0" w:noHBand="0" w:noVBand="1"/>
      </w:tblPr>
      <w:tblGrid>
        <w:gridCol w:w="3258"/>
        <w:gridCol w:w="5040"/>
      </w:tblGrid>
      <w:tr w:rsidR="0093148B" w:rsidRPr="00240336" w:rsidTr="00802243">
        <w:tc>
          <w:tcPr>
            <w:tcW w:w="3258" w:type="dxa"/>
          </w:tcPr>
          <w:p w:rsidR="0093148B" w:rsidRPr="00ED6AA2" w:rsidRDefault="0093148B" w:rsidP="00802243">
            <w:pPr>
              <w:rPr>
                <w:b/>
              </w:rPr>
            </w:pPr>
            <w:r w:rsidRPr="00ED6AA2">
              <w:rPr>
                <w:b/>
              </w:rPr>
              <w:t>FUNDING</w:t>
            </w:r>
          </w:p>
        </w:tc>
        <w:tc>
          <w:tcPr>
            <w:tcW w:w="5040" w:type="dxa"/>
          </w:tcPr>
          <w:p w:rsidR="0093148B" w:rsidRPr="00240336" w:rsidRDefault="0093148B" w:rsidP="0093148B">
            <w:pPr>
              <w:pStyle w:val="ListParagraph"/>
              <w:numPr>
                <w:ilvl w:val="0"/>
                <w:numId w:val="1"/>
              </w:numPr>
              <w:rPr>
                <w:color w:val="000000" w:themeColor="text1"/>
              </w:rPr>
            </w:pPr>
            <w:r w:rsidRPr="00240336">
              <w:rPr>
                <w:color w:val="000000" w:themeColor="text1"/>
              </w:rPr>
              <w:t>Years 1-4 = district/charter school PPR</w:t>
            </w:r>
          </w:p>
          <w:p w:rsidR="0093148B" w:rsidRPr="00240336" w:rsidRDefault="0093148B" w:rsidP="0093148B">
            <w:pPr>
              <w:pStyle w:val="ListParagraph"/>
              <w:numPr>
                <w:ilvl w:val="0"/>
                <w:numId w:val="1"/>
              </w:numPr>
              <w:rPr>
                <w:color w:val="000000" w:themeColor="text1"/>
              </w:rPr>
            </w:pPr>
            <w:r w:rsidRPr="00240336">
              <w:rPr>
                <w:color w:val="000000" w:themeColor="text1"/>
              </w:rPr>
              <w:t>Years 5-6 = State-based PPR</w:t>
            </w:r>
          </w:p>
          <w:p w:rsidR="0093148B" w:rsidRPr="009C2800" w:rsidRDefault="0093148B" w:rsidP="0093148B">
            <w:pPr>
              <w:pStyle w:val="ListParagraph"/>
              <w:numPr>
                <w:ilvl w:val="0"/>
                <w:numId w:val="1"/>
              </w:numPr>
              <w:rPr>
                <w:color w:val="000000" w:themeColor="text1"/>
              </w:rPr>
            </w:pPr>
            <w:r w:rsidRPr="00240336">
              <w:rPr>
                <w:iCs/>
                <w:color w:val="000000" w:themeColor="text1"/>
              </w:rPr>
              <w:t>Students are eligible to allocate the College Opportunity Fund (COF) stipend per college credit hour taken.</w:t>
            </w:r>
          </w:p>
          <w:p w:rsidR="0093148B" w:rsidRPr="00240336" w:rsidRDefault="0093148B" w:rsidP="0093148B">
            <w:pPr>
              <w:pStyle w:val="ListParagraph"/>
              <w:numPr>
                <w:ilvl w:val="0"/>
                <w:numId w:val="1"/>
              </w:numPr>
              <w:rPr>
                <w:color w:val="000000" w:themeColor="text1"/>
              </w:rPr>
            </w:pPr>
            <w:r>
              <w:rPr>
                <w:color w:val="000000"/>
              </w:rPr>
              <w:t>Students enrolled in their 5th or 6th year of high school at a PTECH school or program are eligible for full-time funding if they are scheduled for a minimum of one class in the semester of the pupil enrollment count date.</w:t>
            </w:r>
          </w:p>
        </w:tc>
      </w:tr>
    </w:tbl>
    <w:p w:rsidR="0093148B" w:rsidRDefault="0093148B" w:rsidP="0093148B">
      <w:pPr>
        <w:rPr>
          <w:sz w:val="24"/>
          <w:szCs w:val="24"/>
          <w:u w:val="single"/>
        </w:rPr>
      </w:pPr>
    </w:p>
    <w:p w:rsidR="0093148B" w:rsidRDefault="0093148B" w:rsidP="0093148B">
      <w:pPr>
        <w:rPr>
          <w:sz w:val="24"/>
          <w:szCs w:val="24"/>
          <w:u w:val="single"/>
        </w:rPr>
      </w:pPr>
    </w:p>
    <w:p w:rsidR="0093148B" w:rsidRPr="00871A87" w:rsidRDefault="0093148B" w:rsidP="00871A87">
      <w:pPr>
        <w:jc w:val="center"/>
        <w:rPr>
          <w:rFonts w:ascii="Trebuchet MS" w:hAnsi="Trebuchet MS"/>
          <w:b/>
          <w:color w:val="000000" w:themeColor="text1"/>
          <w:sz w:val="26"/>
          <w:szCs w:val="26"/>
        </w:rPr>
      </w:pPr>
      <w:r w:rsidRPr="00871A87">
        <w:rPr>
          <w:rFonts w:ascii="Trebuchet MS" w:hAnsi="Trebuchet MS"/>
          <w:b/>
          <w:color w:val="000000" w:themeColor="text1"/>
          <w:sz w:val="26"/>
          <w:szCs w:val="26"/>
        </w:rPr>
        <w:t>STA</w:t>
      </w:r>
      <w:r w:rsidR="00871A87">
        <w:rPr>
          <w:rFonts w:ascii="Trebuchet MS" w:hAnsi="Trebuchet MS"/>
          <w:b/>
          <w:color w:val="000000" w:themeColor="text1"/>
          <w:sz w:val="26"/>
          <w:szCs w:val="26"/>
        </w:rPr>
        <w:t>TE REPORTING AND ACCOUNTABILITY</w:t>
      </w:r>
    </w:p>
    <w:tbl>
      <w:tblPr>
        <w:tblStyle w:val="TableGrid"/>
        <w:tblW w:w="8298" w:type="dxa"/>
        <w:tblLook w:val="04A0" w:firstRow="1" w:lastRow="0" w:firstColumn="1" w:lastColumn="0" w:noHBand="0" w:noVBand="1"/>
      </w:tblPr>
      <w:tblGrid>
        <w:gridCol w:w="3258"/>
        <w:gridCol w:w="5040"/>
      </w:tblGrid>
      <w:tr w:rsidR="0093148B" w:rsidRPr="003450BB" w:rsidTr="00802243">
        <w:tc>
          <w:tcPr>
            <w:tcW w:w="3258" w:type="dxa"/>
          </w:tcPr>
          <w:p w:rsidR="0093148B" w:rsidRPr="003450BB" w:rsidRDefault="0093148B" w:rsidP="00802243">
            <w:pPr>
              <w:rPr>
                <w:b/>
              </w:rPr>
            </w:pPr>
            <w:r w:rsidRPr="003450BB">
              <w:rPr>
                <w:b/>
              </w:rPr>
              <w:t>ENROLLMENT REQUIREMENTS</w:t>
            </w:r>
          </w:p>
        </w:tc>
        <w:tc>
          <w:tcPr>
            <w:tcW w:w="5040" w:type="dxa"/>
          </w:tcPr>
          <w:p w:rsidR="0093148B" w:rsidRPr="003450BB" w:rsidRDefault="0093148B" w:rsidP="00802243">
            <w:pPr>
              <w:rPr>
                <w:bCs/>
              </w:rPr>
            </w:pPr>
            <w:r w:rsidRPr="003450BB">
              <w:rPr>
                <w:bCs/>
              </w:rPr>
              <w:t>Please refer to the PTECH section of the:</w:t>
            </w:r>
          </w:p>
          <w:p w:rsidR="0093148B" w:rsidRPr="003450BB" w:rsidRDefault="00002910" w:rsidP="00802243">
            <w:pPr>
              <w:rPr>
                <w:color w:val="000000" w:themeColor="text1"/>
              </w:rPr>
            </w:pPr>
            <w:hyperlink r:id="rId8" w:history="1">
              <w:r w:rsidR="0093148B" w:rsidRPr="003450BB">
                <w:rPr>
                  <w:rStyle w:val="Hyperlink"/>
                  <w:bCs/>
                </w:rPr>
                <w:t>Student October Count Audit Resource Guide</w:t>
              </w:r>
            </w:hyperlink>
          </w:p>
        </w:tc>
      </w:tr>
      <w:tr w:rsidR="0093148B" w:rsidRPr="003450BB" w:rsidTr="00802243">
        <w:tc>
          <w:tcPr>
            <w:tcW w:w="3258" w:type="dxa"/>
          </w:tcPr>
          <w:p w:rsidR="0093148B" w:rsidRPr="003450BB" w:rsidRDefault="0093148B" w:rsidP="00802243">
            <w:pPr>
              <w:rPr>
                <w:b/>
              </w:rPr>
            </w:pPr>
            <w:r w:rsidRPr="003450BB">
              <w:rPr>
                <w:b/>
              </w:rPr>
              <w:t>GRADUATION RATE REPORTING</w:t>
            </w:r>
          </w:p>
        </w:tc>
        <w:tc>
          <w:tcPr>
            <w:tcW w:w="5040" w:type="dxa"/>
          </w:tcPr>
          <w:p w:rsidR="0093148B" w:rsidRPr="003450BB" w:rsidRDefault="0093148B" w:rsidP="00802243">
            <w:pPr>
              <w:rPr>
                <w:bCs/>
              </w:rPr>
            </w:pPr>
            <w:r w:rsidRPr="003450BB">
              <w:t>A P-TECH student will be counted in the Local Education Provider’s or host school’s graduation rate in the year in which the student completes the Local Education Provider’s or host school’s minimum graduation requirements.</w:t>
            </w:r>
            <w:r>
              <w:t xml:space="preserve"> </w:t>
            </w:r>
            <w:r w:rsidRPr="00843496">
              <w:t>Students can continue on in PTECH for 5</w:t>
            </w:r>
            <w:r w:rsidRPr="00843496">
              <w:rPr>
                <w:vertAlign w:val="superscript"/>
              </w:rPr>
              <w:t>th</w:t>
            </w:r>
            <w:r w:rsidRPr="00843496">
              <w:t xml:space="preserve"> or 6</w:t>
            </w:r>
            <w:r w:rsidRPr="00843496">
              <w:rPr>
                <w:vertAlign w:val="superscript"/>
              </w:rPr>
              <w:t>th</w:t>
            </w:r>
            <w:r w:rsidRPr="00843496">
              <w:t xml:space="preserve"> year</w:t>
            </w:r>
            <w:r>
              <w:t>.</w:t>
            </w:r>
          </w:p>
        </w:tc>
      </w:tr>
      <w:tr w:rsidR="0093148B" w:rsidRPr="00240336" w:rsidTr="00802243">
        <w:tc>
          <w:tcPr>
            <w:tcW w:w="3258" w:type="dxa"/>
          </w:tcPr>
          <w:p w:rsidR="0093148B" w:rsidRPr="00ED6AA2" w:rsidRDefault="0093148B" w:rsidP="00802243">
            <w:pPr>
              <w:rPr>
                <w:b/>
              </w:rPr>
            </w:pPr>
            <w:r w:rsidRPr="00ED6AA2">
              <w:rPr>
                <w:b/>
              </w:rPr>
              <w:t>REPORTING</w:t>
            </w:r>
            <w:r>
              <w:rPr>
                <w:b/>
              </w:rPr>
              <w:t xml:space="preserve"> REQUIREMENTS</w:t>
            </w:r>
          </w:p>
        </w:tc>
        <w:tc>
          <w:tcPr>
            <w:tcW w:w="5040" w:type="dxa"/>
          </w:tcPr>
          <w:p w:rsidR="0093148B" w:rsidRPr="00240336" w:rsidRDefault="0093148B" w:rsidP="00802243">
            <w:pPr>
              <w:rPr>
                <w:color w:val="000000" w:themeColor="text1"/>
              </w:rPr>
            </w:pPr>
            <w:r w:rsidRPr="00240336">
              <w:rPr>
                <w:color w:val="000000" w:themeColor="text1"/>
              </w:rPr>
              <w:t>Annual PTECH report and all other state required reporting.</w:t>
            </w:r>
          </w:p>
        </w:tc>
      </w:tr>
      <w:tr w:rsidR="0093148B" w:rsidTr="00802243">
        <w:tc>
          <w:tcPr>
            <w:tcW w:w="3258" w:type="dxa"/>
          </w:tcPr>
          <w:p w:rsidR="0093148B" w:rsidRPr="00ED6AA2" w:rsidRDefault="0093148B" w:rsidP="00802243">
            <w:pPr>
              <w:rPr>
                <w:b/>
              </w:rPr>
            </w:pPr>
            <w:r>
              <w:rPr>
                <w:b/>
              </w:rPr>
              <w:t>ACCOUNTABILITY</w:t>
            </w:r>
          </w:p>
        </w:tc>
        <w:tc>
          <w:tcPr>
            <w:tcW w:w="5040" w:type="dxa"/>
          </w:tcPr>
          <w:p w:rsidR="0093148B" w:rsidRDefault="0093148B" w:rsidP="00802243">
            <w:pPr>
              <w:rPr>
                <w:bCs/>
              </w:rPr>
            </w:pPr>
            <w:r>
              <w:t xml:space="preserve">PTECH schools are required to comply with </w:t>
            </w:r>
            <w:r w:rsidRPr="008B439E">
              <w:rPr>
                <w:bCs/>
              </w:rPr>
              <w:t>the requirements and responsibilities for state, district and school stakeholders in the state’s accountability process established by the Education Accountability Act of 2009 (S.B. 09-163)</w:t>
            </w:r>
            <w:r>
              <w:rPr>
                <w:bCs/>
              </w:rPr>
              <w:t>.</w:t>
            </w:r>
          </w:p>
          <w:p w:rsidR="0093148B" w:rsidRDefault="0093148B" w:rsidP="00802243">
            <w:pPr>
              <w:rPr>
                <w:bCs/>
              </w:rPr>
            </w:pPr>
          </w:p>
          <w:p w:rsidR="0093148B" w:rsidRDefault="0093148B" w:rsidP="00802243">
            <w:pPr>
              <w:rPr>
                <w:bCs/>
              </w:rPr>
            </w:pPr>
            <w:r>
              <w:rPr>
                <w:bCs/>
              </w:rPr>
              <w:t>Please refer to the PTECH section of the:</w:t>
            </w:r>
          </w:p>
          <w:p w:rsidR="0093148B" w:rsidRDefault="00002910" w:rsidP="00802243">
            <w:pPr>
              <w:rPr>
                <w:bCs/>
              </w:rPr>
            </w:pPr>
            <w:hyperlink r:id="rId9" w:history="1">
              <w:r w:rsidR="0093148B" w:rsidRPr="00B546B3">
                <w:rPr>
                  <w:rStyle w:val="Hyperlink"/>
                  <w:bCs/>
                </w:rPr>
                <w:t>Student October Count Audit Resource Guide</w:t>
              </w:r>
            </w:hyperlink>
          </w:p>
          <w:p w:rsidR="0093148B" w:rsidRDefault="0093148B" w:rsidP="00802243"/>
        </w:tc>
      </w:tr>
    </w:tbl>
    <w:p w:rsidR="0093148B" w:rsidRDefault="0093148B" w:rsidP="0093148B">
      <w:pPr>
        <w:rPr>
          <w:sz w:val="24"/>
          <w:szCs w:val="24"/>
          <w:u w:val="single"/>
        </w:rPr>
      </w:pPr>
    </w:p>
    <w:p w:rsidR="0093148B" w:rsidRDefault="0093148B" w:rsidP="0093148B">
      <w:pPr>
        <w:rPr>
          <w:sz w:val="24"/>
          <w:szCs w:val="24"/>
          <w:u w:val="single"/>
        </w:rPr>
      </w:pPr>
    </w:p>
    <w:p w:rsidR="0093148B" w:rsidRDefault="0093148B" w:rsidP="0093148B">
      <w:pPr>
        <w:rPr>
          <w:sz w:val="24"/>
          <w:szCs w:val="24"/>
          <w:u w:val="single"/>
        </w:rPr>
      </w:pPr>
    </w:p>
    <w:p w:rsidR="0093148B" w:rsidRDefault="0093148B" w:rsidP="0093148B">
      <w:pPr>
        <w:rPr>
          <w:sz w:val="24"/>
          <w:szCs w:val="24"/>
          <w:u w:val="single"/>
        </w:rPr>
      </w:pPr>
    </w:p>
    <w:p w:rsidR="0093148B" w:rsidRPr="00871A87" w:rsidRDefault="00871A87" w:rsidP="00871A87">
      <w:pPr>
        <w:jc w:val="center"/>
        <w:rPr>
          <w:rFonts w:ascii="Trebuchet MS" w:hAnsi="Trebuchet MS"/>
          <w:b/>
          <w:sz w:val="26"/>
          <w:szCs w:val="26"/>
        </w:rPr>
      </w:pPr>
      <w:r>
        <w:rPr>
          <w:rFonts w:ascii="Trebuchet MS" w:hAnsi="Trebuchet MS"/>
          <w:b/>
          <w:color w:val="000000" w:themeColor="text1"/>
          <w:sz w:val="26"/>
          <w:szCs w:val="26"/>
        </w:rPr>
        <w:t>APPLICATION PROCESS</w:t>
      </w:r>
    </w:p>
    <w:tbl>
      <w:tblPr>
        <w:tblStyle w:val="TableGrid"/>
        <w:tblW w:w="8298" w:type="dxa"/>
        <w:tblLook w:val="04A0" w:firstRow="1" w:lastRow="0" w:firstColumn="1" w:lastColumn="0" w:noHBand="0" w:noVBand="1"/>
      </w:tblPr>
      <w:tblGrid>
        <w:gridCol w:w="3258"/>
        <w:gridCol w:w="5040"/>
      </w:tblGrid>
      <w:tr w:rsidR="0093148B" w:rsidRPr="00240336" w:rsidTr="00802243">
        <w:tc>
          <w:tcPr>
            <w:tcW w:w="3258" w:type="dxa"/>
          </w:tcPr>
          <w:p w:rsidR="0093148B" w:rsidRPr="00ED6AA2" w:rsidRDefault="0093148B" w:rsidP="00802243">
            <w:pPr>
              <w:rPr>
                <w:b/>
              </w:rPr>
            </w:pPr>
            <w:r w:rsidRPr="00ED6AA2">
              <w:rPr>
                <w:b/>
              </w:rPr>
              <w:t>APPLICATION PROCESS</w:t>
            </w:r>
          </w:p>
        </w:tc>
        <w:tc>
          <w:tcPr>
            <w:tcW w:w="5040" w:type="dxa"/>
          </w:tcPr>
          <w:p w:rsidR="0093148B" w:rsidRPr="00240336" w:rsidRDefault="0093148B" w:rsidP="00802243">
            <w:pPr>
              <w:rPr>
                <w:color w:val="000000" w:themeColor="text1"/>
              </w:rPr>
            </w:pPr>
            <w:r w:rsidRPr="00240336">
              <w:rPr>
                <w:color w:val="000000" w:themeColor="text1"/>
              </w:rPr>
              <w:t>Submit to Colorado Department of Education (CDE) no later than December 1</w:t>
            </w:r>
            <w:r w:rsidRPr="00240336">
              <w:rPr>
                <w:color w:val="000000" w:themeColor="text1"/>
                <w:vertAlign w:val="superscript"/>
              </w:rPr>
              <w:t>st</w:t>
            </w:r>
            <w:r w:rsidRPr="00240336">
              <w:rPr>
                <w:color w:val="000000" w:themeColor="text1"/>
              </w:rPr>
              <w:t xml:space="preserve"> to begin operation the following fall.</w:t>
            </w:r>
          </w:p>
          <w:p w:rsidR="0093148B" w:rsidRPr="00240336" w:rsidRDefault="0093148B" w:rsidP="00802243">
            <w:pPr>
              <w:ind w:left="360"/>
              <w:rPr>
                <w:color w:val="000000" w:themeColor="text1"/>
              </w:rPr>
            </w:pPr>
          </w:p>
        </w:tc>
      </w:tr>
      <w:tr w:rsidR="0093148B" w:rsidRPr="00240336" w:rsidTr="00802243">
        <w:tc>
          <w:tcPr>
            <w:tcW w:w="3258" w:type="dxa"/>
          </w:tcPr>
          <w:p w:rsidR="0093148B" w:rsidRPr="00ED6AA2" w:rsidRDefault="0093148B" w:rsidP="00802243">
            <w:pPr>
              <w:rPr>
                <w:b/>
              </w:rPr>
            </w:pPr>
            <w:r>
              <w:br w:type="page"/>
            </w:r>
            <w:r w:rsidRPr="00ED6AA2">
              <w:rPr>
                <w:b/>
              </w:rPr>
              <w:t>REVIEW &amp; DETERMINATION</w:t>
            </w:r>
          </w:p>
        </w:tc>
        <w:tc>
          <w:tcPr>
            <w:tcW w:w="5040" w:type="dxa"/>
          </w:tcPr>
          <w:p w:rsidR="0093148B" w:rsidRPr="00240336" w:rsidRDefault="0093148B" w:rsidP="00802243">
            <w:pPr>
              <w:rPr>
                <w:color w:val="000000" w:themeColor="text1"/>
              </w:rPr>
            </w:pPr>
            <w:r w:rsidRPr="00240336">
              <w:rPr>
                <w:color w:val="000000" w:themeColor="text1"/>
              </w:rPr>
              <w:t xml:space="preserve">Education and Training Committee (CWDC) reviews application and provides recommendation to Commissioner of Education &amp; Executive Director of the Department of Higher Education for joint approval.  </w:t>
            </w:r>
          </w:p>
          <w:p w:rsidR="0093148B" w:rsidRPr="00240336" w:rsidRDefault="0093148B" w:rsidP="00802243">
            <w:pPr>
              <w:rPr>
                <w:color w:val="000000" w:themeColor="text1"/>
              </w:rPr>
            </w:pPr>
            <w:r w:rsidRPr="00240336">
              <w:rPr>
                <w:color w:val="000000" w:themeColor="text1"/>
              </w:rPr>
              <w:t xml:space="preserve">Possible joint decisions: 1) </w:t>
            </w:r>
            <w:r w:rsidRPr="00240336">
              <w:rPr>
                <w:iCs/>
                <w:color w:val="000000" w:themeColor="text1"/>
              </w:rPr>
              <w:t>approved; 2) minor changes needed; 3) denied (may reapply).</w:t>
            </w:r>
            <w:r w:rsidRPr="00240336">
              <w:rPr>
                <w:color w:val="000000" w:themeColor="text1"/>
              </w:rPr>
              <w:t xml:space="preserve">  </w:t>
            </w:r>
          </w:p>
          <w:p w:rsidR="0093148B" w:rsidRPr="00240336" w:rsidRDefault="0093148B" w:rsidP="00802243">
            <w:pPr>
              <w:rPr>
                <w:color w:val="000000" w:themeColor="text1"/>
              </w:rPr>
            </w:pPr>
          </w:p>
        </w:tc>
      </w:tr>
    </w:tbl>
    <w:p w:rsidR="000A5AFE" w:rsidRPr="000A5AFE" w:rsidRDefault="000A5AFE" w:rsidP="000A5AFE"/>
    <w:sectPr w:rsidR="000A5AFE" w:rsidRPr="000A5AF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D7" w:rsidRDefault="00B646D7" w:rsidP="00B646D7">
      <w:pPr>
        <w:spacing w:after="0" w:line="240" w:lineRule="auto"/>
      </w:pPr>
      <w:r>
        <w:separator/>
      </w:r>
    </w:p>
  </w:endnote>
  <w:endnote w:type="continuationSeparator" w:id="0">
    <w:p w:rsidR="00B646D7" w:rsidRDefault="00B646D7" w:rsidP="00B6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A8" w:rsidRPr="009708A8" w:rsidRDefault="009708A8">
    <w:pPr>
      <w:pStyle w:val="Footer"/>
      <w:rPr>
        <w:i/>
        <w:color w:val="808080" w:themeColor="background1" w:themeShade="80"/>
      </w:rPr>
    </w:pPr>
    <w:r>
      <w:tab/>
    </w:r>
    <w:r>
      <w:tab/>
    </w:r>
    <w:r>
      <w:rPr>
        <w:i/>
        <w:color w:val="808080" w:themeColor="background1" w:themeShade="80"/>
      </w:rPr>
      <w:t>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D7" w:rsidRDefault="00B646D7" w:rsidP="00B646D7">
      <w:pPr>
        <w:spacing w:after="0" w:line="240" w:lineRule="auto"/>
      </w:pPr>
      <w:r>
        <w:separator/>
      </w:r>
    </w:p>
  </w:footnote>
  <w:footnote w:type="continuationSeparator" w:id="0">
    <w:p w:rsidR="00B646D7" w:rsidRDefault="00B646D7" w:rsidP="00B64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D7" w:rsidRPr="009708A8" w:rsidRDefault="00B646D7">
    <w:pPr>
      <w:pStyle w:val="Header"/>
      <w:rPr>
        <w:i/>
        <w:color w:val="808080" w:themeColor="background1" w:themeShade="80"/>
      </w:rPr>
    </w:pPr>
    <w:r>
      <w:rPr>
        <w:noProof/>
      </w:rPr>
      <w:drawing>
        <wp:anchor distT="0" distB="0" distL="114300" distR="114300" simplePos="0" relativeHeight="251659264" behindDoc="0" locked="0" layoutInCell="1" allowOverlap="1" wp14:anchorId="70715F5F" wp14:editId="4864B812">
          <wp:simplePos x="0" y="0"/>
          <wp:positionH relativeFrom="column">
            <wp:posOffset>-409575</wp:posOffset>
          </wp:positionH>
          <wp:positionV relativeFrom="paragraph">
            <wp:posOffset>-247042</wp:posOffset>
          </wp:positionV>
          <wp:extent cx="2474595" cy="45085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tr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595" cy="450850"/>
                  </a:xfrm>
                  <a:prstGeom prst="rect">
                    <a:avLst/>
                  </a:prstGeom>
                </pic:spPr>
              </pic:pic>
            </a:graphicData>
          </a:graphic>
        </wp:anchor>
      </w:drawing>
    </w:r>
    <w:r w:rsidR="009708A8">
      <w:tab/>
    </w:r>
    <w:r w:rsidR="009708A8">
      <w:tab/>
    </w:r>
    <w:r w:rsidR="009708A8">
      <w:rPr>
        <w:i/>
        <w:color w:val="808080" w:themeColor="background1" w:themeShade="80"/>
      </w:rPr>
      <w:t>P-TECH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D792D"/>
    <w:multiLevelType w:val="hybridMultilevel"/>
    <w:tmpl w:val="26E46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4017F3"/>
    <w:multiLevelType w:val="hybridMultilevel"/>
    <w:tmpl w:val="F5E4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CD316F"/>
    <w:multiLevelType w:val="hybridMultilevel"/>
    <w:tmpl w:val="731EA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4041D0"/>
    <w:multiLevelType w:val="hybridMultilevel"/>
    <w:tmpl w:val="C8447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D7"/>
    <w:rsid w:val="00002910"/>
    <w:rsid w:val="000A5AFE"/>
    <w:rsid w:val="002B0ED4"/>
    <w:rsid w:val="00871A87"/>
    <w:rsid w:val="009039FC"/>
    <w:rsid w:val="0093148B"/>
    <w:rsid w:val="009708A8"/>
    <w:rsid w:val="00B6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D4488-C020-4717-9EB8-F1CFC2F1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6D7"/>
  </w:style>
  <w:style w:type="paragraph" w:styleId="Footer">
    <w:name w:val="footer"/>
    <w:basedOn w:val="Normal"/>
    <w:link w:val="FooterChar"/>
    <w:uiPriority w:val="99"/>
    <w:unhideWhenUsed/>
    <w:rsid w:val="00B6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6D7"/>
  </w:style>
  <w:style w:type="character" w:styleId="Hyperlink">
    <w:name w:val="Hyperlink"/>
    <w:basedOn w:val="DefaultParagraphFont"/>
    <w:uiPriority w:val="99"/>
    <w:unhideWhenUsed/>
    <w:rsid w:val="000A5AFE"/>
    <w:rPr>
      <w:color w:val="0000FF" w:themeColor="hyperlink"/>
      <w:u w:val="single"/>
    </w:rPr>
  </w:style>
  <w:style w:type="paragraph" w:styleId="ListParagraph">
    <w:name w:val="List Paragraph"/>
    <w:basedOn w:val="Normal"/>
    <w:uiPriority w:val="34"/>
    <w:qFormat/>
    <w:rsid w:val="0093148B"/>
    <w:pPr>
      <w:ind w:left="720"/>
      <w:contextualSpacing/>
    </w:pPr>
  </w:style>
  <w:style w:type="table" w:styleId="TableGrid">
    <w:name w:val="Table Grid"/>
    <w:basedOn w:val="TableNormal"/>
    <w:uiPriority w:val="59"/>
    <w:rsid w:val="0093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48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70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finance/auditunit_pupilcou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xisnexis.com/hottopics/colorado/?source=COLO;CODE&amp;tocpath=1S1KUZJO2YQDT8ADV,2FJWK1OAI08A5TS8Y,3NFHMKJSATPOM5AHP;1C9RCBSGO1USS8IRN,2PROIEYQMCX93FJG4,3M8USO6H09SCDQM9M;1BPIH6YIBEASD5MVF,25R5MU8I0YR9G1Y5Q,3JQ8K6ME5L8W7VQAT&amp;shortheader=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e.state.co.us/cdefinance/auditunit_pupilcou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Mary Anne</dc:creator>
  <cp:lastModifiedBy>Hunter, Mary Anne</cp:lastModifiedBy>
  <cp:revision>6</cp:revision>
  <cp:lastPrinted>2018-10-19T17:08:00Z</cp:lastPrinted>
  <dcterms:created xsi:type="dcterms:W3CDTF">2018-10-19T16:57:00Z</dcterms:created>
  <dcterms:modified xsi:type="dcterms:W3CDTF">2019-12-30T16:13:00Z</dcterms:modified>
</cp:coreProperties>
</file>