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54" w:rsidRPr="00040247" w:rsidRDefault="00A14802" w:rsidP="00040247">
      <w:pPr>
        <w:spacing w:line="240" w:lineRule="auto"/>
        <w:contextualSpacing/>
        <w:jc w:val="center"/>
        <w:rPr>
          <w:b/>
        </w:rPr>
      </w:pPr>
      <w:r w:rsidRPr="00040247">
        <w:rPr>
          <w:b/>
        </w:rPr>
        <w:t>Score</w:t>
      </w:r>
      <w:r w:rsidR="00A569DA" w:rsidRPr="00040247">
        <w:rPr>
          <w:b/>
        </w:rPr>
        <w:t>s</w:t>
      </w:r>
      <w:r w:rsidRPr="00040247">
        <w:rPr>
          <w:b/>
        </w:rPr>
        <w:t xml:space="preserve"> for MAT</w:t>
      </w:r>
      <w:r w:rsidR="003E16EE">
        <w:rPr>
          <w:b/>
        </w:rPr>
        <w:t>H</w:t>
      </w:r>
      <w:bookmarkStart w:id="0" w:name="_GoBack"/>
      <w:bookmarkEnd w:id="0"/>
    </w:p>
    <w:p w:rsidR="00A569DA" w:rsidRDefault="00A569DA" w:rsidP="00040247">
      <w:pPr>
        <w:spacing w:line="240" w:lineRule="auto"/>
        <w:contextualSpacing/>
      </w:pPr>
      <w:r>
        <w:t>AR is Arithmetic</w:t>
      </w:r>
    </w:p>
    <w:p w:rsidR="00A569DA" w:rsidRDefault="00A569DA" w:rsidP="00040247">
      <w:pPr>
        <w:spacing w:line="240" w:lineRule="auto"/>
        <w:contextualSpacing/>
      </w:pPr>
      <w:r>
        <w:t>QAS is Quantitative Reasoning, Algebra and Statistics</w:t>
      </w:r>
    </w:p>
    <w:p w:rsidR="00A14802" w:rsidRDefault="00A569DA" w:rsidP="00040247">
      <w:pPr>
        <w:spacing w:line="240" w:lineRule="auto"/>
        <w:contextualSpacing/>
      </w:pPr>
      <w:r>
        <w:t>AAF is Advanced Algebra and Functions</w:t>
      </w:r>
    </w:p>
    <w:p w:rsidR="00040247" w:rsidRDefault="00040247" w:rsidP="00040247">
      <w:pPr>
        <w:spacing w:line="240" w:lineRule="auto"/>
        <w:contextualSpacing/>
      </w:pPr>
    </w:p>
    <w:p w:rsidR="00040247" w:rsidRDefault="00040247" w:rsidP="00040247">
      <w:pPr>
        <w:spacing w:line="240" w:lineRule="auto"/>
        <w:contextualSpacing/>
      </w:pPr>
      <w:r>
        <w:t xml:space="preserve">General Guidelines for Accuplacer Next Gen Math  </w:t>
      </w:r>
    </w:p>
    <w:p w:rsidR="00040247" w:rsidRDefault="00040247" w:rsidP="00040247">
      <w:pPr>
        <w:pStyle w:val="ListParagraph"/>
        <w:numPr>
          <w:ilvl w:val="0"/>
          <w:numId w:val="1"/>
        </w:numPr>
        <w:spacing w:line="240" w:lineRule="auto"/>
      </w:pPr>
      <w:r>
        <w:t>Students should start in the QAS portion of the test</w:t>
      </w:r>
    </w:p>
    <w:p w:rsidR="00040247" w:rsidRDefault="00040247" w:rsidP="00040247">
      <w:pPr>
        <w:pStyle w:val="ListParagraph"/>
        <w:numPr>
          <w:ilvl w:val="1"/>
          <w:numId w:val="1"/>
        </w:numPr>
        <w:spacing w:line="240" w:lineRule="auto"/>
      </w:pPr>
      <w:r w:rsidRPr="002E4B39">
        <w:t xml:space="preserve">If the student only needs a MAT CTE course MAT 102-112, then the student </w:t>
      </w:r>
      <w:proofErr w:type="gramStart"/>
      <w:r w:rsidRPr="002E4B39">
        <w:t>should be directed</w:t>
      </w:r>
      <w:proofErr w:type="gramEnd"/>
      <w:r w:rsidRPr="002E4B39">
        <w:t xml:space="preserve"> to take just the AR portion of the exam.</w:t>
      </w:r>
    </w:p>
    <w:p w:rsidR="00040247" w:rsidRDefault="00040247" w:rsidP="00040247">
      <w:pPr>
        <w:pStyle w:val="ListParagraph"/>
        <w:numPr>
          <w:ilvl w:val="1"/>
          <w:numId w:val="1"/>
        </w:numPr>
        <w:spacing w:line="240" w:lineRule="auto"/>
      </w:pPr>
      <w:r>
        <w:t xml:space="preserve">If the student is a STEM student who already has a MAT 121 college readiness indicator, then the student </w:t>
      </w:r>
      <w:proofErr w:type="gramStart"/>
      <w:r w:rsidRPr="00040247">
        <w:rPr>
          <w:b/>
        </w:rPr>
        <w:t>can be</w:t>
      </w:r>
      <w:r>
        <w:t xml:space="preserve"> directed</w:t>
      </w:r>
      <w:proofErr w:type="gramEnd"/>
      <w:r>
        <w:t xml:space="preserve"> to take just the AAF portion of the test.</w:t>
      </w:r>
    </w:p>
    <w:p w:rsidR="00040247" w:rsidRDefault="00040247" w:rsidP="00040247">
      <w:pPr>
        <w:pStyle w:val="ListParagraph"/>
        <w:spacing w:line="240" w:lineRule="auto"/>
        <w:ind w:left="1080"/>
      </w:pPr>
    </w:p>
    <w:p w:rsidR="00040247" w:rsidRPr="00040247" w:rsidRDefault="00040247" w:rsidP="00040247">
      <w:pPr>
        <w:pStyle w:val="ListParagraph"/>
        <w:numPr>
          <w:ilvl w:val="0"/>
          <w:numId w:val="1"/>
        </w:numPr>
        <w:spacing w:line="240" w:lineRule="auto"/>
      </w:pPr>
      <w:r w:rsidRPr="00040247">
        <w:t xml:space="preserve">The score range </w:t>
      </w:r>
      <w:r>
        <w:t>AR 200- 239 is</w:t>
      </w:r>
      <w:r w:rsidRPr="00040247">
        <w:t xml:space="preserve"> for what </w:t>
      </w:r>
      <w:proofErr w:type="gramStart"/>
      <w:r>
        <w:t>is</w:t>
      </w:r>
      <w:r w:rsidRPr="00040247">
        <w:t xml:space="preserve"> described</w:t>
      </w:r>
      <w:proofErr w:type="gramEnd"/>
      <w:r w:rsidRPr="00040247">
        <w:t xml:space="preserve"> as the “Assessment Prep” (AR 200- 239) in the Developmental Education Redesign.  Colleges wanted latitude to offer the interventions that they felt best served their students.  Colleges refer these students to ABE programs or provide other basic skill remediation programs like Boot Camps.</w:t>
      </w:r>
    </w:p>
    <w:p w:rsidR="00040247" w:rsidRDefault="00040247" w:rsidP="00040247">
      <w:pPr>
        <w:pStyle w:val="ListParagraph"/>
        <w:spacing w:line="240" w:lineRule="auto"/>
        <w:ind w:left="1080"/>
      </w:pPr>
    </w:p>
    <w:p w:rsidR="00040247" w:rsidRDefault="00040247" w:rsidP="00040247">
      <w:pPr>
        <w:pStyle w:val="ListParagraph"/>
        <w:numPr>
          <w:ilvl w:val="0"/>
          <w:numId w:val="1"/>
        </w:numPr>
        <w:spacing w:line="240" w:lineRule="auto"/>
      </w:pPr>
      <w:r w:rsidRPr="00882952">
        <w:t>Colleges that offer the math support lab, MAT 092:  Students who need MAT 120, 135, 155, or 156 for their program of study AND who score less than 230 on the QAS should be branched back into the arithmetic portion of the test.</w:t>
      </w:r>
    </w:p>
    <w:p w:rsidR="00040247" w:rsidRPr="00882952" w:rsidRDefault="00040247" w:rsidP="00040247">
      <w:pPr>
        <w:pStyle w:val="FootnoteText"/>
        <w:numPr>
          <w:ilvl w:val="0"/>
          <w:numId w:val="1"/>
        </w:numPr>
        <w:contextualSpacing/>
        <w:rPr>
          <w:sz w:val="22"/>
          <w:szCs w:val="22"/>
        </w:rPr>
      </w:pPr>
      <w:r w:rsidRPr="00882952">
        <w:rPr>
          <w:sz w:val="22"/>
          <w:szCs w:val="22"/>
        </w:rPr>
        <w:t>Colleges that do not offer the math support lab, MAT 092:  Students who need MAT 120, 135, 155, or 156 for their program of study AND who score less than 240 on the QAS should be branched back into the arithmetic portion of the test.</w:t>
      </w:r>
    </w:p>
    <w:p w:rsidR="00040247" w:rsidRPr="00882952" w:rsidRDefault="00040247" w:rsidP="00040247">
      <w:pPr>
        <w:pStyle w:val="ListParagraph"/>
        <w:spacing w:line="240" w:lineRule="auto"/>
        <w:ind w:left="360"/>
      </w:pPr>
    </w:p>
    <w:p w:rsidR="00040247" w:rsidRPr="00882952" w:rsidRDefault="00040247" w:rsidP="00040247">
      <w:pPr>
        <w:pStyle w:val="ListParagraph"/>
        <w:numPr>
          <w:ilvl w:val="0"/>
          <w:numId w:val="1"/>
        </w:numPr>
        <w:spacing w:line="240" w:lineRule="auto"/>
      </w:pPr>
      <w:r>
        <w:t xml:space="preserve">Students who are on a STEM pathway </w:t>
      </w:r>
      <w:r w:rsidRPr="00882952">
        <w:t>(needing to take MAT 121 or MAT 123)</w:t>
      </w:r>
      <w:r>
        <w:t xml:space="preserve"> </w:t>
      </w:r>
      <w:r w:rsidRPr="00882952">
        <w:rPr>
          <w:b/>
        </w:rPr>
        <w:t>AND</w:t>
      </w:r>
      <w:r>
        <w:t xml:space="preserve"> who score higher </w:t>
      </w:r>
      <w:r w:rsidRPr="00882952">
        <w:t>than 250 on the</w:t>
      </w:r>
      <w:r>
        <w:t xml:space="preserve"> QAS </w:t>
      </w:r>
      <w:r w:rsidRPr="00882952">
        <w:t>should be branched up to take the AAF portion of the test to see if they can test into MAT 121/MAT 123.</w:t>
      </w:r>
    </w:p>
    <w:p w:rsidR="00040247" w:rsidRDefault="00040247" w:rsidP="00040247">
      <w:pPr>
        <w:spacing w:line="240" w:lineRule="auto"/>
        <w:contextualSpacing/>
      </w:pPr>
    </w:p>
    <w:p w:rsidR="00040247" w:rsidRDefault="00040247" w:rsidP="00040247">
      <w:pPr>
        <w:spacing w:line="240" w:lineRule="auto"/>
        <w:contextualSpacing/>
      </w:pPr>
    </w:p>
    <w:tbl>
      <w:tblPr>
        <w:tblStyle w:val="TableGrid"/>
        <w:tblW w:w="0" w:type="auto"/>
        <w:tblLook w:val="04A0" w:firstRow="1" w:lastRow="0" w:firstColumn="1" w:lastColumn="0" w:noHBand="0" w:noVBand="1"/>
      </w:tblPr>
      <w:tblGrid>
        <w:gridCol w:w="4788"/>
        <w:gridCol w:w="4788"/>
      </w:tblGrid>
      <w:tr w:rsidR="00A14802" w:rsidTr="00A14802">
        <w:tc>
          <w:tcPr>
            <w:tcW w:w="4788" w:type="dxa"/>
          </w:tcPr>
          <w:p w:rsidR="00A14802" w:rsidRDefault="00A14802" w:rsidP="00040247">
            <w:pPr>
              <w:contextualSpacing/>
            </w:pPr>
          </w:p>
          <w:p w:rsidR="00A14802" w:rsidRPr="00040247" w:rsidRDefault="00A14802" w:rsidP="00040247">
            <w:pPr>
              <w:contextualSpacing/>
              <w:rPr>
                <w:b/>
              </w:rPr>
            </w:pPr>
            <w:r w:rsidRPr="00040247">
              <w:rPr>
                <w:b/>
              </w:rPr>
              <w:t>Course(s)</w:t>
            </w:r>
          </w:p>
        </w:tc>
        <w:tc>
          <w:tcPr>
            <w:tcW w:w="4788" w:type="dxa"/>
          </w:tcPr>
          <w:p w:rsidR="00A14802" w:rsidRDefault="00A14802" w:rsidP="00040247">
            <w:pPr>
              <w:contextualSpacing/>
            </w:pPr>
          </w:p>
          <w:p w:rsidR="00A14802" w:rsidRPr="00040247" w:rsidRDefault="00A14802" w:rsidP="00040247">
            <w:pPr>
              <w:contextualSpacing/>
              <w:rPr>
                <w:b/>
              </w:rPr>
            </w:pPr>
            <w:r w:rsidRPr="00040247">
              <w:rPr>
                <w:b/>
              </w:rPr>
              <w:t>ACCUPLACER Next Gen Score Range</w:t>
            </w:r>
          </w:p>
        </w:tc>
      </w:tr>
      <w:tr w:rsidR="00A14802" w:rsidTr="00A14802">
        <w:tc>
          <w:tcPr>
            <w:tcW w:w="4788" w:type="dxa"/>
          </w:tcPr>
          <w:p w:rsidR="00A14802" w:rsidRDefault="00A14802" w:rsidP="00040247">
            <w:pPr>
              <w:contextualSpacing/>
            </w:pPr>
          </w:p>
          <w:p w:rsidR="00A14802" w:rsidRDefault="00A14802" w:rsidP="00040247">
            <w:pPr>
              <w:contextualSpacing/>
            </w:pPr>
          </w:p>
          <w:p w:rsidR="00A14802" w:rsidRDefault="00A14802" w:rsidP="00040247">
            <w:pPr>
              <w:contextualSpacing/>
            </w:pPr>
            <w:r>
              <w:t>Assessment Prep</w:t>
            </w:r>
          </w:p>
        </w:tc>
        <w:tc>
          <w:tcPr>
            <w:tcW w:w="4788" w:type="dxa"/>
          </w:tcPr>
          <w:p w:rsidR="00A14802" w:rsidRDefault="00A14802" w:rsidP="00040247">
            <w:pPr>
              <w:contextualSpacing/>
            </w:pPr>
          </w:p>
          <w:p w:rsidR="00A14802" w:rsidRDefault="00A14802" w:rsidP="00040247">
            <w:pPr>
              <w:contextualSpacing/>
            </w:pPr>
          </w:p>
          <w:p w:rsidR="00A14802" w:rsidRDefault="00A14802" w:rsidP="00040247">
            <w:pPr>
              <w:contextualSpacing/>
            </w:pPr>
            <w:r>
              <w:t>AR 200 to 239</w:t>
            </w:r>
          </w:p>
        </w:tc>
      </w:tr>
      <w:tr w:rsidR="00A14802" w:rsidTr="00A14802">
        <w:tc>
          <w:tcPr>
            <w:tcW w:w="4788" w:type="dxa"/>
          </w:tcPr>
          <w:p w:rsidR="00A14802" w:rsidRDefault="00A14802" w:rsidP="00040247">
            <w:pPr>
              <w:contextualSpacing/>
            </w:pPr>
          </w:p>
          <w:p w:rsidR="00A14802" w:rsidRDefault="00A14802" w:rsidP="00040247">
            <w:pPr>
              <w:contextualSpacing/>
            </w:pPr>
            <w:r>
              <w:t>MAT 050 with MAT 020</w:t>
            </w:r>
          </w:p>
        </w:tc>
        <w:tc>
          <w:tcPr>
            <w:tcW w:w="4788" w:type="dxa"/>
          </w:tcPr>
          <w:p w:rsidR="00A14802" w:rsidRDefault="00A14802" w:rsidP="00040247">
            <w:pPr>
              <w:contextualSpacing/>
            </w:pPr>
          </w:p>
          <w:p w:rsidR="00A14802" w:rsidRDefault="00A14802" w:rsidP="00040247">
            <w:pPr>
              <w:contextualSpacing/>
            </w:pPr>
            <w:r>
              <w:t>AR 240 to 254</w:t>
            </w:r>
          </w:p>
        </w:tc>
      </w:tr>
      <w:tr w:rsidR="00A14802" w:rsidTr="00A14802">
        <w:tc>
          <w:tcPr>
            <w:tcW w:w="4788" w:type="dxa"/>
          </w:tcPr>
          <w:p w:rsidR="00A14802" w:rsidRDefault="00A14802" w:rsidP="00040247">
            <w:pPr>
              <w:contextualSpacing/>
            </w:pPr>
          </w:p>
          <w:p w:rsidR="00A14802" w:rsidRDefault="00A14802" w:rsidP="00040247">
            <w:pPr>
              <w:contextualSpacing/>
            </w:pPr>
            <w:r>
              <w:t>MAT 050</w:t>
            </w:r>
          </w:p>
        </w:tc>
        <w:tc>
          <w:tcPr>
            <w:tcW w:w="4788" w:type="dxa"/>
          </w:tcPr>
          <w:p w:rsidR="00A14802" w:rsidRDefault="00A14802" w:rsidP="00040247">
            <w:pPr>
              <w:contextualSpacing/>
            </w:pPr>
          </w:p>
          <w:p w:rsidR="00A14802" w:rsidRDefault="00A14802" w:rsidP="00040247">
            <w:pPr>
              <w:contextualSpacing/>
            </w:pPr>
            <w:r>
              <w:t>AR 255 to 300</w:t>
            </w:r>
          </w:p>
        </w:tc>
      </w:tr>
      <w:tr w:rsidR="00A14802" w:rsidTr="00A14802">
        <w:tc>
          <w:tcPr>
            <w:tcW w:w="4788" w:type="dxa"/>
          </w:tcPr>
          <w:p w:rsidR="00A14802" w:rsidRDefault="00A14802" w:rsidP="00040247">
            <w:pPr>
              <w:contextualSpacing/>
            </w:pPr>
          </w:p>
          <w:p w:rsidR="00A14802" w:rsidRDefault="00A14802" w:rsidP="00040247">
            <w:pPr>
              <w:contextualSpacing/>
            </w:pPr>
            <w:r>
              <w:t>MAT 055 with MAT 025</w:t>
            </w:r>
          </w:p>
        </w:tc>
        <w:tc>
          <w:tcPr>
            <w:tcW w:w="4788" w:type="dxa"/>
          </w:tcPr>
          <w:p w:rsidR="00A14802" w:rsidRDefault="00A14802" w:rsidP="00040247">
            <w:pPr>
              <w:contextualSpacing/>
            </w:pPr>
          </w:p>
          <w:p w:rsidR="00A14802" w:rsidRDefault="00976751" w:rsidP="00040247">
            <w:pPr>
              <w:contextualSpacing/>
            </w:pPr>
            <w:r>
              <w:t>QAS</w:t>
            </w:r>
            <w:r w:rsidR="00A14802">
              <w:t xml:space="preserve"> 250 to 264</w:t>
            </w:r>
          </w:p>
        </w:tc>
      </w:tr>
      <w:tr w:rsidR="00A14802" w:rsidTr="00A14802">
        <w:tc>
          <w:tcPr>
            <w:tcW w:w="4788" w:type="dxa"/>
          </w:tcPr>
          <w:p w:rsidR="00A14802" w:rsidRDefault="00A14802" w:rsidP="00040247">
            <w:pPr>
              <w:contextualSpacing/>
            </w:pPr>
          </w:p>
          <w:p w:rsidR="00A14802" w:rsidRDefault="00A14802" w:rsidP="00040247">
            <w:pPr>
              <w:contextualSpacing/>
            </w:pPr>
            <w:r>
              <w:t>MAT 055</w:t>
            </w:r>
          </w:p>
        </w:tc>
        <w:tc>
          <w:tcPr>
            <w:tcW w:w="4788" w:type="dxa"/>
          </w:tcPr>
          <w:p w:rsidR="00A14802" w:rsidRDefault="00A14802" w:rsidP="00040247">
            <w:pPr>
              <w:contextualSpacing/>
            </w:pPr>
          </w:p>
          <w:p w:rsidR="00A14802" w:rsidRDefault="00976751" w:rsidP="00040247">
            <w:pPr>
              <w:contextualSpacing/>
            </w:pPr>
            <w:r>
              <w:t>QAS 265 to 300</w:t>
            </w:r>
            <w:r w:rsidR="00A14802">
              <w:t xml:space="preserve"> </w:t>
            </w:r>
          </w:p>
        </w:tc>
      </w:tr>
      <w:tr w:rsidR="00A14802" w:rsidTr="00A14802">
        <w:tc>
          <w:tcPr>
            <w:tcW w:w="4788" w:type="dxa"/>
          </w:tcPr>
          <w:p w:rsidR="00A14802" w:rsidRDefault="00A14802" w:rsidP="00040247">
            <w:pPr>
              <w:contextualSpacing/>
            </w:pPr>
          </w:p>
          <w:p w:rsidR="00976751" w:rsidRDefault="00230707" w:rsidP="00040247">
            <w:pPr>
              <w:contextualSpacing/>
            </w:pPr>
            <w:r w:rsidRPr="00505DEE">
              <w:t>MAT 102,</w:t>
            </w:r>
            <w:r>
              <w:t xml:space="preserve"> </w:t>
            </w:r>
            <w:r w:rsidR="00976751">
              <w:t>MAT 103, 107, 108, 109, and 112 with MAT 091</w:t>
            </w:r>
          </w:p>
          <w:p w:rsidR="00976751" w:rsidRDefault="00976751" w:rsidP="00040247">
            <w:pPr>
              <w:contextualSpacing/>
            </w:pPr>
            <w:r>
              <w:lastRenderedPageBreak/>
              <w:t>CTE MAT courses</w:t>
            </w:r>
          </w:p>
        </w:tc>
        <w:tc>
          <w:tcPr>
            <w:tcW w:w="4788" w:type="dxa"/>
          </w:tcPr>
          <w:p w:rsidR="00A14802" w:rsidRDefault="00A14802" w:rsidP="00040247">
            <w:pPr>
              <w:contextualSpacing/>
            </w:pPr>
          </w:p>
          <w:p w:rsidR="00976751" w:rsidRDefault="00976751" w:rsidP="00040247">
            <w:pPr>
              <w:contextualSpacing/>
            </w:pPr>
          </w:p>
          <w:p w:rsidR="00976751" w:rsidRDefault="00976751" w:rsidP="00040247">
            <w:pPr>
              <w:contextualSpacing/>
            </w:pPr>
            <w:r>
              <w:t>AR 255 to 264</w:t>
            </w:r>
          </w:p>
        </w:tc>
      </w:tr>
      <w:tr w:rsidR="00976751" w:rsidTr="00A14802">
        <w:tc>
          <w:tcPr>
            <w:tcW w:w="4788" w:type="dxa"/>
          </w:tcPr>
          <w:p w:rsidR="00976751" w:rsidRDefault="00976751" w:rsidP="00040247">
            <w:pPr>
              <w:contextualSpacing/>
            </w:pPr>
          </w:p>
          <w:p w:rsidR="00976751" w:rsidRDefault="00230707" w:rsidP="00040247">
            <w:pPr>
              <w:contextualSpacing/>
            </w:pPr>
            <w:r w:rsidRPr="00505DEE">
              <w:t>MAT 102,</w:t>
            </w:r>
            <w:r>
              <w:t xml:space="preserve"> </w:t>
            </w:r>
            <w:r w:rsidR="00976751">
              <w:t xml:space="preserve">MAT 103, 107, 108, 109, and 112 </w:t>
            </w:r>
          </w:p>
          <w:p w:rsidR="00976751" w:rsidRDefault="00976751" w:rsidP="00040247">
            <w:pPr>
              <w:contextualSpacing/>
            </w:pPr>
            <w:r>
              <w:t>CTE MAT courses</w:t>
            </w:r>
          </w:p>
        </w:tc>
        <w:tc>
          <w:tcPr>
            <w:tcW w:w="4788" w:type="dxa"/>
          </w:tcPr>
          <w:p w:rsidR="00976751" w:rsidRDefault="00976751" w:rsidP="00040247">
            <w:pPr>
              <w:contextualSpacing/>
            </w:pPr>
          </w:p>
          <w:p w:rsidR="00976751" w:rsidRDefault="00976751" w:rsidP="00040247">
            <w:pPr>
              <w:contextualSpacing/>
            </w:pPr>
          </w:p>
          <w:p w:rsidR="00976751" w:rsidRDefault="00976751" w:rsidP="00040247">
            <w:pPr>
              <w:contextualSpacing/>
            </w:pPr>
            <w:r>
              <w:t>AR 265 to 300</w:t>
            </w:r>
          </w:p>
        </w:tc>
      </w:tr>
      <w:tr w:rsidR="00976751" w:rsidTr="00A14802">
        <w:tc>
          <w:tcPr>
            <w:tcW w:w="4788" w:type="dxa"/>
          </w:tcPr>
          <w:p w:rsidR="00976751" w:rsidRDefault="00976751" w:rsidP="00040247">
            <w:pPr>
              <w:contextualSpacing/>
            </w:pPr>
          </w:p>
          <w:p w:rsidR="00976751" w:rsidRDefault="00976751" w:rsidP="00040247">
            <w:pPr>
              <w:contextualSpacing/>
            </w:pPr>
            <w:r>
              <w:t>MAT 120, 135, 155, and 156 with MAT 092</w:t>
            </w:r>
          </w:p>
        </w:tc>
        <w:tc>
          <w:tcPr>
            <w:tcW w:w="4788" w:type="dxa"/>
          </w:tcPr>
          <w:p w:rsidR="00976751" w:rsidRDefault="00976751" w:rsidP="00040247">
            <w:pPr>
              <w:contextualSpacing/>
            </w:pPr>
          </w:p>
          <w:p w:rsidR="00976751" w:rsidRDefault="00976751" w:rsidP="00040247">
            <w:pPr>
              <w:contextualSpacing/>
            </w:pPr>
            <w:r>
              <w:t>QAS  230 to 239</w:t>
            </w:r>
          </w:p>
        </w:tc>
      </w:tr>
      <w:tr w:rsidR="00976751" w:rsidTr="00A14802">
        <w:tc>
          <w:tcPr>
            <w:tcW w:w="4788" w:type="dxa"/>
          </w:tcPr>
          <w:p w:rsidR="00976751" w:rsidRDefault="00976751" w:rsidP="00040247">
            <w:pPr>
              <w:contextualSpacing/>
            </w:pPr>
          </w:p>
          <w:p w:rsidR="00976751" w:rsidRDefault="00976751" w:rsidP="00040247">
            <w:pPr>
              <w:contextualSpacing/>
            </w:pPr>
            <w:r>
              <w:t>MAT 120, 135, 155, and 156</w:t>
            </w:r>
          </w:p>
        </w:tc>
        <w:tc>
          <w:tcPr>
            <w:tcW w:w="4788" w:type="dxa"/>
          </w:tcPr>
          <w:p w:rsidR="00976751" w:rsidRDefault="00976751" w:rsidP="00040247">
            <w:pPr>
              <w:contextualSpacing/>
            </w:pPr>
          </w:p>
          <w:p w:rsidR="00976751" w:rsidRDefault="00976751" w:rsidP="00040247">
            <w:pPr>
              <w:contextualSpacing/>
            </w:pPr>
            <w:r>
              <w:t>QAS 240 to 300</w:t>
            </w:r>
          </w:p>
        </w:tc>
      </w:tr>
      <w:tr w:rsidR="00976751" w:rsidTr="00A14802">
        <w:tc>
          <w:tcPr>
            <w:tcW w:w="4788" w:type="dxa"/>
          </w:tcPr>
          <w:p w:rsidR="00976751" w:rsidRDefault="00976751" w:rsidP="00040247">
            <w:pPr>
              <w:contextualSpacing/>
            </w:pPr>
          </w:p>
          <w:p w:rsidR="00976751" w:rsidRDefault="00976751" w:rsidP="00040247">
            <w:pPr>
              <w:contextualSpacing/>
            </w:pPr>
            <w:r>
              <w:t>MAT 121</w:t>
            </w:r>
            <w:r w:rsidR="00010EDE">
              <w:t xml:space="preserve"> </w:t>
            </w:r>
            <w:r w:rsidR="00010EDE" w:rsidRPr="00505DEE">
              <w:t>and MAT 123</w:t>
            </w:r>
            <w:r>
              <w:t xml:space="preserve"> with MAT 093</w:t>
            </w:r>
          </w:p>
        </w:tc>
        <w:tc>
          <w:tcPr>
            <w:tcW w:w="4788" w:type="dxa"/>
          </w:tcPr>
          <w:p w:rsidR="00976751" w:rsidRDefault="00976751" w:rsidP="00040247">
            <w:pPr>
              <w:contextualSpacing/>
            </w:pPr>
          </w:p>
          <w:p w:rsidR="00976751" w:rsidRDefault="00976751" w:rsidP="00040247">
            <w:pPr>
              <w:contextualSpacing/>
            </w:pPr>
            <w:r>
              <w:t>AAF 235 to 244</w:t>
            </w:r>
          </w:p>
        </w:tc>
      </w:tr>
      <w:tr w:rsidR="00976751" w:rsidTr="00A14802">
        <w:tc>
          <w:tcPr>
            <w:tcW w:w="4788" w:type="dxa"/>
          </w:tcPr>
          <w:p w:rsidR="00976751" w:rsidRDefault="00976751" w:rsidP="00040247">
            <w:pPr>
              <w:contextualSpacing/>
            </w:pPr>
          </w:p>
          <w:p w:rsidR="00976751" w:rsidRDefault="00976751" w:rsidP="00040247">
            <w:pPr>
              <w:contextualSpacing/>
            </w:pPr>
            <w:r>
              <w:t>MAT 121</w:t>
            </w:r>
            <w:r w:rsidR="00010EDE">
              <w:t xml:space="preserve"> </w:t>
            </w:r>
            <w:r w:rsidR="00010EDE" w:rsidRPr="00505DEE">
              <w:t>and MAT 123</w:t>
            </w:r>
          </w:p>
        </w:tc>
        <w:tc>
          <w:tcPr>
            <w:tcW w:w="4788" w:type="dxa"/>
          </w:tcPr>
          <w:p w:rsidR="00976751" w:rsidRDefault="00976751" w:rsidP="00040247">
            <w:pPr>
              <w:contextualSpacing/>
            </w:pPr>
          </w:p>
          <w:p w:rsidR="00976751" w:rsidRDefault="00976751" w:rsidP="00040247">
            <w:pPr>
              <w:contextualSpacing/>
            </w:pPr>
            <w:r>
              <w:t xml:space="preserve">AAF 245 </w:t>
            </w:r>
            <w:r w:rsidR="00CB7DBC">
              <w:t xml:space="preserve">to 279 </w:t>
            </w:r>
          </w:p>
        </w:tc>
      </w:tr>
      <w:tr w:rsidR="00976751" w:rsidTr="00A14802">
        <w:tc>
          <w:tcPr>
            <w:tcW w:w="4788" w:type="dxa"/>
          </w:tcPr>
          <w:p w:rsidR="00976751" w:rsidRDefault="00976751" w:rsidP="00040247">
            <w:pPr>
              <w:contextualSpacing/>
            </w:pPr>
          </w:p>
          <w:p w:rsidR="00976751" w:rsidRDefault="00976751" w:rsidP="00040247">
            <w:pPr>
              <w:contextualSpacing/>
            </w:pPr>
            <w:r>
              <w:t>MAT 122, 125, 166</w:t>
            </w:r>
          </w:p>
        </w:tc>
        <w:tc>
          <w:tcPr>
            <w:tcW w:w="4788" w:type="dxa"/>
          </w:tcPr>
          <w:p w:rsidR="00976751" w:rsidRDefault="00976751" w:rsidP="00040247">
            <w:pPr>
              <w:contextualSpacing/>
            </w:pPr>
          </w:p>
          <w:p w:rsidR="00976751" w:rsidRDefault="00976751" w:rsidP="00040247">
            <w:pPr>
              <w:contextualSpacing/>
            </w:pPr>
            <w:r>
              <w:t>AAF 280 to 300</w:t>
            </w:r>
          </w:p>
        </w:tc>
      </w:tr>
    </w:tbl>
    <w:p w:rsidR="002E4B39" w:rsidRDefault="002E4B39" w:rsidP="00040247">
      <w:pPr>
        <w:spacing w:line="240" w:lineRule="auto"/>
        <w:contextualSpacing/>
      </w:pPr>
    </w:p>
    <w:p w:rsidR="00882952" w:rsidRDefault="00882952" w:rsidP="00040247">
      <w:pPr>
        <w:spacing w:line="240" w:lineRule="auto"/>
        <w:contextualSpacing/>
      </w:pPr>
    </w:p>
    <w:p w:rsidR="00882952" w:rsidRDefault="00882952" w:rsidP="00040247">
      <w:pPr>
        <w:spacing w:line="240" w:lineRule="auto"/>
        <w:contextualSpacing/>
      </w:pPr>
    </w:p>
    <w:p w:rsidR="007D4322" w:rsidRPr="002E4B39" w:rsidRDefault="007D4322" w:rsidP="00040247">
      <w:pPr>
        <w:spacing w:line="240" w:lineRule="auto"/>
        <w:ind w:left="408"/>
        <w:contextualSpacing/>
      </w:pPr>
    </w:p>
    <w:sectPr w:rsidR="007D4322" w:rsidRPr="002E4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45" w:rsidRDefault="00B41F45" w:rsidP="00A14802">
      <w:pPr>
        <w:spacing w:after="0" w:line="240" w:lineRule="auto"/>
      </w:pPr>
      <w:r>
        <w:separator/>
      </w:r>
    </w:p>
  </w:endnote>
  <w:endnote w:type="continuationSeparator" w:id="0">
    <w:p w:rsidR="00B41F45" w:rsidRDefault="00B41F45" w:rsidP="00A1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45" w:rsidRDefault="00B41F45" w:rsidP="00A14802">
      <w:pPr>
        <w:spacing w:after="0" w:line="240" w:lineRule="auto"/>
      </w:pPr>
      <w:r>
        <w:separator/>
      </w:r>
    </w:p>
  </w:footnote>
  <w:footnote w:type="continuationSeparator" w:id="0">
    <w:p w:rsidR="00B41F45" w:rsidRDefault="00B41F45" w:rsidP="00A1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EA2"/>
    <w:multiLevelType w:val="hybridMultilevel"/>
    <w:tmpl w:val="F8961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02"/>
    <w:rsid w:val="00010EDE"/>
    <w:rsid w:val="00040247"/>
    <w:rsid w:val="00230707"/>
    <w:rsid w:val="002E4B39"/>
    <w:rsid w:val="003E16EE"/>
    <w:rsid w:val="00505DEE"/>
    <w:rsid w:val="005A7B41"/>
    <w:rsid w:val="006F2595"/>
    <w:rsid w:val="007745FC"/>
    <w:rsid w:val="007D4322"/>
    <w:rsid w:val="00882952"/>
    <w:rsid w:val="00976751"/>
    <w:rsid w:val="009C6597"/>
    <w:rsid w:val="00A14802"/>
    <w:rsid w:val="00A569DA"/>
    <w:rsid w:val="00B41F45"/>
    <w:rsid w:val="00C70AE4"/>
    <w:rsid w:val="00CB7DBC"/>
    <w:rsid w:val="00F94F19"/>
    <w:rsid w:val="00FD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4802"/>
    <w:pPr>
      <w:spacing w:after="0" w:line="240" w:lineRule="auto"/>
    </w:pPr>
    <w:rPr>
      <w:sz w:val="20"/>
      <w:szCs w:val="20"/>
    </w:rPr>
  </w:style>
  <w:style w:type="character" w:customStyle="1" w:styleId="EndnoteTextChar">
    <w:name w:val="Endnote Text Char"/>
    <w:basedOn w:val="DefaultParagraphFont"/>
    <w:link w:val="EndnoteText"/>
    <w:uiPriority w:val="99"/>
    <w:rsid w:val="00A14802"/>
    <w:rPr>
      <w:sz w:val="20"/>
      <w:szCs w:val="20"/>
    </w:rPr>
  </w:style>
  <w:style w:type="character" w:styleId="EndnoteReference">
    <w:name w:val="endnote reference"/>
    <w:basedOn w:val="DefaultParagraphFont"/>
    <w:uiPriority w:val="99"/>
    <w:semiHidden/>
    <w:unhideWhenUsed/>
    <w:rsid w:val="00A14802"/>
    <w:rPr>
      <w:vertAlign w:val="superscript"/>
    </w:rPr>
  </w:style>
  <w:style w:type="paragraph" w:styleId="FootnoteText">
    <w:name w:val="footnote text"/>
    <w:basedOn w:val="Normal"/>
    <w:link w:val="FootnoteTextChar"/>
    <w:uiPriority w:val="99"/>
    <w:semiHidden/>
    <w:unhideWhenUsed/>
    <w:rsid w:val="00A56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9DA"/>
    <w:rPr>
      <w:sz w:val="20"/>
      <w:szCs w:val="20"/>
    </w:rPr>
  </w:style>
  <w:style w:type="character" w:styleId="FootnoteReference">
    <w:name w:val="footnote reference"/>
    <w:basedOn w:val="DefaultParagraphFont"/>
    <w:uiPriority w:val="99"/>
    <w:semiHidden/>
    <w:unhideWhenUsed/>
    <w:rsid w:val="00A569DA"/>
    <w:rPr>
      <w:vertAlign w:val="superscript"/>
    </w:rPr>
  </w:style>
  <w:style w:type="paragraph" w:styleId="ListParagraph">
    <w:name w:val="List Paragraph"/>
    <w:basedOn w:val="Normal"/>
    <w:uiPriority w:val="34"/>
    <w:qFormat/>
    <w:rsid w:val="00010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4802"/>
    <w:pPr>
      <w:spacing w:after="0" w:line="240" w:lineRule="auto"/>
    </w:pPr>
    <w:rPr>
      <w:sz w:val="20"/>
      <w:szCs w:val="20"/>
    </w:rPr>
  </w:style>
  <w:style w:type="character" w:customStyle="1" w:styleId="EndnoteTextChar">
    <w:name w:val="Endnote Text Char"/>
    <w:basedOn w:val="DefaultParagraphFont"/>
    <w:link w:val="EndnoteText"/>
    <w:uiPriority w:val="99"/>
    <w:rsid w:val="00A14802"/>
    <w:rPr>
      <w:sz w:val="20"/>
      <w:szCs w:val="20"/>
    </w:rPr>
  </w:style>
  <w:style w:type="character" w:styleId="EndnoteReference">
    <w:name w:val="endnote reference"/>
    <w:basedOn w:val="DefaultParagraphFont"/>
    <w:uiPriority w:val="99"/>
    <w:semiHidden/>
    <w:unhideWhenUsed/>
    <w:rsid w:val="00A14802"/>
    <w:rPr>
      <w:vertAlign w:val="superscript"/>
    </w:rPr>
  </w:style>
  <w:style w:type="paragraph" w:styleId="FootnoteText">
    <w:name w:val="footnote text"/>
    <w:basedOn w:val="Normal"/>
    <w:link w:val="FootnoteTextChar"/>
    <w:uiPriority w:val="99"/>
    <w:semiHidden/>
    <w:unhideWhenUsed/>
    <w:rsid w:val="00A56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9DA"/>
    <w:rPr>
      <w:sz w:val="20"/>
      <w:szCs w:val="20"/>
    </w:rPr>
  </w:style>
  <w:style w:type="character" w:styleId="FootnoteReference">
    <w:name w:val="footnote reference"/>
    <w:basedOn w:val="DefaultParagraphFont"/>
    <w:uiPriority w:val="99"/>
    <w:semiHidden/>
    <w:unhideWhenUsed/>
    <w:rsid w:val="00A569DA"/>
    <w:rPr>
      <w:vertAlign w:val="superscript"/>
    </w:rPr>
  </w:style>
  <w:style w:type="paragraph" w:styleId="ListParagraph">
    <w:name w:val="List Paragraph"/>
    <w:basedOn w:val="Normal"/>
    <w:uiPriority w:val="34"/>
    <w:qFormat/>
    <w:rsid w:val="0001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8D8A-08D1-401E-9872-593AD312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Marilyn</dc:creator>
  <cp:lastModifiedBy>Hunt, Cori</cp:lastModifiedBy>
  <cp:revision>3</cp:revision>
  <dcterms:created xsi:type="dcterms:W3CDTF">2018-06-04T17:44:00Z</dcterms:created>
  <dcterms:modified xsi:type="dcterms:W3CDTF">2018-06-04T17:44:00Z</dcterms:modified>
</cp:coreProperties>
</file>