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82" w:type="dxa"/>
        <w:tblLayout w:type="fixed"/>
        <w:tblLook w:val="04A0" w:firstRow="1" w:lastRow="0" w:firstColumn="1" w:lastColumn="0" w:noHBand="0" w:noVBand="1"/>
      </w:tblPr>
      <w:tblGrid>
        <w:gridCol w:w="805"/>
        <w:gridCol w:w="8777"/>
      </w:tblGrid>
      <w:tr w:rsidR="004C63D3" w:rsidRPr="00D7278D" w14:paraId="286BE244" w14:textId="77777777" w:rsidTr="00C64F3A">
        <w:trPr>
          <w:trHeight w:val="710"/>
        </w:trPr>
        <w:tc>
          <w:tcPr>
            <w:tcW w:w="9551" w:type="dxa"/>
            <w:gridSpan w:val="2"/>
            <w:shd w:val="clear" w:color="auto" w:fill="00FFCC"/>
          </w:tcPr>
          <w:p w14:paraId="0168B171" w14:textId="77777777" w:rsidR="004C63D3" w:rsidRPr="00C64F3A" w:rsidRDefault="004C63D3" w:rsidP="001C24C3">
            <w:pPr>
              <w:spacing w:beforeLines="60" w:before="144" w:afterLines="60" w:after="144"/>
              <w:jc w:val="center"/>
              <w:rPr>
                <w:rFonts w:eastAsia="Times New Roman" w:cs="Calibri"/>
                <w:color w:val="000000"/>
                <w:sz w:val="32"/>
                <w:szCs w:val="32"/>
              </w:rPr>
            </w:pPr>
            <w:r w:rsidRPr="00C64F3A">
              <w:rPr>
                <w:b/>
                <w:sz w:val="32"/>
                <w:szCs w:val="32"/>
              </w:rPr>
              <w:t>Off-Site Questions</w:t>
            </w:r>
          </w:p>
        </w:tc>
      </w:tr>
      <w:tr w:rsidR="00DB3D43" w:rsidRPr="00D7278D" w14:paraId="78A4A955" w14:textId="77777777" w:rsidTr="00DB3D43">
        <w:trPr>
          <w:trHeight w:val="440"/>
        </w:trPr>
        <w:tc>
          <w:tcPr>
            <w:tcW w:w="9551" w:type="dxa"/>
            <w:gridSpan w:val="2"/>
            <w:shd w:val="clear" w:color="auto" w:fill="auto"/>
          </w:tcPr>
          <w:p w14:paraId="3882452D" w14:textId="3B0AFA6B" w:rsidR="00DB3D43" w:rsidRPr="00C64F3A" w:rsidRDefault="00DB3D43" w:rsidP="00DB3D43">
            <w:pPr>
              <w:spacing w:beforeLines="60" w:before="144" w:afterLines="60" w:after="144"/>
              <w:rPr>
                <w:b/>
                <w:sz w:val="32"/>
                <w:szCs w:val="32"/>
              </w:rPr>
            </w:pPr>
            <w:r>
              <w:rPr>
                <w:b/>
                <w:bCs/>
                <w:color w:val="FF0000"/>
              </w:rPr>
              <w:t>*</w:t>
            </w:r>
            <w:r w:rsidRPr="00E14A0F">
              <w:rPr>
                <w:b/>
                <w:bCs/>
                <w:color w:val="FF0000"/>
              </w:rPr>
              <w:t xml:space="preserve">For Provision </w:t>
            </w:r>
            <w:r>
              <w:rPr>
                <w:b/>
                <w:bCs/>
                <w:color w:val="FF0000"/>
              </w:rPr>
              <w:t>2</w:t>
            </w:r>
            <w:r w:rsidRPr="00E14A0F">
              <w:rPr>
                <w:b/>
                <w:bCs/>
                <w:color w:val="FF0000"/>
              </w:rPr>
              <w:t xml:space="preserve"> ONLY</w:t>
            </w:r>
            <w:r>
              <w:rPr>
                <w:b/>
                <w:bCs/>
                <w:color w:val="FF0000"/>
              </w:rPr>
              <w:t>*</w:t>
            </w:r>
          </w:p>
        </w:tc>
      </w:tr>
      <w:tr w:rsidR="004C63D3" w:rsidRPr="00D7278D" w14:paraId="63A5E0AC" w14:textId="77777777" w:rsidTr="00E14A0F">
        <w:trPr>
          <w:trHeight w:val="1430"/>
        </w:trPr>
        <w:tc>
          <w:tcPr>
            <w:tcW w:w="805" w:type="dxa"/>
            <w:shd w:val="clear" w:color="auto" w:fill="auto"/>
            <w:vAlign w:val="center"/>
          </w:tcPr>
          <w:p w14:paraId="4DD424FA" w14:textId="1A23292C" w:rsidR="004C63D3" w:rsidRPr="00D7278D" w:rsidRDefault="004C63D3" w:rsidP="00E14A0F">
            <w:pPr>
              <w:spacing w:beforeLines="60" w:before="144" w:afterLines="60" w:after="144"/>
            </w:pPr>
          </w:p>
        </w:tc>
        <w:tc>
          <w:tcPr>
            <w:tcW w:w="8746" w:type="dxa"/>
            <w:vAlign w:val="center"/>
          </w:tcPr>
          <w:p w14:paraId="1CC74DB2" w14:textId="552AE934" w:rsidR="004C63D3" w:rsidRPr="00E64DA9" w:rsidRDefault="00E64DA9" w:rsidP="00E14A0F">
            <w:pPr>
              <w:spacing w:beforeLines="60" w:before="144" w:afterLines="60" w:after="144"/>
              <w:rPr>
                <w:rFonts w:eastAsia="Times New Roman" w:cstheme="minorHAnsi"/>
                <w:color w:val="000000"/>
              </w:rPr>
            </w:pPr>
            <w:r w:rsidRPr="00E64DA9">
              <w:rPr>
                <w:rFonts w:eastAsia="Times New Roman" w:cstheme="minorHAnsi"/>
                <w:color w:val="000000"/>
              </w:rPr>
              <w:t>Does this SFA operate any Provision 2 Schools?</w:t>
            </w:r>
          </w:p>
          <w:p w14:paraId="2C97A35F" w14:textId="77777777" w:rsidR="00E64DA9" w:rsidRPr="00E64DA9" w:rsidRDefault="00E64DA9" w:rsidP="00E14A0F">
            <w:pPr>
              <w:pStyle w:val="ListParagraph"/>
              <w:numPr>
                <w:ilvl w:val="0"/>
                <w:numId w:val="15"/>
              </w:numPr>
              <w:spacing w:beforeLines="60" w:before="144" w:afterLines="60" w:after="144"/>
            </w:pPr>
            <w:r w:rsidRPr="00E64DA9">
              <w:t xml:space="preserve">Yes or </w:t>
            </w:r>
            <w:proofErr w:type="gramStart"/>
            <w:r w:rsidRPr="00E64DA9">
              <w:t>No</w:t>
            </w:r>
            <w:proofErr w:type="gramEnd"/>
          </w:p>
          <w:p w14:paraId="54EB5843" w14:textId="388B1100" w:rsidR="00E64DA9" w:rsidRPr="00E64DA9" w:rsidRDefault="00E64DA9" w:rsidP="00E14A0F">
            <w:pPr>
              <w:spacing w:beforeLines="60" w:before="144" w:afterLines="60" w:after="144"/>
              <w:rPr>
                <w:color w:val="FF0000"/>
              </w:rPr>
            </w:pPr>
            <w:r w:rsidRPr="00E64DA9">
              <w:rPr>
                <w:color w:val="FF0000"/>
              </w:rPr>
              <w:t xml:space="preserve">Tips: Answer </w:t>
            </w:r>
            <w:r w:rsidR="00531066">
              <w:rPr>
                <w:color w:val="FF0000"/>
              </w:rPr>
              <w:t>Y</w:t>
            </w:r>
            <w:r w:rsidRPr="00E64DA9">
              <w:rPr>
                <w:color w:val="FF0000"/>
              </w:rPr>
              <w:t>es if S</w:t>
            </w:r>
            <w:r>
              <w:rPr>
                <w:color w:val="FF0000"/>
              </w:rPr>
              <w:t xml:space="preserve">ponsor </w:t>
            </w:r>
            <w:r w:rsidRPr="00E64DA9">
              <w:rPr>
                <w:color w:val="FF0000"/>
              </w:rPr>
              <w:t xml:space="preserve">is operating Provision 2 at any schools. </w:t>
            </w:r>
          </w:p>
        </w:tc>
      </w:tr>
      <w:tr w:rsidR="004C63D3" w:rsidRPr="00D7278D" w14:paraId="4412CCFF" w14:textId="77777777" w:rsidTr="00E14A0F">
        <w:trPr>
          <w:trHeight w:val="1018"/>
        </w:trPr>
        <w:tc>
          <w:tcPr>
            <w:tcW w:w="805" w:type="dxa"/>
            <w:shd w:val="clear" w:color="auto" w:fill="auto"/>
            <w:vAlign w:val="center"/>
          </w:tcPr>
          <w:p w14:paraId="6DA91A9F" w14:textId="2E79638B" w:rsidR="004C63D3" w:rsidRPr="00D7278D" w:rsidRDefault="00E64DA9" w:rsidP="00E14A0F">
            <w:pPr>
              <w:spacing w:beforeLines="60" w:before="144" w:afterLines="60" w:after="144"/>
            </w:pPr>
            <w:r>
              <w:t>2100</w:t>
            </w:r>
            <w:r w:rsidR="004C63D3" w:rsidRPr="00D7278D">
              <w:t>.</w:t>
            </w:r>
          </w:p>
        </w:tc>
        <w:tc>
          <w:tcPr>
            <w:tcW w:w="8746" w:type="dxa"/>
            <w:vAlign w:val="center"/>
          </w:tcPr>
          <w:p w14:paraId="2B95AC00" w14:textId="77777777" w:rsidR="00E64DA9" w:rsidRDefault="00E64DA9" w:rsidP="00E14A0F">
            <w:pPr>
              <w:rPr>
                <w:rFonts w:eastAsia="Times New Roman" w:cstheme="minorHAnsi"/>
                <w:color w:val="000000"/>
              </w:rPr>
            </w:pPr>
          </w:p>
          <w:p w14:paraId="7C4B66B1" w14:textId="0F2578BD" w:rsidR="00E02BCB" w:rsidRDefault="00E64DA9" w:rsidP="00E14A0F">
            <w:pPr>
              <w:rPr>
                <w:rFonts w:cstheme="minorHAnsi"/>
              </w:rPr>
            </w:pPr>
            <w:r w:rsidRPr="00E64DA9">
              <w:rPr>
                <w:rFonts w:cstheme="minorHAnsi"/>
              </w:rPr>
              <w:t xml:space="preserve">Are non-federal funds being properly allocated to account for the difference </w:t>
            </w:r>
            <w:proofErr w:type="gramStart"/>
            <w:r w:rsidRPr="00E64DA9">
              <w:rPr>
                <w:rFonts w:cstheme="minorHAnsi"/>
              </w:rPr>
              <w:t>of</w:t>
            </w:r>
            <w:proofErr w:type="gramEnd"/>
            <w:r w:rsidRPr="00E64DA9">
              <w:rPr>
                <w:rFonts w:cstheme="minorHAnsi"/>
              </w:rPr>
              <w:t xml:space="preserve"> offering all meals to students at no charge and the Federal reimbursement?</w:t>
            </w:r>
          </w:p>
          <w:p w14:paraId="600D1320" w14:textId="4F7B60DA" w:rsidR="00E64DA9" w:rsidRPr="00E64DA9" w:rsidRDefault="00E64DA9" w:rsidP="00E14A0F">
            <w:pPr>
              <w:pStyle w:val="ListParagraph"/>
              <w:numPr>
                <w:ilvl w:val="0"/>
                <w:numId w:val="15"/>
              </w:numPr>
              <w:spacing w:beforeLines="60" w:before="144" w:afterLines="60" w:after="144"/>
            </w:pPr>
            <w:r w:rsidRPr="00E64DA9">
              <w:t xml:space="preserve">Yes or </w:t>
            </w:r>
            <w:proofErr w:type="gramStart"/>
            <w:r w:rsidRPr="00E64DA9">
              <w:t>No</w:t>
            </w:r>
            <w:proofErr w:type="gramEnd"/>
          </w:p>
          <w:p w14:paraId="34DA7A88" w14:textId="77777777" w:rsidR="00EE5AC0" w:rsidRDefault="00740CA3" w:rsidP="00EE5AC0">
            <w:pPr>
              <w:spacing w:beforeLines="60" w:before="144" w:afterLines="60" w:after="144"/>
              <w:ind w:left="30"/>
              <w:rPr>
                <w:rFonts w:cstheme="minorHAnsi"/>
                <w:color w:val="FF0000"/>
              </w:rPr>
            </w:pPr>
            <w:r w:rsidRPr="00F81E6E">
              <w:rPr>
                <w:rFonts w:cstheme="minorHAnsi"/>
                <w:b/>
                <w:color w:val="FF0000"/>
              </w:rPr>
              <w:t>Tips:</w:t>
            </w:r>
            <w:r w:rsidRPr="00F81E6E">
              <w:rPr>
                <w:rFonts w:cstheme="minorHAnsi"/>
                <w:color w:val="FF0000"/>
              </w:rPr>
              <w:t xml:space="preserve"> </w:t>
            </w:r>
            <w:r w:rsidR="00EE5AC0">
              <w:rPr>
                <w:rFonts w:cstheme="minorHAnsi"/>
                <w:color w:val="FF0000"/>
              </w:rPr>
              <w:t>B</w:t>
            </w:r>
            <w:r w:rsidR="00EE5AC0" w:rsidRPr="00EE5AC0">
              <w:rPr>
                <w:rFonts w:cstheme="minorHAnsi"/>
                <w:color w:val="FF0000"/>
              </w:rPr>
              <w:t>ased on the Base Year Percentages, meals are reimbursed at Free, Reduced, and Paid rates. Any difference between the federal reimbursement and the cost of providing all meals at no charge need to be covered from sources other than federal funds, such as the general fund.</w:t>
            </w:r>
          </w:p>
          <w:p w14:paraId="09E8D3D2" w14:textId="2C7BEE65" w:rsidR="00C852F3" w:rsidRPr="00740CA3" w:rsidRDefault="00C852F3" w:rsidP="00EE5AC0">
            <w:pPr>
              <w:spacing w:beforeLines="60" w:before="144" w:afterLines="60" w:after="144"/>
              <w:ind w:left="30"/>
              <w:rPr>
                <w:rFonts w:cstheme="minorHAnsi"/>
                <w:color w:val="FF0000"/>
              </w:rPr>
            </w:pPr>
            <w:r w:rsidRPr="00C852F3">
              <w:rPr>
                <w:color w:val="FF0000"/>
              </w:rPr>
              <w:t>Under the Healthy School Meals for All program, sponsors will receive additional reimbursement from state funds for all paid meals claimed. The amount of reimbursement received will equal the federal free reimbursement rate.</w:t>
            </w:r>
          </w:p>
        </w:tc>
      </w:tr>
      <w:tr w:rsidR="004C63D3" w:rsidRPr="00D7278D" w14:paraId="2FE0B26C" w14:textId="77777777" w:rsidTr="00E14A0F">
        <w:trPr>
          <w:trHeight w:val="773"/>
        </w:trPr>
        <w:tc>
          <w:tcPr>
            <w:tcW w:w="805" w:type="dxa"/>
            <w:shd w:val="clear" w:color="auto" w:fill="auto"/>
            <w:vAlign w:val="center"/>
          </w:tcPr>
          <w:p w14:paraId="27966908" w14:textId="5B3F824A" w:rsidR="004C63D3" w:rsidRPr="00D7278D" w:rsidRDefault="00E64DA9" w:rsidP="00E14A0F">
            <w:pPr>
              <w:spacing w:beforeLines="60" w:before="144" w:afterLines="60" w:after="144"/>
            </w:pPr>
            <w:r>
              <w:t>2101</w:t>
            </w:r>
            <w:r w:rsidR="004C63D3" w:rsidRPr="00D7278D">
              <w:t>.</w:t>
            </w:r>
          </w:p>
        </w:tc>
        <w:tc>
          <w:tcPr>
            <w:tcW w:w="8746" w:type="dxa"/>
            <w:vAlign w:val="center"/>
          </w:tcPr>
          <w:p w14:paraId="3B337BFF" w14:textId="77777777" w:rsidR="00203C99" w:rsidRDefault="00C14CD8" w:rsidP="00E14A0F">
            <w:pPr>
              <w:spacing w:beforeLines="60" w:before="144" w:afterLines="60" w:after="144"/>
              <w:rPr>
                <w:rFonts w:cstheme="minorHAnsi"/>
                <w:color w:val="000000" w:themeColor="text1"/>
              </w:rPr>
            </w:pPr>
            <w:r w:rsidRPr="00C14CD8">
              <w:rPr>
                <w:rFonts w:cstheme="minorHAnsi"/>
                <w:color w:val="000000" w:themeColor="text1"/>
              </w:rPr>
              <w:t>What procedures are/were used to calculate the Base Year claiming percentages for each school implementing Provision 2?</w:t>
            </w:r>
          </w:p>
          <w:p w14:paraId="522D5347" w14:textId="44865392" w:rsidR="00C14CD8" w:rsidRPr="00C14CD8" w:rsidRDefault="00C14CD8" w:rsidP="00582050">
            <w:pPr>
              <w:spacing w:beforeLines="60" w:before="144" w:afterLines="60" w:after="144"/>
              <w:rPr>
                <w:rFonts w:cstheme="minorHAnsi"/>
                <w:b/>
                <w:bCs/>
                <w:color w:val="FF0000"/>
              </w:rPr>
            </w:pPr>
            <w:r w:rsidRPr="00C14CD8">
              <w:rPr>
                <w:rFonts w:cstheme="minorHAnsi"/>
                <w:b/>
                <w:bCs/>
                <w:color w:val="FF0000"/>
              </w:rPr>
              <w:t xml:space="preserve">Tips: </w:t>
            </w:r>
            <w:r w:rsidR="00582050" w:rsidRPr="00582050">
              <w:rPr>
                <w:color w:val="FF0000"/>
              </w:rPr>
              <w:t xml:space="preserve">In the base year, the meal counts for the Provision 2 schools are totaled, by type, as in standard meal counting and claiming procedures. The meal count totals are submitted to the State agency through the </w:t>
            </w:r>
            <w:r w:rsidR="00582050">
              <w:rPr>
                <w:color w:val="FF0000"/>
              </w:rPr>
              <w:t>nutrition portal</w:t>
            </w:r>
            <w:r w:rsidR="00582050" w:rsidRPr="00582050">
              <w:rPr>
                <w:color w:val="FF0000"/>
              </w:rPr>
              <w:t xml:space="preserve">. </w:t>
            </w:r>
            <w:r w:rsidR="00582050">
              <w:rPr>
                <w:color w:val="FF0000"/>
              </w:rPr>
              <w:t>A</w:t>
            </w:r>
            <w:r w:rsidR="00582050" w:rsidRPr="00582050">
              <w:rPr>
                <w:color w:val="FF0000"/>
              </w:rPr>
              <w:t xml:space="preserve">fter the final Claim for Reimbursement has been filed, </w:t>
            </w:r>
            <w:proofErr w:type="gramStart"/>
            <w:r w:rsidR="00582050" w:rsidRPr="00582050">
              <w:rPr>
                <w:color w:val="FF0000"/>
              </w:rPr>
              <w:t>all of</w:t>
            </w:r>
            <w:proofErr w:type="gramEnd"/>
            <w:r w:rsidR="00582050" w:rsidRPr="00582050">
              <w:rPr>
                <w:color w:val="FF0000"/>
              </w:rPr>
              <w:t xml:space="preserve"> the data is available</w:t>
            </w:r>
            <w:r w:rsidR="00582050">
              <w:rPr>
                <w:color w:val="FF0000"/>
              </w:rPr>
              <w:t xml:space="preserve"> for the Nutrition Portal to</w:t>
            </w:r>
            <w:r w:rsidR="00582050" w:rsidRPr="00582050">
              <w:rPr>
                <w:color w:val="FF0000"/>
              </w:rPr>
              <w:t xml:space="preserve"> calculate the claiming percentages. These claiming percentages will be used for the remainder of the Provision 2 cycle</w:t>
            </w:r>
            <w:r w:rsidR="00582050">
              <w:rPr>
                <w:color w:val="FF0000"/>
              </w:rPr>
              <w:t>.</w:t>
            </w:r>
          </w:p>
        </w:tc>
      </w:tr>
      <w:tr w:rsidR="004C63D3" w:rsidRPr="00D7278D" w14:paraId="02B0246C" w14:textId="77777777" w:rsidTr="00E14A0F">
        <w:trPr>
          <w:trHeight w:val="692"/>
        </w:trPr>
        <w:tc>
          <w:tcPr>
            <w:tcW w:w="805" w:type="dxa"/>
            <w:shd w:val="clear" w:color="auto" w:fill="auto"/>
            <w:vAlign w:val="center"/>
          </w:tcPr>
          <w:p w14:paraId="5A2994BA" w14:textId="2AA7D49A" w:rsidR="004C63D3" w:rsidRPr="00D7278D" w:rsidRDefault="00C14CD8" w:rsidP="00E14A0F">
            <w:pPr>
              <w:spacing w:beforeLines="60" w:before="144" w:afterLines="60" w:after="144"/>
            </w:pPr>
            <w:r>
              <w:t>2102</w:t>
            </w:r>
            <w:r w:rsidR="004C63D3" w:rsidRPr="00D7278D">
              <w:t>.</w:t>
            </w:r>
          </w:p>
        </w:tc>
        <w:tc>
          <w:tcPr>
            <w:tcW w:w="8777" w:type="dxa"/>
            <w:vAlign w:val="center"/>
          </w:tcPr>
          <w:p w14:paraId="72136BD9" w14:textId="77777777" w:rsidR="004412CE" w:rsidRDefault="00C14CD8" w:rsidP="00E14A0F">
            <w:pPr>
              <w:autoSpaceDE w:val="0"/>
              <w:autoSpaceDN w:val="0"/>
              <w:adjustRightInd w:val="0"/>
              <w:spacing w:before="240" w:after="70"/>
              <w:rPr>
                <w:rFonts w:eastAsiaTheme="minorHAnsi" w:cstheme="minorHAnsi"/>
                <w:color w:val="000000" w:themeColor="text1"/>
              </w:rPr>
            </w:pPr>
            <w:r w:rsidRPr="00C14CD8">
              <w:rPr>
                <w:rFonts w:eastAsiaTheme="minorHAnsi" w:cstheme="minorHAnsi"/>
                <w:color w:val="000000" w:themeColor="text1"/>
              </w:rPr>
              <w:t>What procedures are used to apply the Base Year claiming percentages to the Non-base Year’s claims for reimbursement?</w:t>
            </w:r>
          </w:p>
          <w:p w14:paraId="1AD89A9C" w14:textId="67F3F3FE" w:rsidR="00C14CD8" w:rsidRPr="00C14CD8" w:rsidRDefault="00C14CD8" w:rsidP="00E14A0F">
            <w:pPr>
              <w:autoSpaceDE w:val="0"/>
              <w:autoSpaceDN w:val="0"/>
              <w:adjustRightInd w:val="0"/>
              <w:spacing w:before="240" w:after="70"/>
              <w:rPr>
                <w:rFonts w:eastAsiaTheme="minorHAnsi" w:cstheme="minorHAnsi"/>
                <w:b/>
                <w:bCs/>
                <w:color w:val="FF0000"/>
              </w:rPr>
            </w:pPr>
            <w:r w:rsidRPr="00C14CD8">
              <w:rPr>
                <w:rFonts w:eastAsiaTheme="minorHAnsi" w:cstheme="minorHAnsi"/>
                <w:b/>
                <w:bCs/>
                <w:color w:val="FF0000"/>
              </w:rPr>
              <w:t>Tips:</w:t>
            </w:r>
            <w:r w:rsidR="005A23E0">
              <w:rPr>
                <w:rFonts w:eastAsiaTheme="minorHAnsi" w:cstheme="minorHAnsi"/>
                <w:b/>
                <w:bCs/>
                <w:color w:val="FF0000"/>
              </w:rPr>
              <w:t xml:space="preserve"> </w:t>
            </w:r>
            <w:r w:rsidR="005A23E0" w:rsidRPr="005A23E0">
              <w:rPr>
                <w:color w:val="FF0000"/>
              </w:rPr>
              <w:t>Claiming percentages represent the ratio of each meal category (free, reduced price, or paid) to the total reimbursable lunches and/or breakfasts served. Each claiming percentage is applied to the total lunch and/or breakfast count respectively for the claiming period during the non-base years</w:t>
            </w:r>
            <w:r w:rsidR="000C7E5E">
              <w:rPr>
                <w:color w:val="FF0000"/>
              </w:rPr>
              <w:t xml:space="preserve"> calculated in the nutrition portal. </w:t>
            </w:r>
          </w:p>
        </w:tc>
      </w:tr>
      <w:tr w:rsidR="004C63D3" w:rsidRPr="00D7278D" w14:paraId="5575DE84" w14:textId="77777777" w:rsidTr="00E14A0F">
        <w:trPr>
          <w:trHeight w:val="620"/>
        </w:trPr>
        <w:tc>
          <w:tcPr>
            <w:tcW w:w="805" w:type="dxa"/>
            <w:shd w:val="clear" w:color="auto" w:fill="auto"/>
            <w:vAlign w:val="center"/>
          </w:tcPr>
          <w:p w14:paraId="3A71FD3B" w14:textId="070BF903" w:rsidR="004C63D3" w:rsidRPr="00D7278D" w:rsidRDefault="00E14A0F" w:rsidP="00E14A0F">
            <w:pPr>
              <w:spacing w:beforeLines="60" w:before="144" w:afterLines="60" w:after="144"/>
            </w:pPr>
            <w:r>
              <w:t>2103</w:t>
            </w:r>
            <w:r w:rsidR="004C63D3" w:rsidRPr="00D7278D">
              <w:t>.</w:t>
            </w:r>
          </w:p>
        </w:tc>
        <w:tc>
          <w:tcPr>
            <w:tcW w:w="8777" w:type="dxa"/>
            <w:vAlign w:val="center"/>
          </w:tcPr>
          <w:p w14:paraId="5BA95717" w14:textId="77777777" w:rsidR="00E14A0F" w:rsidRDefault="00E14A0F" w:rsidP="00E14A0F">
            <w:pPr>
              <w:rPr>
                <w:rFonts w:eastAsia="Calibri" w:cstheme="minorHAnsi"/>
                <w:color w:val="000000" w:themeColor="text1"/>
              </w:rPr>
            </w:pPr>
          </w:p>
          <w:p w14:paraId="543A2802" w14:textId="103EFE2A" w:rsidR="00E14A0F" w:rsidRPr="00E14A0F" w:rsidRDefault="00E14A0F" w:rsidP="00E14A0F">
            <w:pPr>
              <w:rPr>
                <w:rFonts w:eastAsia="Calibri" w:cstheme="minorHAnsi"/>
                <w:color w:val="000000" w:themeColor="text1"/>
              </w:rPr>
            </w:pPr>
            <w:r w:rsidRPr="00E14A0F">
              <w:rPr>
                <w:rFonts w:eastAsia="Calibri" w:cstheme="minorHAnsi"/>
                <w:color w:val="000000" w:themeColor="text1"/>
              </w:rPr>
              <w:t>Were adjustments made to the claiming percentages established during the Base Year?</w:t>
            </w:r>
          </w:p>
          <w:p w14:paraId="561DC977" w14:textId="17249A25" w:rsidR="00E14A0F" w:rsidRPr="00E14A0F" w:rsidRDefault="00E14A0F" w:rsidP="00E14A0F">
            <w:pPr>
              <w:pStyle w:val="ListParagraph"/>
              <w:numPr>
                <w:ilvl w:val="0"/>
                <w:numId w:val="15"/>
              </w:numPr>
              <w:rPr>
                <w:rFonts w:eastAsia="Calibri" w:cstheme="minorHAnsi"/>
                <w:color w:val="000000" w:themeColor="text1"/>
              </w:rPr>
            </w:pPr>
            <w:r w:rsidRPr="00E14A0F">
              <w:rPr>
                <w:rFonts w:eastAsia="Calibri" w:cstheme="minorHAnsi"/>
                <w:color w:val="000000" w:themeColor="text1"/>
              </w:rPr>
              <w:t>Yes</w:t>
            </w:r>
            <w:r>
              <w:rPr>
                <w:rFonts w:eastAsia="Calibri" w:cstheme="minorHAnsi"/>
                <w:color w:val="000000" w:themeColor="text1"/>
              </w:rPr>
              <w:t xml:space="preserve"> or </w:t>
            </w:r>
            <w:r w:rsidRPr="00E14A0F">
              <w:rPr>
                <w:rFonts w:eastAsia="Calibri" w:cstheme="minorHAnsi"/>
                <w:color w:val="000000" w:themeColor="text1"/>
              </w:rPr>
              <w:t>No</w:t>
            </w:r>
            <w:r>
              <w:rPr>
                <w:rFonts w:eastAsia="Calibri" w:cstheme="minorHAnsi"/>
                <w:color w:val="000000" w:themeColor="text1"/>
              </w:rPr>
              <w:t xml:space="preserve"> or </w:t>
            </w:r>
            <w:r w:rsidRPr="00E14A0F">
              <w:rPr>
                <w:rFonts w:eastAsia="Calibri" w:cstheme="minorHAnsi"/>
                <w:color w:val="000000" w:themeColor="text1"/>
              </w:rPr>
              <w:t>N/A</w:t>
            </w:r>
          </w:p>
          <w:p w14:paraId="4FC6B3EB" w14:textId="77777777" w:rsidR="00E14A0F" w:rsidRPr="00E14A0F" w:rsidRDefault="00E14A0F" w:rsidP="00E14A0F">
            <w:pPr>
              <w:rPr>
                <w:rFonts w:eastAsia="Calibri" w:cstheme="minorHAnsi"/>
                <w:color w:val="000000" w:themeColor="text1"/>
              </w:rPr>
            </w:pPr>
            <w:r w:rsidRPr="00E14A0F">
              <w:rPr>
                <w:rFonts w:eastAsia="Calibri" w:cstheme="minorHAnsi"/>
                <w:color w:val="000000" w:themeColor="text1"/>
              </w:rPr>
              <w:t xml:space="preserve"> </w:t>
            </w:r>
          </w:p>
          <w:p w14:paraId="6C516F24" w14:textId="77777777" w:rsidR="00CA462B" w:rsidRDefault="00E14A0F" w:rsidP="00E14A0F">
            <w:pPr>
              <w:rPr>
                <w:rFonts w:eastAsia="Calibri" w:cstheme="minorHAnsi"/>
                <w:color w:val="000000" w:themeColor="text1"/>
              </w:rPr>
            </w:pPr>
            <w:r w:rsidRPr="00E14A0F">
              <w:rPr>
                <w:rFonts w:eastAsia="Calibri" w:cstheme="minorHAnsi"/>
                <w:color w:val="000000" w:themeColor="text1"/>
              </w:rPr>
              <w:t xml:space="preserve">If </w:t>
            </w:r>
            <w:proofErr w:type="gramStart"/>
            <w:r w:rsidRPr="00E14A0F">
              <w:rPr>
                <w:rFonts w:eastAsia="Calibri" w:cstheme="minorHAnsi"/>
                <w:color w:val="000000" w:themeColor="text1"/>
              </w:rPr>
              <w:t>Yes</w:t>
            </w:r>
            <w:proofErr w:type="gramEnd"/>
            <w:r w:rsidRPr="00E14A0F">
              <w:rPr>
                <w:rFonts w:eastAsia="Calibri" w:cstheme="minorHAnsi"/>
                <w:color w:val="000000" w:themeColor="text1"/>
              </w:rPr>
              <w:t>, describe the procedure used for the adjustment.</w:t>
            </w:r>
          </w:p>
          <w:p w14:paraId="270F1AD6" w14:textId="77777777" w:rsidR="00531066" w:rsidRDefault="00531066" w:rsidP="00E14A0F">
            <w:pPr>
              <w:rPr>
                <w:rFonts w:eastAsia="Calibri" w:cstheme="minorHAnsi"/>
                <w:color w:val="000000" w:themeColor="text1"/>
              </w:rPr>
            </w:pPr>
          </w:p>
          <w:p w14:paraId="7269873B" w14:textId="061165C6" w:rsidR="00531066" w:rsidRPr="00740CA3" w:rsidRDefault="00531066" w:rsidP="00E14A0F">
            <w:pPr>
              <w:rPr>
                <w:rFonts w:eastAsia="Calibri" w:cstheme="minorHAnsi"/>
                <w:color w:val="FF0000"/>
              </w:rPr>
            </w:pPr>
            <w:r w:rsidRPr="00E64DA9">
              <w:rPr>
                <w:color w:val="FF0000"/>
              </w:rPr>
              <w:t>Tips:</w:t>
            </w:r>
            <w:r w:rsidR="00051539">
              <w:rPr>
                <w:color w:val="FF0000"/>
              </w:rPr>
              <w:t xml:space="preserve"> There are situations where the claiming percentages may need to be adjusted: change in number of facilities or change in student population. Select Yes </w:t>
            </w:r>
            <w:proofErr w:type="gramStart"/>
            <w:r w:rsidR="00051539">
              <w:rPr>
                <w:color w:val="FF0000"/>
              </w:rPr>
              <w:t>is</w:t>
            </w:r>
            <w:proofErr w:type="gramEnd"/>
            <w:r w:rsidR="00051539">
              <w:rPr>
                <w:color w:val="FF0000"/>
              </w:rPr>
              <w:t xml:space="preserve"> any </w:t>
            </w:r>
            <w:proofErr w:type="gramStart"/>
            <w:r w:rsidR="00051539">
              <w:rPr>
                <w:color w:val="FF0000"/>
              </w:rPr>
              <w:t>adjustments</w:t>
            </w:r>
            <w:proofErr w:type="gramEnd"/>
            <w:r w:rsidR="00051539">
              <w:rPr>
                <w:color w:val="FF0000"/>
              </w:rPr>
              <w:t xml:space="preserve"> had to be made during the Provision 2 cycle. </w:t>
            </w:r>
          </w:p>
        </w:tc>
      </w:tr>
      <w:tr w:rsidR="004C63D3" w:rsidRPr="00D7278D" w14:paraId="702335DE" w14:textId="77777777" w:rsidTr="00E14A0F">
        <w:trPr>
          <w:trHeight w:val="710"/>
        </w:trPr>
        <w:tc>
          <w:tcPr>
            <w:tcW w:w="805" w:type="dxa"/>
            <w:shd w:val="clear" w:color="auto" w:fill="auto"/>
            <w:vAlign w:val="center"/>
          </w:tcPr>
          <w:p w14:paraId="25E64000" w14:textId="0E973BCE" w:rsidR="004C63D3" w:rsidRPr="00D7278D" w:rsidRDefault="00E14A0F" w:rsidP="00E14A0F">
            <w:pPr>
              <w:spacing w:beforeLines="60" w:before="144" w:afterLines="60" w:after="144"/>
            </w:pPr>
            <w:r>
              <w:lastRenderedPageBreak/>
              <w:t>2104</w:t>
            </w:r>
            <w:r w:rsidR="004C63D3" w:rsidRPr="00D7278D">
              <w:t>.</w:t>
            </w:r>
          </w:p>
        </w:tc>
        <w:tc>
          <w:tcPr>
            <w:tcW w:w="8777" w:type="dxa"/>
            <w:vAlign w:val="center"/>
          </w:tcPr>
          <w:p w14:paraId="4321A7B2" w14:textId="77777777" w:rsidR="00E14A0F" w:rsidRDefault="00E14A0F" w:rsidP="00E14A0F">
            <w:pPr>
              <w:rPr>
                <w:rFonts w:eastAsiaTheme="minorHAnsi" w:cstheme="minorHAnsi"/>
                <w:color w:val="000000" w:themeColor="text1"/>
              </w:rPr>
            </w:pPr>
          </w:p>
          <w:p w14:paraId="6342E772" w14:textId="0A7EF24A" w:rsidR="00353AF9" w:rsidRDefault="00E14A0F" w:rsidP="00E14A0F">
            <w:pPr>
              <w:rPr>
                <w:rFonts w:eastAsiaTheme="minorHAnsi" w:cstheme="minorHAnsi"/>
                <w:color w:val="000000" w:themeColor="text1"/>
              </w:rPr>
            </w:pPr>
            <w:r w:rsidRPr="00E14A0F">
              <w:rPr>
                <w:rFonts w:eastAsiaTheme="minorHAnsi" w:cstheme="minorHAnsi"/>
                <w:color w:val="000000" w:themeColor="text1"/>
              </w:rPr>
              <w:t>Has the SFA ensured all meals are provided at no cost to all enrolled students during Provision 2 Base Year?</w:t>
            </w:r>
          </w:p>
          <w:p w14:paraId="1468B6F1" w14:textId="77777777" w:rsidR="00E14A0F" w:rsidRDefault="00E14A0F" w:rsidP="00E14A0F">
            <w:pPr>
              <w:rPr>
                <w:rFonts w:eastAsiaTheme="minorHAnsi" w:cstheme="minorHAnsi"/>
                <w:color w:val="000000" w:themeColor="text1"/>
              </w:rPr>
            </w:pPr>
          </w:p>
          <w:p w14:paraId="09ADEB29" w14:textId="7DF3EF09" w:rsidR="00E14A0F" w:rsidRPr="00740CA3" w:rsidRDefault="00531066" w:rsidP="00E14A0F">
            <w:pPr>
              <w:rPr>
                <w:rFonts w:eastAsiaTheme="minorHAnsi" w:cstheme="minorHAnsi"/>
                <w:color w:val="FF0000"/>
              </w:rPr>
            </w:pPr>
            <w:r w:rsidRPr="00E64DA9">
              <w:rPr>
                <w:color w:val="FF0000"/>
              </w:rPr>
              <w:t>Tips:</w:t>
            </w:r>
            <w:r w:rsidR="00325CD9">
              <w:rPr>
                <w:color w:val="FF0000"/>
              </w:rPr>
              <w:t xml:space="preserve"> If all students received free meals at Provision 2 schools, select Yes. </w:t>
            </w:r>
          </w:p>
        </w:tc>
      </w:tr>
      <w:tr w:rsidR="00E14A0F" w:rsidRPr="00D7278D" w14:paraId="041405F4" w14:textId="77777777" w:rsidTr="00E14A0F">
        <w:trPr>
          <w:trHeight w:val="620"/>
        </w:trPr>
        <w:tc>
          <w:tcPr>
            <w:tcW w:w="9582" w:type="dxa"/>
            <w:gridSpan w:val="2"/>
            <w:shd w:val="clear" w:color="auto" w:fill="auto"/>
            <w:vAlign w:val="center"/>
          </w:tcPr>
          <w:p w14:paraId="4158BB3E" w14:textId="5BD60E6B" w:rsidR="00E14A0F" w:rsidRPr="00E14A0F" w:rsidRDefault="00E14A0F" w:rsidP="00E14A0F">
            <w:pPr>
              <w:rPr>
                <w:b/>
                <w:bCs/>
                <w:color w:val="FF0000"/>
              </w:rPr>
            </w:pPr>
            <w:r>
              <w:rPr>
                <w:b/>
                <w:bCs/>
                <w:color w:val="FF0000"/>
              </w:rPr>
              <w:t>*</w:t>
            </w:r>
            <w:r w:rsidRPr="00E14A0F">
              <w:rPr>
                <w:b/>
                <w:bCs/>
                <w:color w:val="FF0000"/>
              </w:rPr>
              <w:t>For Provision 3 ONLY</w:t>
            </w:r>
            <w:r>
              <w:rPr>
                <w:b/>
                <w:bCs/>
                <w:color w:val="FF0000"/>
              </w:rPr>
              <w:t>*</w:t>
            </w:r>
          </w:p>
        </w:tc>
      </w:tr>
      <w:tr w:rsidR="00C145CE" w:rsidRPr="00D7278D" w14:paraId="08D33B81" w14:textId="77777777" w:rsidTr="00E14A0F">
        <w:trPr>
          <w:trHeight w:val="620"/>
        </w:trPr>
        <w:tc>
          <w:tcPr>
            <w:tcW w:w="9582" w:type="dxa"/>
            <w:gridSpan w:val="2"/>
            <w:shd w:val="clear" w:color="auto" w:fill="auto"/>
            <w:vAlign w:val="center"/>
          </w:tcPr>
          <w:p w14:paraId="2A9E6F53" w14:textId="26DDB952" w:rsidR="00C145CE" w:rsidRPr="00E64DA9" w:rsidRDefault="00C145CE" w:rsidP="00C145CE">
            <w:pPr>
              <w:spacing w:beforeLines="60" w:before="144" w:afterLines="60" w:after="144"/>
              <w:rPr>
                <w:rFonts w:eastAsia="Times New Roman" w:cstheme="minorHAnsi"/>
                <w:color w:val="000000"/>
              </w:rPr>
            </w:pPr>
            <w:r w:rsidRPr="00E64DA9">
              <w:rPr>
                <w:rFonts w:eastAsia="Times New Roman" w:cstheme="minorHAnsi"/>
                <w:color w:val="000000"/>
              </w:rPr>
              <w:t xml:space="preserve">Does this SFA operate any Provision </w:t>
            </w:r>
            <w:r>
              <w:rPr>
                <w:rFonts w:eastAsia="Times New Roman" w:cstheme="minorHAnsi"/>
                <w:color w:val="000000"/>
              </w:rPr>
              <w:t>3</w:t>
            </w:r>
            <w:r w:rsidRPr="00E64DA9">
              <w:rPr>
                <w:rFonts w:eastAsia="Times New Roman" w:cstheme="minorHAnsi"/>
                <w:color w:val="000000"/>
              </w:rPr>
              <w:t xml:space="preserve"> Schools?</w:t>
            </w:r>
          </w:p>
          <w:p w14:paraId="1B21841E" w14:textId="77777777" w:rsidR="00C145CE" w:rsidRPr="00E64DA9" w:rsidRDefault="00C145CE" w:rsidP="00C145CE">
            <w:pPr>
              <w:pStyle w:val="ListParagraph"/>
              <w:numPr>
                <w:ilvl w:val="0"/>
                <w:numId w:val="15"/>
              </w:numPr>
              <w:spacing w:beforeLines="60" w:before="144" w:afterLines="60" w:after="144"/>
            </w:pPr>
            <w:r w:rsidRPr="00E64DA9">
              <w:t xml:space="preserve">Yes or </w:t>
            </w:r>
            <w:proofErr w:type="gramStart"/>
            <w:r w:rsidRPr="00E64DA9">
              <w:t>No</w:t>
            </w:r>
            <w:proofErr w:type="gramEnd"/>
          </w:p>
          <w:p w14:paraId="3F8A3E17" w14:textId="77777777" w:rsidR="00C145CE" w:rsidRDefault="00C145CE" w:rsidP="00C145CE">
            <w:pPr>
              <w:rPr>
                <w:color w:val="FF0000"/>
              </w:rPr>
            </w:pPr>
            <w:r w:rsidRPr="00E64DA9">
              <w:rPr>
                <w:color w:val="FF0000"/>
              </w:rPr>
              <w:t xml:space="preserve">Tips: Answer </w:t>
            </w:r>
            <w:r w:rsidR="00325CD9">
              <w:rPr>
                <w:color w:val="FF0000"/>
              </w:rPr>
              <w:t>Y</w:t>
            </w:r>
            <w:r w:rsidRPr="00E64DA9">
              <w:rPr>
                <w:color w:val="FF0000"/>
              </w:rPr>
              <w:t>es if S</w:t>
            </w:r>
            <w:r>
              <w:rPr>
                <w:color w:val="FF0000"/>
              </w:rPr>
              <w:t xml:space="preserve">ponsor </w:t>
            </w:r>
            <w:r w:rsidRPr="00E64DA9">
              <w:rPr>
                <w:color w:val="FF0000"/>
              </w:rPr>
              <w:t xml:space="preserve">is operating Provision </w:t>
            </w:r>
            <w:r>
              <w:rPr>
                <w:color w:val="FF0000"/>
              </w:rPr>
              <w:t>3</w:t>
            </w:r>
            <w:r w:rsidRPr="00E64DA9">
              <w:rPr>
                <w:color w:val="FF0000"/>
              </w:rPr>
              <w:t xml:space="preserve"> at any schools.</w:t>
            </w:r>
            <w:r w:rsidR="00661BB2">
              <w:rPr>
                <w:color w:val="FF0000"/>
              </w:rPr>
              <w:t xml:space="preserve"> </w:t>
            </w:r>
          </w:p>
          <w:p w14:paraId="6CC5AC59" w14:textId="77777777" w:rsidR="00661BB2" w:rsidRDefault="00661BB2" w:rsidP="00C145CE">
            <w:pPr>
              <w:rPr>
                <w:color w:val="FF0000"/>
              </w:rPr>
            </w:pPr>
          </w:p>
          <w:p w14:paraId="38073D9B" w14:textId="357CD20C" w:rsidR="00661BB2" w:rsidRDefault="00661BB2" w:rsidP="00C145CE">
            <w:pPr>
              <w:rPr>
                <w:b/>
                <w:bCs/>
                <w:color w:val="FF0000"/>
              </w:rPr>
            </w:pPr>
            <w:r w:rsidRPr="00661BB2">
              <w:rPr>
                <w:color w:val="FF0000"/>
              </w:rPr>
              <w:t>Provision 3 requires that the school serve meals to participating children at no charge but reduces application burdens and meal counting and claiming procedures by allowing a school to receive a comparable level of Federal cash and commodity assistance as the school received in the last year in which free and reduced price eligibility determinations were made, adjusted for enrollment, inflation and operating days if applicable, for a period up to 4 years.</w:t>
            </w:r>
          </w:p>
        </w:tc>
      </w:tr>
      <w:tr w:rsidR="00E14A0F" w:rsidRPr="00D7278D" w14:paraId="16DA90A5" w14:textId="77777777" w:rsidTr="00E14A0F">
        <w:trPr>
          <w:trHeight w:val="1700"/>
        </w:trPr>
        <w:tc>
          <w:tcPr>
            <w:tcW w:w="805" w:type="dxa"/>
            <w:shd w:val="clear" w:color="auto" w:fill="auto"/>
            <w:vAlign w:val="center"/>
          </w:tcPr>
          <w:p w14:paraId="0F351F9C" w14:textId="1EC9DED0" w:rsidR="00E14A0F" w:rsidRPr="00E14A0F" w:rsidRDefault="00E14A0F" w:rsidP="00E14A0F">
            <w:pPr>
              <w:spacing w:beforeLines="60" w:before="144" w:afterLines="60" w:after="144"/>
              <w:rPr>
                <w:color w:val="000000" w:themeColor="text1"/>
              </w:rPr>
            </w:pPr>
            <w:r w:rsidRPr="00E14A0F">
              <w:rPr>
                <w:color w:val="000000" w:themeColor="text1"/>
              </w:rPr>
              <w:t>2105.</w:t>
            </w:r>
          </w:p>
        </w:tc>
        <w:tc>
          <w:tcPr>
            <w:tcW w:w="8777" w:type="dxa"/>
            <w:vAlign w:val="center"/>
          </w:tcPr>
          <w:p w14:paraId="304FBED6" w14:textId="77777777" w:rsidR="00E14A0F" w:rsidRPr="00E14A0F" w:rsidRDefault="00E14A0F" w:rsidP="00E14A0F">
            <w:pPr>
              <w:spacing w:beforeLines="60" w:before="144" w:afterLines="60" w:after="144"/>
              <w:contextualSpacing/>
              <w:rPr>
                <w:bCs/>
                <w:color w:val="000000" w:themeColor="text1"/>
              </w:rPr>
            </w:pPr>
            <w:r w:rsidRPr="00E14A0F">
              <w:rPr>
                <w:bCs/>
                <w:color w:val="000000" w:themeColor="text1"/>
              </w:rPr>
              <w:t xml:space="preserve">Are non-federal funds being properly allocated to account for the difference </w:t>
            </w:r>
            <w:proofErr w:type="gramStart"/>
            <w:r w:rsidRPr="00E14A0F">
              <w:rPr>
                <w:bCs/>
                <w:color w:val="000000" w:themeColor="text1"/>
              </w:rPr>
              <w:t>of</w:t>
            </w:r>
            <w:proofErr w:type="gramEnd"/>
            <w:r w:rsidRPr="00E14A0F">
              <w:rPr>
                <w:bCs/>
                <w:color w:val="000000" w:themeColor="text1"/>
              </w:rPr>
              <w:t xml:space="preserve"> offering all meals to students at no charge and the Federal reimbursement?</w:t>
            </w:r>
          </w:p>
          <w:p w14:paraId="147CE7F0" w14:textId="183779BE" w:rsidR="00531066" w:rsidRPr="00B6174F" w:rsidRDefault="00E14A0F" w:rsidP="00531066">
            <w:pPr>
              <w:pStyle w:val="ListParagraph"/>
              <w:numPr>
                <w:ilvl w:val="0"/>
                <w:numId w:val="15"/>
              </w:numPr>
              <w:spacing w:beforeLines="60" w:before="144" w:afterLines="60" w:after="144"/>
              <w:rPr>
                <w:b/>
                <w:color w:val="000000" w:themeColor="text1"/>
              </w:rPr>
            </w:pPr>
            <w:r w:rsidRPr="00E14A0F">
              <w:rPr>
                <w:bCs/>
                <w:color w:val="000000" w:themeColor="text1"/>
              </w:rPr>
              <w:t>Yes</w:t>
            </w:r>
            <w:r w:rsidRPr="00E14A0F">
              <w:rPr>
                <w:bCs/>
                <w:color w:val="000000" w:themeColor="text1"/>
              </w:rPr>
              <w:tab/>
              <w:t>No</w:t>
            </w:r>
          </w:p>
        </w:tc>
      </w:tr>
      <w:tr w:rsidR="00E14A0F" w:rsidRPr="00D7278D" w14:paraId="258834B0" w14:textId="77777777" w:rsidTr="00E14A0F">
        <w:trPr>
          <w:trHeight w:val="710"/>
        </w:trPr>
        <w:tc>
          <w:tcPr>
            <w:tcW w:w="805" w:type="dxa"/>
            <w:shd w:val="clear" w:color="auto" w:fill="auto"/>
          </w:tcPr>
          <w:p w14:paraId="59EBD518" w14:textId="0F13A332" w:rsidR="00E14A0F" w:rsidRPr="00D7278D" w:rsidRDefault="00E14A0F" w:rsidP="00E14A0F">
            <w:pPr>
              <w:spacing w:beforeLines="60" w:before="144" w:afterLines="60" w:after="144"/>
            </w:pPr>
            <w:r>
              <w:t>2106</w:t>
            </w:r>
            <w:r w:rsidRPr="00D7278D">
              <w:t>.</w:t>
            </w:r>
          </w:p>
        </w:tc>
        <w:tc>
          <w:tcPr>
            <w:tcW w:w="8777" w:type="dxa"/>
            <w:vAlign w:val="center"/>
          </w:tcPr>
          <w:p w14:paraId="05356B88" w14:textId="77777777" w:rsidR="00E14A0F" w:rsidRDefault="00E14A0F" w:rsidP="00E14A0F">
            <w:pPr>
              <w:spacing w:beforeLines="60" w:before="144" w:afterLines="60" w:after="144"/>
              <w:contextualSpacing/>
              <w:rPr>
                <w:rFonts w:eastAsia="Times New Roman" w:cstheme="minorHAnsi"/>
                <w:bCs/>
                <w:color w:val="000000" w:themeColor="text1"/>
              </w:rPr>
            </w:pPr>
          </w:p>
          <w:p w14:paraId="73C30343" w14:textId="65F1B83A" w:rsidR="00E14A0F" w:rsidRPr="00E14A0F" w:rsidRDefault="00E14A0F" w:rsidP="00E14A0F">
            <w:pPr>
              <w:spacing w:beforeLines="60" w:before="144" w:afterLines="60" w:after="144"/>
              <w:contextualSpacing/>
              <w:rPr>
                <w:rFonts w:eastAsia="Times New Roman" w:cstheme="minorHAnsi"/>
                <w:bCs/>
                <w:color w:val="000000" w:themeColor="text1"/>
              </w:rPr>
            </w:pPr>
            <w:r w:rsidRPr="00E14A0F">
              <w:rPr>
                <w:rFonts w:eastAsia="Times New Roman" w:cstheme="minorHAnsi"/>
                <w:bCs/>
                <w:color w:val="000000" w:themeColor="text1"/>
              </w:rPr>
              <w:t>What procedures are/were used to calculate the Base Year level of federal assistance for each school implementing Provision 3?</w:t>
            </w:r>
          </w:p>
          <w:p w14:paraId="48EF75D4" w14:textId="23462D57" w:rsidR="00E14A0F" w:rsidRPr="004412CE" w:rsidRDefault="00E14A0F" w:rsidP="00E14A0F">
            <w:pPr>
              <w:pStyle w:val="Default"/>
              <w:rPr>
                <w:rFonts w:asciiTheme="minorHAnsi" w:eastAsia="Times New Roman" w:hAnsiTheme="minorHAnsi" w:cstheme="minorHAnsi"/>
                <w:b/>
                <w:color w:val="FF0000"/>
                <w:sz w:val="22"/>
                <w:szCs w:val="22"/>
              </w:rPr>
            </w:pPr>
          </w:p>
        </w:tc>
      </w:tr>
    </w:tbl>
    <w:tbl>
      <w:tblPr>
        <w:tblStyle w:val="TableGrid1"/>
        <w:tblW w:w="9582" w:type="dxa"/>
        <w:tblLayout w:type="fixed"/>
        <w:tblLook w:val="04A0" w:firstRow="1" w:lastRow="0" w:firstColumn="1" w:lastColumn="0" w:noHBand="0" w:noVBand="1"/>
      </w:tblPr>
      <w:tblGrid>
        <w:gridCol w:w="805"/>
        <w:gridCol w:w="8777"/>
      </w:tblGrid>
      <w:tr w:rsidR="00A82E75" w:rsidRPr="00D7278D" w14:paraId="05190B53" w14:textId="77777777" w:rsidTr="00E64DA9">
        <w:trPr>
          <w:trHeight w:val="728"/>
        </w:trPr>
        <w:tc>
          <w:tcPr>
            <w:tcW w:w="805" w:type="dxa"/>
            <w:tcBorders>
              <w:bottom w:val="single" w:sz="4" w:space="0" w:color="auto"/>
            </w:tcBorders>
            <w:shd w:val="clear" w:color="auto" w:fill="auto"/>
          </w:tcPr>
          <w:p w14:paraId="755A0246" w14:textId="7E45F91A" w:rsidR="00A82E75" w:rsidRPr="00D7278D" w:rsidRDefault="00E14A0F" w:rsidP="00BB4441">
            <w:pPr>
              <w:spacing w:beforeLines="60" w:before="144" w:afterLines="60" w:after="144"/>
            </w:pPr>
            <w:r>
              <w:t>2107</w:t>
            </w:r>
            <w:r w:rsidR="00A82E75" w:rsidRPr="00D7278D">
              <w:t>.</w:t>
            </w:r>
          </w:p>
        </w:tc>
        <w:tc>
          <w:tcPr>
            <w:tcW w:w="8777" w:type="dxa"/>
            <w:tcBorders>
              <w:bottom w:val="single" w:sz="4" w:space="0" w:color="auto"/>
            </w:tcBorders>
            <w:vAlign w:val="bottom"/>
          </w:tcPr>
          <w:p w14:paraId="3343BC5E" w14:textId="77777777" w:rsidR="00740CA3" w:rsidRDefault="00E14A0F" w:rsidP="00B826C9">
            <w:pPr>
              <w:spacing w:beforeLines="60" w:before="144" w:afterLines="60" w:after="144"/>
              <w:rPr>
                <w:rFonts w:eastAsia="Times New Roman" w:cs="Calibri"/>
                <w:color w:val="000000"/>
              </w:rPr>
            </w:pPr>
            <w:r w:rsidRPr="00E14A0F">
              <w:rPr>
                <w:rFonts w:eastAsia="Times New Roman" w:cs="Calibri"/>
                <w:color w:val="000000"/>
              </w:rPr>
              <w:t>What procedures are used to apply the Base Year level of federal assistance to the Non-base Year’s claims for reimbursement?</w:t>
            </w:r>
          </w:p>
          <w:p w14:paraId="19163C6E" w14:textId="564628BD" w:rsidR="00531066" w:rsidRPr="00D7278D" w:rsidRDefault="00531066" w:rsidP="00B826C9">
            <w:pPr>
              <w:spacing w:beforeLines="60" w:before="144" w:afterLines="60" w:after="144"/>
              <w:rPr>
                <w:rFonts w:eastAsia="Times New Roman" w:cs="Calibri"/>
                <w:color w:val="000000"/>
              </w:rPr>
            </w:pPr>
          </w:p>
        </w:tc>
      </w:tr>
      <w:tr w:rsidR="00C14CD8" w:rsidRPr="00D7278D" w14:paraId="070277E1" w14:textId="77777777" w:rsidTr="00C14CD8">
        <w:trPr>
          <w:trHeight w:val="728"/>
        </w:trPr>
        <w:tc>
          <w:tcPr>
            <w:tcW w:w="805" w:type="dxa"/>
            <w:tcBorders>
              <w:bottom w:val="single" w:sz="4" w:space="0" w:color="auto"/>
            </w:tcBorders>
            <w:shd w:val="clear" w:color="auto" w:fill="auto"/>
          </w:tcPr>
          <w:p w14:paraId="340B55F9" w14:textId="758B89D7" w:rsidR="00C14CD8" w:rsidRPr="00D7278D" w:rsidRDefault="00E14A0F" w:rsidP="006B7AC6">
            <w:pPr>
              <w:rPr>
                <w:rFonts w:eastAsia="Times New Roman" w:cs="Calibri"/>
                <w:color w:val="000000"/>
              </w:rPr>
            </w:pPr>
            <w:r>
              <w:rPr>
                <w:rFonts w:eastAsia="Times New Roman" w:cs="Calibri"/>
                <w:color w:val="000000"/>
              </w:rPr>
              <w:t>2108.</w:t>
            </w:r>
          </w:p>
        </w:tc>
        <w:tc>
          <w:tcPr>
            <w:tcW w:w="8777" w:type="dxa"/>
            <w:tcBorders>
              <w:bottom w:val="single" w:sz="4" w:space="0" w:color="auto"/>
            </w:tcBorders>
            <w:shd w:val="clear" w:color="auto" w:fill="auto"/>
          </w:tcPr>
          <w:p w14:paraId="7ECE5F06" w14:textId="77777777" w:rsidR="00E14A0F" w:rsidRPr="00E14A0F" w:rsidRDefault="00E14A0F" w:rsidP="00E14A0F">
            <w:pPr>
              <w:rPr>
                <w:rFonts w:eastAsia="Times New Roman" w:cs="Calibri"/>
                <w:color w:val="000000"/>
              </w:rPr>
            </w:pPr>
            <w:r w:rsidRPr="00E14A0F">
              <w:rPr>
                <w:rFonts w:eastAsia="Times New Roman" w:cs="Calibri"/>
                <w:color w:val="000000"/>
              </w:rPr>
              <w:t>Were adjustments made to the level of federal assistance established during the Base Year?</w:t>
            </w:r>
          </w:p>
          <w:p w14:paraId="4E205AEC" w14:textId="77777777" w:rsidR="00E14A0F" w:rsidRPr="00E14A0F" w:rsidRDefault="00E14A0F" w:rsidP="00E14A0F">
            <w:pPr>
              <w:pStyle w:val="ListParagraph"/>
              <w:numPr>
                <w:ilvl w:val="0"/>
                <w:numId w:val="15"/>
              </w:numPr>
              <w:rPr>
                <w:rFonts w:eastAsia="Times New Roman" w:cs="Calibri"/>
                <w:color w:val="000000"/>
              </w:rPr>
            </w:pPr>
            <w:proofErr w:type="gramStart"/>
            <w:r w:rsidRPr="00E14A0F">
              <w:rPr>
                <w:rFonts w:eastAsia="Times New Roman" w:cs="Calibri"/>
                <w:color w:val="000000"/>
              </w:rPr>
              <w:t>Yes</w:t>
            </w:r>
            <w:proofErr w:type="gramEnd"/>
            <w:r w:rsidRPr="00E14A0F">
              <w:rPr>
                <w:rFonts w:eastAsia="Times New Roman" w:cs="Calibri"/>
                <w:color w:val="000000"/>
              </w:rPr>
              <w:tab/>
              <w:t>No</w:t>
            </w:r>
            <w:r w:rsidRPr="00E14A0F">
              <w:rPr>
                <w:rFonts w:eastAsia="Times New Roman" w:cs="Calibri"/>
                <w:color w:val="000000"/>
              </w:rPr>
              <w:tab/>
              <w:t>N/A</w:t>
            </w:r>
          </w:p>
          <w:p w14:paraId="4A4CDF62" w14:textId="77777777" w:rsidR="00E14A0F" w:rsidRPr="00E14A0F" w:rsidRDefault="00E14A0F" w:rsidP="00E14A0F">
            <w:pPr>
              <w:rPr>
                <w:rFonts w:eastAsia="Times New Roman" w:cs="Calibri"/>
                <w:color w:val="000000"/>
              </w:rPr>
            </w:pPr>
            <w:r w:rsidRPr="00E14A0F">
              <w:rPr>
                <w:rFonts w:eastAsia="Times New Roman" w:cs="Calibri"/>
                <w:color w:val="000000"/>
              </w:rPr>
              <w:t xml:space="preserve"> </w:t>
            </w:r>
          </w:p>
          <w:p w14:paraId="0ED4BFDF" w14:textId="77777777" w:rsidR="00C14CD8" w:rsidRDefault="00E14A0F" w:rsidP="00E14A0F">
            <w:pPr>
              <w:rPr>
                <w:rFonts w:eastAsia="Times New Roman" w:cs="Calibri"/>
                <w:color w:val="000000"/>
              </w:rPr>
            </w:pPr>
            <w:r w:rsidRPr="00E14A0F">
              <w:rPr>
                <w:rFonts w:eastAsia="Times New Roman" w:cs="Calibri"/>
                <w:color w:val="000000"/>
              </w:rPr>
              <w:t xml:space="preserve">If </w:t>
            </w:r>
            <w:proofErr w:type="gramStart"/>
            <w:r w:rsidRPr="00E14A0F">
              <w:rPr>
                <w:rFonts w:eastAsia="Times New Roman" w:cs="Calibri"/>
                <w:color w:val="000000"/>
              </w:rPr>
              <w:t>Yes</w:t>
            </w:r>
            <w:proofErr w:type="gramEnd"/>
            <w:r w:rsidRPr="00E14A0F">
              <w:rPr>
                <w:rFonts w:eastAsia="Times New Roman" w:cs="Calibri"/>
                <w:color w:val="000000"/>
              </w:rPr>
              <w:t>, describe the procedure used for the adjustment.</w:t>
            </w:r>
          </w:p>
          <w:p w14:paraId="641B5936" w14:textId="77777777" w:rsidR="007C422B" w:rsidRDefault="007C422B" w:rsidP="00E14A0F">
            <w:pPr>
              <w:rPr>
                <w:rFonts w:eastAsia="Times New Roman" w:cs="Calibri"/>
                <w:color w:val="000000"/>
              </w:rPr>
            </w:pPr>
          </w:p>
          <w:p w14:paraId="4176D627" w14:textId="5C95B519" w:rsidR="00531066" w:rsidRPr="00D7278D" w:rsidRDefault="00531066" w:rsidP="00E14A0F">
            <w:pPr>
              <w:rPr>
                <w:rFonts w:eastAsia="Times New Roman" w:cs="Calibri"/>
                <w:color w:val="000000"/>
              </w:rPr>
            </w:pPr>
          </w:p>
        </w:tc>
      </w:tr>
      <w:tr w:rsidR="00E14A0F" w:rsidRPr="00D7278D" w14:paraId="7A2F6FE6" w14:textId="77777777" w:rsidTr="00F74A0D">
        <w:trPr>
          <w:trHeight w:val="728"/>
        </w:trPr>
        <w:tc>
          <w:tcPr>
            <w:tcW w:w="9582" w:type="dxa"/>
            <w:gridSpan w:val="2"/>
            <w:shd w:val="clear" w:color="auto" w:fill="auto"/>
          </w:tcPr>
          <w:p w14:paraId="3496B03D" w14:textId="77777777" w:rsidR="00DB3D43" w:rsidRDefault="00DB3D43" w:rsidP="00740CA3">
            <w:pPr>
              <w:spacing w:beforeLines="60" w:before="144" w:afterLines="60" w:after="144"/>
              <w:contextualSpacing/>
              <w:rPr>
                <w:b/>
                <w:bCs/>
                <w:color w:val="FF0000"/>
              </w:rPr>
            </w:pPr>
          </w:p>
          <w:p w14:paraId="3D9AE427" w14:textId="469DF397" w:rsidR="00E14A0F" w:rsidRPr="00DB3D43" w:rsidRDefault="00E14A0F" w:rsidP="00740CA3">
            <w:pPr>
              <w:spacing w:beforeLines="60" w:before="144" w:afterLines="60" w:after="144"/>
              <w:contextualSpacing/>
              <w:rPr>
                <w:b/>
                <w:bCs/>
              </w:rPr>
            </w:pPr>
            <w:r w:rsidRPr="00DB3D43">
              <w:rPr>
                <w:b/>
                <w:bCs/>
                <w:color w:val="FF0000"/>
              </w:rPr>
              <w:t>*For Community Eligibility Provision ONLY*</w:t>
            </w:r>
          </w:p>
        </w:tc>
      </w:tr>
      <w:tr w:rsidR="00E14A0F" w:rsidRPr="00D7278D" w14:paraId="79F2100F" w14:textId="77777777" w:rsidTr="00F74A0D">
        <w:trPr>
          <w:trHeight w:val="728"/>
        </w:trPr>
        <w:tc>
          <w:tcPr>
            <w:tcW w:w="9582" w:type="dxa"/>
            <w:gridSpan w:val="2"/>
            <w:shd w:val="clear" w:color="auto" w:fill="auto"/>
          </w:tcPr>
          <w:p w14:paraId="342529CF" w14:textId="40352561" w:rsidR="00E14A0F" w:rsidRPr="00E64DA9" w:rsidRDefault="00E14A0F" w:rsidP="00E14A0F">
            <w:pPr>
              <w:spacing w:beforeLines="60" w:before="144" w:afterLines="60" w:after="144"/>
              <w:rPr>
                <w:rFonts w:eastAsia="Times New Roman" w:cstheme="minorHAnsi"/>
                <w:color w:val="000000"/>
              </w:rPr>
            </w:pPr>
            <w:r w:rsidRPr="00E64DA9">
              <w:rPr>
                <w:rFonts w:eastAsia="Times New Roman" w:cstheme="minorHAnsi"/>
                <w:color w:val="000000"/>
              </w:rPr>
              <w:t xml:space="preserve">Does this SFA operate any </w:t>
            </w:r>
            <w:r>
              <w:rPr>
                <w:rFonts w:eastAsia="Times New Roman" w:cstheme="minorHAnsi"/>
                <w:color w:val="000000"/>
              </w:rPr>
              <w:t>CEP</w:t>
            </w:r>
            <w:r w:rsidRPr="00E64DA9">
              <w:rPr>
                <w:rFonts w:eastAsia="Times New Roman" w:cstheme="minorHAnsi"/>
                <w:color w:val="000000"/>
              </w:rPr>
              <w:t xml:space="preserve"> Schools?</w:t>
            </w:r>
          </w:p>
          <w:p w14:paraId="10C1BF3F" w14:textId="77777777" w:rsidR="00E14A0F" w:rsidRPr="00E64DA9" w:rsidRDefault="00E14A0F" w:rsidP="00E14A0F">
            <w:pPr>
              <w:pStyle w:val="ListParagraph"/>
              <w:numPr>
                <w:ilvl w:val="0"/>
                <w:numId w:val="15"/>
              </w:numPr>
              <w:spacing w:beforeLines="60" w:before="144" w:afterLines="60" w:after="144"/>
            </w:pPr>
            <w:r w:rsidRPr="00E64DA9">
              <w:t xml:space="preserve">Yes or </w:t>
            </w:r>
            <w:proofErr w:type="gramStart"/>
            <w:r w:rsidRPr="00E64DA9">
              <w:t>No</w:t>
            </w:r>
            <w:proofErr w:type="gramEnd"/>
          </w:p>
          <w:p w14:paraId="2A5CD010" w14:textId="77777777" w:rsidR="00E14A0F" w:rsidRDefault="00E14A0F" w:rsidP="00E14A0F">
            <w:pPr>
              <w:spacing w:beforeLines="60" w:before="144" w:afterLines="60" w:after="144"/>
              <w:contextualSpacing/>
              <w:rPr>
                <w:color w:val="FF0000"/>
              </w:rPr>
            </w:pPr>
            <w:r w:rsidRPr="00E64DA9">
              <w:rPr>
                <w:color w:val="FF0000"/>
              </w:rPr>
              <w:t xml:space="preserve">Tips: Answer </w:t>
            </w:r>
            <w:r w:rsidR="00531066">
              <w:rPr>
                <w:color w:val="FF0000"/>
              </w:rPr>
              <w:t>Y</w:t>
            </w:r>
            <w:r w:rsidRPr="00E64DA9">
              <w:rPr>
                <w:color w:val="FF0000"/>
              </w:rPr>
              <w:t>es if S</w:t>
            </w:r>
            <w:r>
              <w:rPr>
                <w:color w:val="FF0000"/>
              </w:rPr>
              <w:t xml:space="preserve">ponsor </w:t>
            </w:r>
            <w:r w:rsidRPr="00E64DA9">
              <w:rPr>
                <w:color w:val="FF0000"/>
              </w:rPr>
              <w:t xml:space="preserve">is operating </w:t>
            </w:r>
            <w:r w:rsidR="00C145CE">
              <w:rPr>
                <w:color w:val="FF0000"/>
              </w:rPr>
              <w:t>CEP</w:t>
            </w:r>
            <w:r w:rsidRPr="00E64DA9">
              <w:rPr>
                <w:color w:val="FF0000"/>
              </w:rPr>
              <w:t xml:space="preserve"> at any schools.</w:t>
            </w:r>
          </w:p>
          <w:p w14:paraId="293D0514" w14:textId="77777777" w:rsidR="007E041B" w:rsidRDefault="007E041B" w:rsidP="00E14A0F">
            <w:pPr>
              <w:spacing w:beforeLines="60" w:before="144" w:afterLines="60" w:after="144"/>
              <w:contextualSpacing/>
              <w:rPr>
                <w:color w:val="FF0000"/>
              </w:rPr>
            </w:pPr>
          </w:p>
          <w:p w14:paraId="6B67979F" w14:textId="77777777" w:rsidR="007E041B" w:rsidRDefault="007E041B" w:rsidP="00E14A0F">
            <w:pPr>
              <w:spacing w:beforeLines="60" w:before="144" w:afterLines="60" w:after="144"/>
              <w:contextualSpacing/>
              <w:rPr>
                <w:color w:val="FF0000"/>
              </w:rPr>
            </w:pPr>
            <w:r>
              <w:rPr>
                <w:color w:val="FF0000"/>
              </w:rPr>
              <w:lastRenderedPageBreak/>
              <w:t xml:space="preserve">Ensure all sites in the CEP Schedule in the nutrition portal (assigned CEP eligibility) are operating CEP. </w:t>
            </w:r>
          </w:p>
          <w:p w14:paraId="360090B9" w14:textId="77777777" w:rsidR="007E041B" w:rsidRPr="007E041B" w:rsidRDefault="007E041B" w:rsidP="007E041B">
            <w:pPr>
              <w:spacing w:beforeLines="60" w:before="144" w:afterLines="60" w:after="144" w:line="240" w:lineRule="auto"/>
              <w:contextualSpacing/>
              <w:rPr>
                <w:color w:val="FF0000"/>
              </w:rPr>
            </w:pPr>
            <w:r w:rsidRPr="007E041B">
              <w:rPr>
                <w:color w:val="FF0000"/>
              </w:rPr>
              <w:t>To be eligible for CEP, an LEA, group of schools, or school must:</w:t>
            </w:r>
          </w:p>
          <w:p w14:paraId="4EBCE6CB" w14:textId="35CE1074" w:rsidR="007E041B" w:rsidRPr="007E041B" w:rsidRDefault="007E041B" w:rsidP="007E041B">
            <w:pPr>
              <w:spacing w:beforeLines="60" w:before="144" w:afterLines="60" w:after="144" w:line="240" w:lineRule="auto"/>
              <w:contextualSpacing/>
              <w:rPr>
                <w:color w:val="FF0000"/>
              </w:rPr>
            </w:pPr>
            <w:r w:rsidRPr="007E041B">
              <w:rPr>
                <w:color w:val="FF0000"/>
              </w:rPr>
              <w:t>• Ensure that at least 40 percent of enrolled students are identified students</w:t>
            </w:r>
            <w:r>
              <w:rPr>
                <w:color w:val="FF0000"/>
              </w:rPr>
              <w:t xml:space="preserve"> (either by itself or average with other sites when grouped)</w:t>
            </w:r>
          </w:p>
          <w:p w14:paraId="3FEECE91" w14:textId="77777777" w:rsidR="007E041B" w:rsidRPr="007E041B" w:rsidRDefault="007E041B" w:rsidP="007E041B">
            <w:pPr>
              <w:spacing w:beforeLines="60" w:before="144" w:afterLines="60" w:after="144" w:line="240" w:lineRule="auto"/>
              <w:contextualSpacing/>
              <w:rPr>
                <w:color w:val="FF0000"/>
              </w:rPr>
            </w:pPr>
            <w:r w:rsidRPr="007E041B">
              <w:rPr>
                <w:color w:val="FF0000"/>
              </w:rPr>
              <w:t>• Participate in both the NSLP and SBP; and</w:t>
            </w:r>
          </w:p>
          <w:p w14:paraId="570903D6" w14:textId="77777777" w:rsidR="007E041B" w:rsidRDefault="007E041B" w:rsidP="007E041B">
            <w:pPr>
              <w:spacing w:beforeLines="60" w:before="144" w:afterLines="60" w:after="144"/>
              <w:contextualSpacing/>
              <w:rPr>
                <w:color w:val="FF0000"/>
              </w:rPr>
            </w:pPr>
            <w:r w:rsidRPr="007E041B">
              <w:rPr>
                <w:color w:val="FF0000"/>
              </w:rPr>
              <w:t>• Serve lunches and breakfasts to all enrolled students at no charge.</w:t>
            </w:r>
          </w:p>
          <w:p w14:paraId="30EC7284" w14:textId="47775BD4" w:rsidR="006E582A" w:rsidRDefault="006E582A" w:rsidP="007E041B">
            <w:pPr>
              <w:spacing w:beforeLines="60" w:before="144" w:afterLines="60" w:after="144"/>
              <w:contextualSpacing/>
            </w:pPr>
          </w:p>
        </w:tc>
      </w:tr>
      <w:tr w:rsidR="00A82E75" w:rsidRPr="00D7278D" w14:paraId="6268FDA2" w14:textId="77777777" w:rsidTr="00E64DA9">
        <w:trPr>
          <w:trHeight w:val="728"/>
        </w:trPr>
        <w:tc>
          <w:tcPr>
            <w:tcW w:w="805" w:type="dxa"/>
            <w:tcBorders>
              <w:bottom w:val="single" w:sz="4" w:space="0" w:color="auto"/>
            </w:tcBorders>
            <w:shd w:val="clear" w:color="auto" w:fill="auto"/>
          </w:tcPr>
          <w:p w14:paraId="50D88F85" w14:textId="73EDEF7E" w:rsidR="00A82E75" w:rsidRPr="00D7278D" w:rsidRDefault="00E14A0F" w:rsidP="00BB4441">
            <w:pPr>
              <w:spacing w:beforeLines="60" w:before="144" w:afterLines="60" w:after="144"/>
            </w:pPr>
            <w:r>
              <w:lastRenderedPageBreak/>
              <w:t>2109</w:t>
            </w:r>
            <w:r w:rsidR="00A82E75" w:rsidRPr="00D7278D">
              <w:t>.</w:t>
            </w:r>
          </w:p>
        </w:tc>
        <w:tc>
          <w:tcPr>
            <w:tcW w:w="8777" w:type="dxa"/>
            <w:tcBorders>
              <w:bottom w:val="single" w:sz="4" w:space="0" w:color="auto"/>
            </w:tcBorders>
            <w:vAlign w:val="center"/>
          </w:tcPr>
          <w:p w14:paraId="6AF52A52" w14:textId="03345269" w:rsidR="00E14A0F" w:rsidRPr="00E14A0F" w:rsidRDefault="00E14A0F" w:rsidP="00E14A0F">
            <w:pPr>
              <w:rPr>
                <w:rFonts w:cstheme="minorHAnsi"/>
                <w:color w:val="000000" w:themeColor="text1"/>
              </w:rPr>
            </w:pPr>
            <w:r w:rsidRPr="00E14A0F">
              <w:rPr>
                <w:rFonts w:cstheme="minorHAnsi"/>
                <w:color w:val="000000" w:themeColor="text1"/>
              </w:rPr>
              <w:t xml:space="preserve">Are non-federal funds being properly allocated to account for the difference </w:t>
            </w:r>
            <w:proofErr w:type="gramStart"/>
            <w:r w:rsidRPr="00E14A0F">
              <w:rPr>
                <w:rFonts w:cstheme="minorHAnsi"/>
                <w:color w:val="000000" w:themeColor="text1"/>
              </w:rPr>
              <w:t>of</w:t>
            </w:r>
            <w:proofErr w:type="gramEnd"/>
            <w:r w:rsidRPr="00E14A0F">
              <w:rPr>
                <w:rFonts w:cstheme="minorHAnsi"/>
                <w:color w:val="000000" w:themeColor="text1"/>
              </w:rPr>
              <w:t xml:space="preserve"> offering all meals to students at no charge and the Federal reimbursement?</w:t>
            </w:r>
          </w:p>
          <w:p w14:paraId="0670524E" w14:textId="77777777" w:rsidR="00DB3BCB" w:rsidRDefault="00E14A0F" w:rsidP="00E14A0F">
            <w:pPr>
              <w:rPr>
                <w:rFonts w:cstheme="minorHAnsi"/>
                <w:color w:val="000000" w:themeColor="text1"/>
              </w:rPr>
            </w:pPr>
            <w:r w:rsidRPr="00E14A0F">
              <w:rPr>
                <w:rFonts w:cstheme="minorHAnsi"/>
                <w:color w:val="000000" w:themeColor="text1"/>
              </w:rPr>
              <w:t>Yes</w:t>
            </w:r>
            <w:r w:rsidRPr="00E14A0F">
              <w:rPr>
                <w:rFonts w:cstheme="minorHAnsi"/>
                <w:color w:val="000000" w:themeColor="text1"/>
              </w:rPr>
              <w:tab/>
              <w:t>No</w:t>
            </w:r>
            <w:r w:rsidRPr="00E14A0F">
              <w:rPr>
                <w:rFonts w:cstheme="minorHAnsi"/>
                <w:color w:val="000000" w:themeColor="text1"/>
              </w:rPr>
              <w:tab/>
            </w:r>
          </w:p>
          <w:p w14:paraId="3BC1C73C" w14:textId="77777777" w:rsidR="00531066" w:rsidRDefault="00531066" w:rsidP="00E14A0F">
            <w:pPr>
              <w:rPr>
                <w:rFonts w:cstheme="minorHAnsi"/>
                <w:color w:val="000000" w:themeColor="text1"/>
              </w:rPr>
            </w:pPr>
          </w:p>
          <w:p w14:paraId="2C9CD11E" w14:textId="77777777" w:rsidR="00531066" w:rsidRDefault="00531066" w:rsidP="006E582A">
            <w:pPr>
              <w:rPr>
                <w:color w:val="FF0000"/>
              </w:rPr>
            </w:pPr>
            <w:r w:rsidRPr="00E64DA9">
              <w:rPr>
                <w:color w:val="FF0000"/>
              </w:rPr>
              <w:t>Tips:</w:t>
            </w:r>
            <w:r w:rsidR="006E582A">
              <w:rPr>
                <w:color w:val="FF0000"/>
              </w:rPr>
              <w:t xml:space="preserve"> </w:t>
            </w:r>
            <w:r w:rsidR="006E582A" w:rsidRPr="006E582A">
              <w:rPr>
                <w:color w:val="FF0000"/>
              </w:rPr>
              <w:t>Although a significant number of meals served</w:t>
            </w:r>
            <w:r w:rsidR="006E582A">
              <w:rPr>
                <w:color w:val="FF0000"/>
              </w:rPr>
              <w:t xml:space="preserve"> </w:t>
            </w:r>
            <w:r w:rsidR="006E582A" w:rsidRPr="006E582A">
              <w:rPr>
                <w:color w:val="FF0000"/>
              </w:rPr>
              <w:t>at CEP schools are reimbursed at the Federal “free” rate, schools are responsible for covering</w:t>
            </w:r>
            <w:r w:rsidR="006E582A">
              <w:rPr>
                <w:color w:val="FF0000"/>
              </w:rPr>
              <w:t xml:space="preserve"> </w:t>
            </w:r>
            <w:r w:rsidR="006E582A" w:rsidRPr="006E582A">
              <w:rPr>
                <w:color w:val="FF0000"/>
              </w:rPr>
              <w:t>any potential funding shortage (i.e., any difference between the Federal reimbursement and</w:t>
            </w:r>
            <w:r w:rsidR="006E582A">
              <w:rPr>
                <w:color w:val="FF0000"/>
              </w:rPr>
              <w:t xml:space="preserve"> </w:t>
            </w:r>
            <w:r w:rsidR="006E582A" w:rsidRPr="006E582A">
              <w:rPr>
                <w:color w:val="FF0000"/>
              </w:rPr>
              <w:t>the</w:t>
            </w:r>
            <w:r w:rsidR="006E582A">
              <w:rPr>
                <w:color w:val="FF0000"/>
              </w:rPr>
              <w:t xml:space="preserve"> </w:t>
            </w:r>
            <w:r w:rsidR="006E582A" w:rsidRPr="006E582A">
              <w:rPr>
                <w:color w:val="FF0000"/>
              </w:rPr>
              <w:t>cost of operating CEP) with non-Federal funds.</w:t>
            </w:r>
            <w:r w:rsidR="00393822">
              <w:rPr>
                <w:color w:val="FF0000"/>
              </w:rPr>
              <w:t xml:space="preserve"> </w:t>
            </w:r>
          </w:p>
          <w:p w14:paraId="3CE83861" w14:textId="77777777" w:rsidR="00393822" w:rsidRDefault="00393822" w:rsidP="006E582A">
            <w:pPr>
              <w:rPr>
                <w:color w:val="FF0000"/>
              </w:rPr>
            </w:pPr>
          </w:p>
          <w:p w14:paraId="07FF84E3" w14:textId="2B9BC8FF" w:rsidR="00393822" w:rsidRDefault="00393822" w:rsidP="00393822">
            <w:pPr>
              <w:rPr>
                <w:color w:val="FF0000"/>
              </w:rPr>
            </w:pPr>
            <w:r w:rsidRPr="00393822">
              <w:rPr>
                <w:color w:val="FF0000"/>
              </w:rPr>
              <w:t>SFAs participating in Healthy School Meals for All will receive state reimbursement that is equal to</w:t>
            </w:r>
            <w:r>
              <w:rPr>
                <w:color w:val="FF0000"/>
              </w:rPr>
              <w:t xml:space="preserve"> </w:t>
            </w:r>
            <w:r w:rsidRPr="00393822">
              <w:rPr>
                <w:color w:val="FF0000"/>
              </w:rPr>
              <w:t>the federal free reimbursement rate multiplied by the total number of meals served, minus any</w:t>
            </w:r>
            <w:r>
              <w:rPr>
                <w:color w:val="FF0000"/>
              </w:rPr>
              <w:t xml:space="preserve"> </w:t>
            </w:r>
            <w:r w:rsidRPr="00393822">
              <w:rPr>
                <w:color w:val="FF0000"/>
              </w:rPr>
              <w:t>other federal or state reimbursement that the SFA receives for providing meals.</w:t>
            </w:r>
          </w:p>
          <w:p w14:paraId="227B22BE" w14:textId="77777777" w:rsidR="00393822" w:rsidRPr="00393822" w:rsidRDefault="00393822" w:rsidP="00393822">
            <w:pPr>
              <w:spacing w:after="0" w:line="240" w:lineRule="auto"/>
              <w:rPr>
                <w:color w:val="FF0000"/>
              </w:rPr>
            </w:pPr>
          </w:p>
          <w:p w14:paraId="7099B0E2" w14:textId="77777777" w:rsidR="00393822" w:rsidRPr="00393822" w:rsidRDefault="00393822" w:rsidP="00393822">
            <w:pPr>
              <w:spacing w:after="0" w:line="240" w:lineRule="auto"/>
              <w:rPr>
                <w:color w:val="FF0000"/>
              </w:rPr>
            </w:pPr>
            <w:r w:rsidRPr="00393822">
              <w:rPr>
                <w:color w:val="FF0000"/>
              </w:rPr>
              <w:t>This state reimbursement is the difference between the Federal Free and Federal Paid</w:t>
            </w:r>
          </w:p>
          <w:p w14:paraId="1E63C6E2" w14:textId="08D5F411" w:rsidR="00393822" w:rsidRPr="006E582A" w:rsidRDefault="00393822" w:rsidP="00393822">
            <w:pPr>
              <w:rPr>
                <w:color w:val="FF0000"/>
              </w:rPr>
            </w:pPr>
            <w:r w:rsidRPr="00393822">
              <w:rPr>
                <w:color w:val="FF0000"/>
              </w:rPr>
              <w:t>reimbursement rate. Note that the additional state reimbursement for paid students will be the base</w:t>
            </w:r>
            <w:r>
              <w:rPr>
                <w:color w:val="FF0000"/>
              </w:rPr>
              <w:t xml:space="preserve"> </w:t>
            </w:r>
            <w:r w:rsidRPr="00393822">
              <w:rPr>
                <w:color w:val="FF0000"/>
              </w:rPr>
              <w:t xml:space="preserve">federal rate for all sponsors, even if the sponsor has a severe need qualification. </w:t>
            </w:r>
          </w:p>
          <w:p w14:paraId="1F06C965" w14:textId="260F2BCF" w:rsidR="00393822" w:rsidRPr="006E582A" w:rsidRDefault="00393822" w:rsidP="00393822">
            <w:pPr>
              <w:rPr>
                <w:color w:val="FF0000"/>
              </w:rPr>
            </w:pPr>
          </w:p>
        </w:tc>
      </w:tr>
      <w:tr w:rsidR="004C63D3" w:rsidRPr="00D7278D" w14:paraId="58E0A6CC" w14:textId="77777777" w:rsidTr="00E64DA9">
        <w:trPr>
          <w:trHeight w:val="728"/>
        </w:trPr>
        <w:tc>
          <w:tcPr>
            <w:tcW w:w="805" w:type="dxa"/>
            <w:shd w:val="clear" w:color="auto" w:fill="auto"/>
          </w:tcPr>
          <w:p w14:paraId="36106FEE" w14:textId="229A8855" w:rsidR="004C63D3" w:rsidRPr="00D7278D" w:rsidRDefault="00C145CE" w:rsidP="00BB4441">
            <w:pPr>
              <w:spacing w:beforeLines="60" w:before="144" w:afterLines="60" w:after="144"/>
            </w:pPr>
            <w:r>
              <w:t>2110</w:t>
            </w:r>
            <w:r w:rsidR="004C63D3" w:rsidRPr="00D7278D">
              <w:t>.</w:t>
            </w:r>
          </w:p>
        </w:tc>
        <w:tc>
          <w:tcPr>
            <w:tcW w:w="8777" w:type="dxa"/>
            <w:vAlign w:val="center"/>
          </w:tcPr>
          <w:p w14:paraId="529EFABB" w14:textId="77777777" w:rsidR="00C145CE" w:rsidRPr="00C145CE" w:rsidRDefault="00C145CE" w:rsidP="00C145CE">
            <w:pPr>
              <w:pStyle w:val="Default"/>
              <w:rPr>
                <w:rFonts w:asciiTheme="minorHAnsi" w:eastAsia="Times New Roman" w:hAnsiTheme="minorHAnsi" w:cstheme="minorHAnsi"/>
                <w:bCs/>
                <w:color w:val="000000" w:themeColor="text1"/>
                <w:sz w:val="22"/>
                <w:szCs w:val="22"/>
              </w:rPr>
            </w:pPr>
            <w:r w:rsidRPr="00C145CE">
              <w:rPr>
                <w:rFonts w:asciiTheme="minorHAnsi" w:eastAsia="Times New Roman" w:hAnsiTheme="minorHAnsi" w:cstheme="minorHAnsi"/>
                <w:bCs/>
                <w:color w:val="000000" w:themeColor="text1"/>
                <w:sz w:val="22"/>
                <w:szCs w:val="22"/>
              </w:rPr>
              <w:t>a. What procedures are used to apply the established ISPs to the current School Year’s claims for reimbursement?</w:t>
            </w:r>
          </w:p>
          <w:p w14:paraId="3805BB5D" w14:textId="77777777" w:rsidR="00C145CE" w:rsidRPr="00C145CE" w:rsidRDefault="00C145CE" w:rsidP="00C145CE">
            <w:pPr>
              <w:pStyle w:val="Default"/>
              <w:rPr>
                <w:rFonts w:asciiTheme="minorHAnsi" w:eastAsia="Times New Roman" w:hAnsiTheme="minorHAnsi" w:cstheme="minorHAnsi"/>
                <w:bCs/>
                <w:color w:val="000000" w:themeColor="text1"/>
                <w:sz w:val="22"/>
                <w:szCs w:val="22"/>
              </w:rPr>
            </w:pPr>
            <w:r w:rsidRPr="00C145CE">
              <w:rPr>
                <w:rFonts w:asciiTheme="minorHAnsi" w:eastAsia="Times New Roman" w:hAnsiTheme="minorHAnsi" w:cstheme="minorHAnsi"/>
                <w:bCs/>
                <w:color w:val="000000" w:themeColor="text1"/>
                <w:sz w:val="22"/>
                <w:szCs w:val="22"/>
              </w:rPr>
              <w:t xml:space="preserve"> </w:t>
            </w:r>
          </w:p>
          <w:p w14:paraId="4EF1BA0C" w14:textId="77777777" w:rsidR="00C145CE" w:rsidRDefault="00C145CE" w:rsidP="00C145CE">
            <w:pPr>
              <w:pStyle w:val="Default"/>
              <w:rPr>
                <w:rFonts w:asciiTheme="minorHAnsi" w:eastAsia="Times New Roman" w:hAnsiTheme="minorHAnsi" w:cstheme="minorHAnsi"/>
                <w:bCs/>
                <w:color w:val="000000" w:themeColor="text1"/>
                <w:sz w:val="22"/>
                <w:szCs w:val="22"/>
              </w:rPr>
            </w:pPr>
            <w:r w:rsidRPr="00C145CE">
              <w:rPr>
                <w:rFonts w:asciiTheme="minorHAnsi" w:eastAsia="Times New Roman" w:hAnsiTheme="minorHAnsi" w:cstheme="minorHAnsi"/>
                <w:bCs/>
                <w:color w:val="000000" w:themeColor="text1"/>
                <w:sz w:val="22"/>
                <w:szCs w:val="22"/>
              </w:rPr>
              <w:t>(Documentation supporting establishment of ISP and corresponding claiming percentages will be verified during completion of the On-site Review Assessment Tool)</w:t>
            </w:r>
          </w:p>
          <w:p w14:paraId="601AC5C0" w14:textId="77777777" w:rsidR="007E041B" w:rsidRDefault="007E041B" w:rsidP="00C145CE">
            <w:pPr>
              <w:pStyle w:val="Default"/>
              <w:rPr>
                <w:rFonts w:asciiTheme="minorHAnsi" w:eastAsia="Times New Roman" w:hAnsiTheme="minorHAnsi" w:cstheme="minorHAnsi"/>
                <w:bCs/>
                <w:color w:val="000000" w:themeColor="text1"/>
                <w:sz w:val="22"/>
                <w:szCs w:val="22"/>
              </w:rPr>
            </w:pPr>
          </w:p>
          <w:p w14:paraId="5AFB7AE5" w14:textId="2F2CB742" w:rsidR="007E041B" w:rsidRDefault="007E041B" w:rsidP="00C145CE">
            <w:pPr>
              <w:pStyle w:val="Default"/>
              <w:rPr>
                <w:color w:val="FF0000"/>
              </w:rPr>
            </w:pPr>
            <w:r w:rsidRPr="00E64DA9">
              <w:rPr>
                <w:color w:val="FF0000"/>
              </w:rPr>
              <w:t>Tips:</w:t>
            </w:r>
            <w:r w:rsidR="00FF7734">
              <w:rPr>
                <w:color w:val="FF0000"/>
              </w:rPr>
              <w:t xml:space="preserve"> </w:t>
            </w:r>
            <w:r w:rsidR="00FF7734" w:rsidRPr="00FF7734">
              <w:rPr>
                <w:color w:val="FF0000"/>
              </w:rPr>
              <w:t>School food authorities receive reimbursement by counting and claiming the total number of meals served each day. The identified student percentage (ISP) that establishes eligibility for CEP is also used to determine a free claiming percentage (FCP). The FCP is the percentage of total meals served that can be claimed at the free reimbursement rate and paid with federal funds. The FCP is calculated by multiplying the ISP by 1.6.</w:t>
            </w:r>
            <w:r w:rsidR="00FF7734">
              <w:rPr>
                <w:color w:val="FF0000"/>
              </w:rPr>
              <w:t xml:space="preserve"> </w:t>
            </w:r>
          </w:p>
          <w:p w14:paraId="14F1B330" w14:textId="77777777" w:rsidR="00FF7734" w:rsidRDefault="00FF7734" w:rsidP="00C145CE">
            <w:pPr>
              <w:pStyle w:val="Default"/>
              <w:rPr>
                <w:color w:val="FF0000"/>
              </w:rPr>
            </w:pPr>
          </w:p>
          <w:p w14:paraId="55E63967" w14:textId="4B1FD995" w:rsidR="00FF7734" w:rsidRPr="00C145CE" w:rsidRDefault="00FF7734" w:rsidP="00C145CE">
            <w:pPr>
              <w:pStyle w:val="Default"/>
              <w:rPr>
                <w:rFonts w:asciiTheme="minorHAnsi" w:eastAsia="Times New Roman" w:hAnsiTheme="minorHAnsi" w:cstheme="minorHAnsi"/>
                <w:bCs/>
                <w:color w:val="000000" w:themeColor="text1"/>
                <w:sz w:val="22"/>
                <w:szCs w:val="22"/>
              </w:rPr>
            </w:pPr>
            <w:r w:rsidRPr="00FF7734">
              <w:rPr>
                <w:color w:val="FF0000"/>
              </w:rPr>
              <w:t>Under Healthy School Meals for All program, any meals reimbursed using federal funds at the paid rate will receive additional reimbursement from state funds to bring the total schools receive for each meal up to the free reimbursement rate for all meals served</w:t>
            </w:r>
            <w:r>
              <w:t>.</w:t>
            </w:r>
          </w:p>
          <w:p w14:paraId="2A7B4157" w14:textId="77777777" w:rsidR="00C145CE" w:rsidRPr="00C145CE" w:rsidRDefault="00C145CE" w:rsidP="00C145CE">
            <w:pPr>
              <w:pStyle w:val="Default"/>
              <w:rPr>
                <w:rFonts w:asciiTheme="minorHAnsi" w:eastAsia="Times New Roman" w:hAnsiTheme="minorHAnsi" w:cstheme="minorHAnsi"/>
                <w:bCs/>
                <w:color w:val="000000" w:themeColor="text1"/>
                <w:sz w:val="22"/>
                <w:szCs w:val="22"/>
              </w:rPr>
            </w:pPr>
            <w:r w:rsidRPr="00C145CE">
              <w:rPr>
                <w:rFonts w:asciiTheme="minorHAnsi" w:eastAsia="Times New Roman" w:hAnsiTheme="minorHAnsi" w:cstheme="minorHAnsi"/>
                <w:bCs/>
                <w:color w:val="000000" w:themeColor="text1"/>
                <w:sz w:val="22"/>
                <w:szCs w:val="22"/>
              </w:rPr>
              <w:t xml:space="preserve"> </w:t>
            </w:r>
          </w:p>
          <w:p w14:paraId="55867E6C" w14:textId="77777777" w:rsidR="00C145CE" w:rsidRPr="00C145CE" w:rsidRDefault="00C145CE" w:rsidP="00C145CE">
            <w:pPr>
              <w:pStyle w:val="Default"/>
              <w:rPr>
                <w:rFonts w:asciiTheme="minorHAnsi" w:eastAsia="Times New Roman" w:hAnsiTheme="minorHAnsi" w:cstheme="minorHAnsi"/>
                <w:bCs/>
                <w:color w:val="000000" w:themeColor="text1"/>
                <w:sz w:val="22"/>
                <w:szCs w:val="22"/>
              </w:rPr>
            </w:pPr>
            <w:r w:rsidRPr="00C145CE">
              <w:rPr>
                <w:rFonts w:asciiTheme="minorHAnsi" w:eastAsia="Times New Roman" w:hAnsiTheme="minorHAnsi" w:cstheme="minorHAnsi"/>
                <w:bCs/>
                <w:color w:val="000000" w:themeColor="text1"/>
                <w:sz w:val="22"/>
                <w:szCs w:val="22"/>
              </w:rPr>
              <w:t>b. Were adjustments made to the claiming percentages established during the Base Year?</w:t>
            </w:r>
          </w:p>
          <w:p w14:paraId="23ACCA94" w14:textId="77777777" w:rsidR="00C145CE" w:rsidRPr="00C145CE" w:rsidRDefault="00C145CE" w:rsidP="00C145CE">
            <w:pPr>
              <w:pStyle w:val="Default"/>
              <w:rPr>
                <w:rFonts w:asciiTheme="minorHAnsi" w:eastAsia="Times New Roman" w:hAnsiTheme="minorHAnsi" w:cstheme="minorHAnsi"/>
                <w:bCs/>
                <w:color w:val="000000" w:themeColor="text1"/>
                <w:sz w:val="22"/>
                <w:szCs w:val="22"/>
              </w:rPr>
            </w:pPr>
            <w:proofErr w:type="gramStart"/>
            <w:r w:rsidRPr="00C145CE">
              <w:rPr>
                <w:rFonts w:asciiTheme="minorHAnsi" w:eastAsia="Times New Roman" w:hAnsiTheme="minorHAnsi" w:cstheme="minorHAnsi"/>
                <w:bCs/>
                <w:color w:val="000000" w:themeColor="text1"/>
                <w:sz w:val="22"/>
                <w:szCs w:val="22"/>
              </w:rPr>
              <w:t>Yes</w:t>
            </w:r>
            <w:proofErr w:type="gramEnd"/>
            <w:r w:rsidRPr="00C145CE">
              <w:rPr>
                <w:rFonts w:asciiTheme="minorHAnsi" w:eastAsia="Times New Roman" w:hAnsiTheme="minorHAnsi" w:cstheme="minorHAnsi"/>
                <w:bCs/>
                <w:color w:val="000000" w:themeColor="text1"/>
                <w:sz w:val="22"/>
                <w:szCs w:val="22"/>
              </w:rPr>
              <w:tab/>
              <w:t>No</w:t>
            </w:r>
            <w:r w:rsidRPr="00C145CE">
              <w:rPr>
                <w:rFonts w:asciiTheme="minorHAnsi" w:eastAsia="Times New Roman" w:hAnsiTheme="minorHAnsi" w:cstheme="minorHAnsi"/>
                <w:bCs/>
                <w:color w:val="000000" w:themeColor="text1"/>
                <w:sz w:val="22"/>
                <w:szCs w:val="22"/>
              </w:rPr>
              <w:tab/>
              <w:t>N/A</w:t>
            </w:r>
          </w:p>
          <w:p w14:paraId="36E46556" w14:textId="77777777" w:rsidR="00C145CE" w:rsidRPr="00C145CE" w:rsidRDefault="00C145CE" w:rsidP="00C145CE">
            <w:pPr>
              <w:pStyle w:val="Default"/>
              <w:rPr>
                <w:rFonts w:asciiTheme="minorHAnsi" w:eastAsia="Times New Roman" w:hAnsiTheme="minorHAnsi" w:cstheme="minorHAnsi"/>
                <w:bCs/>
                <w:color w:val="000000" w:themeColor="text1"/>
                <w:sz w:val="22"/>
                <w:szCs w:val="22"/>
              </w:rPr>
            </w:pPr>
            <w:r w:rsidRPr="00C145CE">
              <w:rPr>
                <w:rFonts w:asciiTheme="minorHAnsi" w:eastAsia="Times New Roman" w:hAnsiTheme="minorHAnsi" w:cstheme="minorHAnsi"/>
                <w:bCs/>
                <w:color w:val="000000" w:themeColor="text1"/>
                <w:sz w:val="22"/>
                <w:szCs w:val="22"/>
              </w:rPr>
              <w:t xml:space="preserve"> </w:t>
            </w:r>
          </w:p>
          <w:p w14:paraId="558934C9" w14:textId="77777777" w:rsidR="000D2CEC" w:rsidRDefault="00C145CE" w:rsidP="00C145CE">
            <w:pPr>
              <w:pStyle w:val="Default"/>
              <w:rPr>
                <w:rFonts w:asciiTheme="minorHAnsi" w:eastAsia="Times New Roman" w:hAnsiTheme="minorHAnsi" w:cstheme="minorHAnsi"/>
                <w:bCs/>
                <w:color w:val="000000" w:themeColor="text1"/>
                <w:sz w:val="22"/>
                <w:szCs w:val="22"/>
              </w:rPr>
            </w:pPr>
            <w:r w:rsidRPr="00C145CE">
              <w:rPr>
                <w:rFonts w:asciiTheme="minorHAnsi" w:eastAsia="Times New Roman" w:hAnsiTheme="minorHAnsi" w:cstheme="minorHAnsi"/>
                <w:bCs/>
                <w:color w:val="000000" w:themeColor="text1"/>
                <w:sz w:val="22"/>
                <w:szCs w:val="22"/>
              </w:rPr>
              <w:t xml:space="preserve">If </w:t>
            </w:r>
            <w:proofErr w:type="gramStart"/>
            <w:r w:rsidRPr="00C145CE">
              <w:rPr>
                <w:rFonts w:asciiTheme="minorHAnsi" w:eastAsia="Times New Roman" w:hAnsiTheme="minorHAnsi" w:cstheme="minorHAnsi"/>
                <w:bCs/>
                <w:color w:val="000000" w:themeColor="text1"/>
                <w:sz w:val="22"/>
                <w:szCs w:val="22"/>
              </w:rPr>
              <w:t>Yes</w:t>
            </w:r>
            <w:proofErr w:type="gramEnd"/>
            <w:r w:rsidRPr="00C145CE">
              <w:rPr>
                <w:rFonts w:asciiTheme="minorHAnsi" w:eastAsia="Times New Roman" w:hAnsiTheme="minorHAnsi" w:cstheme="minorHAnsi"/>
                <w:bCs/>
                <w:color w:val="000000" w:themeColor="text1"/>
                <w:sz w:val="22"/>
                <w:szCs w:val="22"/>
              </w:rPr>
              <w:t>, describe the procedure used for the adjustment.</w:t>
            </w:r>
          </w:p>
          <w:p w14:paraId="1A58D9DD" w14:textId="77777777" w:rsidR="00531066" w:rsidRDefault="00531066" w:rsidP="00C145CE">
            <w:pPr>
              <w:pStyle w:val="Default"/>
              <w:rPr>
                <w:rFonts w:asciiTheme="minorHAnsi" w:eastAsia="Times New Roman" w:hAnsiTheme="minorHAnsi" w:cstheme="minorHAnsi"/>
                <w:bCs/>
                <w:color w:val="000000" w:themeColor="text1"/>
                <w:sz w:val="22"/>
                <w:szCs w:val="22"/>
              </w:rPr>
            </w:pPr>
          </w:p>
          <w:p w14:paraId="25556A6D" w14:textId="14CF70AC" w:rsidR="00531066" w:rsidRPr="00740CA3" w:rsidRDefault="00531066" w:rsidP="00C145CE">
            <w:pPr>
              <w:pStyle w:val="Default"/>
              <w:rPr>
                <w:rFonts w:asciiTheme="minorHAnsi" w:eastAsia="Times New Roman" w:hAnsiTheme="minorHAnsi" w:cstheme="minorHAnsi"/>
                <w:b/>
                <w:color w:val="FF0000"/>
                <w:sz w:val="22"/>
                <w:szCs w:val="22"/>
              </w:rPr>
            </w:pPr>
            <w:r w:rsidRPr="00E64DA9">
              <w:rPr>
                <w:color w:val="FF0000"/>
              </w:rPr>
              <w:lastRenderedPageBreak/>
              <w:t xml:space="preserve">Tips: </w:t>
            </w:r>
            <w:r w:rsidR="00457286">
              <w:rPr>
                <w:color w:val="FF0000"/>
              </w:rPr>
              <w:t xml:space="preserve">There are situations where the claiming percentages may need to be adjusted: change in number of facilities or change in student population. Select Yes </w:t>
            </w:r>
            <w:proofErr w:type="gramStart"/>
            <w:r w:rsidR="00457286">
              <w:rPr>
                <w:color w:val="FF0000"/>
              </w:rPr>
              <w:t>is</w:t>
            </w:r>
            <w:proofErr w:type="gramEnd"/>
            <w:r w:rsidR="00457286">
              <w:rPr>
                <w:color w:val="FF0000"/>
              </w:rPr>
              <w:t xml:space="preserve"> any adjustments had to be made during the </w:t>
            </w:r>
            <w:r w:rsidR="00457286">
              <w:rPr>
                <w:color w:val="FF0000"/>
              </w:rPr>
              <w:t>CEP</w:t>
            </w:r>
            <w:r w:rsidR="00457286">
              <w:rPr>
                <w:color w:val="FF0000"/>
              </w:rPr>
              <w:t xml:space="preserve"> cycle.</w:t>
            </w:r>
          </w:p>
        </w:tc>
      </w:tr>
      <w:tr w:rsidR="00C145CE" w:rsidRPr="00D7278D" w14:paraId="25796492" w14:textId="77777777" w:rsidTr="00F317DD">
        <w:trPr>
          <w:trHeight w:val="845"/>
        </w:trPr>
        <w:tc>
          <w:tcPr>
            <w:tcW w:w="9582" w:type="dxa"/>
            <w:gridSpan w:val="2"/>
            <w:shd w:val="clear" w:color="auto" w:fill="auto"/>
          </w:tcPr>
          <w:p w14:paraId="006E6084" w14:textId="06C746F4" w:rsidR="00C145CE" w:rsidRPr="00740CA3" w:rsidRDefault="00C145CE" w:rsidP="00C145CE">
            <w:pPr>
              <w:spacing w:beforeLines="60" w:before="144" w:afterLines="60" w:after="144"/>
              <w:rPr>
                <w:rFonts w:eastAsia="Times New Roman" w:cstheme="minorHAnsi"/>
                <w:color w:val="FF0000"/>
              </w:rPr>
            </w:pPr>
            <w:r w:rsidRPr="00C145CE">
              <w:rPr>
                <w:b/>
                <w:bCs/>
                <w:color w:val="FF0000"/>
              </w:rPr>
              <w:lastRenderedPageBreak/>
              <w:t>*For Provision 1 Only*</w:t>
            </w:r>
            <w:r w:rsidRPr="00F81E6E">
              <w:rPr>
                <w:rFonts w:eastAsia="Times New Roman" w:cstheme="minorHAnsi"/>
                <w:color w:val="FF0000"/>
              </w:rPr>
              <w:t xml:space="preserve"> </w:t>
            </w:r>
          </w:p>
        </w:tc>
      </w:tr>
      <w:tr w:rsidR="00C145CE" w:rsidRPr="00D7278D" w14:paraId="49053330" w14:textId="77777777" w:rsidTr="007B6F4C">
        <w:trPr>
          <w:trHeight w:val="350"/>
        </w:trPr>
        <w:tc>
          <w:tcPr>
            <w:tcW w:w="9582" w:type="dxa"/>
            <w:gridSpan w:val="2"/>
            <w:shd w:val="clear" w:color="auto" w:fill="auto"/>
          </w:tcPr>
          <w:p w14:paraId="103E62FE" w14:textId="085B1190" w:rsidR="00C145CE" w:rsidRPr="00E64DA9" w:rsidRDefault="00C145CE" w:rsidP="00C145CE">
            <w:pPr>
              <w:spacing w:beforeLines="60" w:before="144" w:afterLines="60" w:after="144"/>
              <w:rPr>
                <w:rFonts w:eastAsia="Times New Roman" w:cstheme="minorHAnsi"/>
                <w:color w:val="000000"/>
              </w:rPr>
            </w:pPr>
            <w:r w:rsidRPr="00E64DA9">
              <w:rPr>
                <w:rFonts w:eastAsia="Times New Roman" w:cstheme="minorHAnsi"/>
                <w:color w:val="000000"/>
              </w:rPr>
              <w:t xml:space="preserve">Does this SFA operate any </w:t>
            </w:r>
            <w:r>
              <w:rPr>
                <w:rFonts w:eastAsia="Times New Roman" w:cstheme="minorHAnsi"/>
                <w:color w:val="000000"/>
              </w:rPr>
              <w:t>Provision 1</w:t>
            </w:r>
            <w:r w:rsidRPr="00E64DA9">
              <w:rPr>
                <w:rFonts w:eastAsia="Times New Roman" w:cstheme="minorHAnsi"/>
                <w:color w:val="000000"/>
              </w:rPr>
              <w:t xml:space="preserve"> Schools?</w:t>
            </w:r>
          </w:p>
          <w:p w14:paraId="44685C67" w14:textId="77777777" w:rsidR="00C145CE" w:rsidRPr="00E64DA9" w:rsidRDefault="00C145CE" w:rsidP="00C145CE">
            <w:pPr>
              <w:pStyle w:val="ListParagraph"/>
              <w:numPr>
                <w:ilvl w:val="0"/>
                <w:numId w:val="15"/>
              </w:numPr>
              <w:spacing w:beforeLines="60" w:before="144" w:afterLines="60" w:after="144"/>
            </w:pPr>
            <w:r w:rsidRPr="00E64DA9">
              <w:t xml:space="preserve">Yes or </w:t>
            </w:r>
            <w:proofErr w:type="gramStart"/>
            <w:r w:rsidRPr="00E64DA9">
              <w:t>No</w:t>
            </w:r>
            <w:proofErr w:type="gramEnd"/>
          </w:p>
          <w:p w14:paraId="2FC4C6E9" w14:textId="29F00397" w:rsidR="00C145CE" w:rsidRPr="00D7278D" w:rsidRDefault="00C145CE" w:rsidP="00C145CE">
            <w:pPr>
              <w:spacing w:beforeLines="60" w:before="144" w:afterLines="60" w:after="144"/>
            </w:pPr>
            <w:r w:rsidRPr="00E64DA9">
              <w:rPr>
                <w:color w:val="FF0000"/>
              </w:rPr>
              <w:t>Tips: Answer yes if S</w:t>
            </w:r>
            <w:r>
              <w:rPr>
                <w:color w:val="FF0000"/>
              </w:rPr>
              <w:t xml:space="preserve">ponsor </w:t>
            </w:r>
            <w:r w:rsidRPr="00E64DA9">
              <w:rPr>
                <w:color w:val="FF0000"/>
              </w:rPr>
              <w:t xml:space="preserve">is operating Provision </w:t>
            </w:r>
            <w:r>
              <w:rPr>
                <w:color w:val="FF0000"/>
              </w:rPr>
              <w:t>1</w:t>
            </w:r>
            <w:r w:rsidRPr="00E64DA9">
              <w:rPr>
                <w:color w:val="FF0000"/>
              </w:rPr>
              <w:t xml:space="preserve"> at any schools.</w:t>
            </w:r>
          </w:p>
          <w:p w14:paraId="3EE3ECEE" w14:textId="7E98320B" w:rsidR="00C145CE" w:rsidRPr="00740CA3" w:rsidRDefault="00C145CE" w:rsidP="00740CA3">
            <w:pPr>
              <w:rPr>
                <w:rFonts w:cstheme="minorHAnsi"/>
                <w:color w:val="FF0000"/>
              </w:rPr>
            </w:pPr>
            <w:r>
              <w:rPr>
                <w:rFonts w:cstheme="minorHAnsi"/>
                <w:color w:val="FF0000"/>
              </w:rPr>
              <w:t xml:space="preserve"> </w:t>
            </w:r>
          </w:p>
        </w:tc>
      </w:tr>
      <w:tr w:rsidR="004C63D3" w:rsidRPr="00D7278D" w14:paraId="326684BC" w14:textId="77777777" w:rsidTr="00C145CE">
        <w:trPr>
          <w:trHeight w:val="1304"/>
        </w:trPr>
        <w:tc>
          <w:tcPr>
            <w:tcW w:w="805" w:type="dxa"/>
            <w:shd w:val="clear" w:color="auto" w:fill="auto"/>
          </w:tcPr>
          <w:p w14:paraId="67899246" w14:textId="2F1EE314" w:rsidR="004C63D3" w:rsidRPr="00D7278D" w:rsidRDefault="00C145CE" w:rsidP="00BB4441">
            <w:pPr>
              <w:spacing w:beforeLines="60" w:before="144" w:afterLines="60" w:after="144"/>
            </w:pPr>
            <w:r>
              <w:t>2111</w:t>
            </w:r>
            <w:r w:rsidR="004C63D3" w:rsidRPr="00D7278D">
              <w:t>.</w:t>
            </w:r>
          </w:p>
        </w:tc>
        <w:tc>
          <w:tcPr>
            <w:tcW w:w="8777" w:type="dxa"/>
            <w:vAlign w:val="center"/>
          </w:tcPr>
          <w:p w14:paraId="6390B807" w14:textId="149F8504" w:rsidR="00C145CE" w:rsidRPr="00C145CE" w:rsidRDefault="00C145CE" w:rsidP="00C145CE">
            <w:pPr>
              <w:rPr>
                <w:rFonts w:eastAsia="Times New Roman" w:cstheme="minorHAnsi"/>
              </w:rPr>
            </w:pPr>
            <w:r w:rsidRPr="00C145CE">
              <w:rPr>
                <w:rFonts w:eastAsia="Times New Roman" w:cstheme="minorHAnsi"/>
              </w:rPr>
              <w:t xml:space="preserve">Are all households </w:t>
            </w:r>
            <w:proofErr w:type="gramStart"/>
            <w:r w:rsidRPr="00C145CE">
              <w:rPr>
                <w:rFonts w:eastAsia="Times New Roman" w:cstheme="minorHAnsi"/>
              </w:rPr>
              <w:t>provided</w:t>
            </w:r>
            <w:proofErr w:type="gramEnd"/>
            <w:r w:rsidRPr="00C145CE">
              <w:rPr>
                <w:rFonts w:eastAsia="Times New Roman" w:cstheme="minorHAnsi"/>
              </w:rPr>
              <w:t xml:space="preserve"> meal applications and allowed to apply for meal benefits each school year?</w:t>
            </w:r>
          </w:p>
          <w:p w14:paraId="15DF4BAA" w14:textId="41F0BF35" w:rsidR="002F0377" w:rsidRPr="00740CA3" w:rsidRDefault="00C145CE" w:rsidP="00C145CE">
            <w:pPr>
              <w:rPr>
                <w:rFonts w:eastAsia="Times New Roman" w:cstheme="minorHAnsi"/>
                <w:b/>
                <w:color w:val="FF0000"/>
              </w:rPr>
            </w:pPr>
            <w:r w:rsidRPr="00C145CE">
              <w:rPr>
                <w:rFonts w:eastAsia="Times New Roman" w:cstheme="minorHAnsi"/>
              </w:rPr>
              <w:t>Yes</w:t>
            </w:r>
            <w:r w:rsidRPr="00C145CE">
              <w:rPr>
                <w:rFonts w:eastAsia="Times New Roman" w:cstheme="minorHAnsi"/>
              </w:rPr>
              <w:tab/>
              <w:t>No</w:t>
            </w:r>
            <w:r w:rsidRPr="00C145CE">
              <w:rPr>
                <w:rFonts w:eastAsia="Times New Roman" w:cstheme="minorHAnsi"/>
              </w:rPr>
              <w:tab/>
            </w:r>
          </w:p>
        </w:tc>
      </w:tr>
    </w:tbl>
    <w:tbl>
      <w:tblPr>
        <w:tblStyle w:val="TableGrid"/>
        <w:tblW w:w="9582" w:type="dxa"/>
        <w:tblLayout w:type="fixed"/>
        <w:tblLook w:val="04A0" w:firstRow="1" w:lastRow="0" w:firstColumn="1" w:lastColumn="0" w:noHBand="0" w:noVBand="1"/>
      </w:tblPr>
      <w:tblGrid>
        <w:gridCol w:w="805"/>
        <w:gridCol w:w="8777"/>
      </w:tblGrid>
      <w:tr w:rsidR="00B26E32" w:rsidRPr="00D7278D" w14:paraId="1666B568" w14:textId="77777777" w:rsidTr="00B26E32">
        <w:trPr>
          <w:trHeight w:val="710"/>
        </w:trPr>
        <w:tc>
          <w:tcPr>
            <w:tcW w:w="9582" w:type="dxa"/>
            <w:gridSpan w:val="2"/>
            <w:shd w:val="clear" w:color="auto" w:fill="00FFCC"/>
          </w:tcPr>
          <w:p w14:paraId="0C899D5D" w14:textId="52FDE12A" w:rsidR="00B26E32" w:rsidRPr="00C64F3A" w:rsidRDefault="00B26E32" w:rsidP="00BB506E">
            <w:pPr>
              <w:spacing w:beforeLines="60" w:before="144" w:afterLines="60" w:after="144"/>
              <w:jc w:val="center"/>
              <w:rPr>
                <w:rFonts w:eastAsia="Times New Roman" w:cs="Calibri"/>
                <w:color w:val="000000"/>
                <w:sz w:val="32"/>
                <w:szCs w:val="32"/>
              </w:rPr>
            </w:pPr>
            <w:r w:rsidRPr="00C64F3A">
              <w:rPr>
                <w:b/>
                <w:sz w:val="32"/>
                <w:szCs w:val="32"/>
              </w:rPr>
              <w:t>O</w:t>
            </w:r>
            <w:r>
              <w:rPr>
                <w:b/>
                <w:sz w:val="32"/>
                <w:szCs w:val="32"/>
              </w:rPr>
              <w:t>n</w:t>
            </w:r>
            <w:r w:rsidRPr="00C64F3A">
              <w:rPr>
                <w:b/>
                <w:sz w:val="32"/>
                <w:szCs w:val="32"/>
              </w:rPr>
              <w:t>-Site Questions</w:t>
            </w:r>
          </w:p>
        </w:tc>
      </w:tr>
      <w:tr w:rsidR="00B26E32" w:rsidRPr="00D7278D" w14:paraId="1F9CD777" w14:textId="77777777" w:rsidTr="00B26E32">
        <w:trPr>
          <w:trHeight w:val="440"/>
        </w:trPr>
        <w:tc>
          <w:tcPr>
            <w:tcW w:w="9582" w:type="dxa"/>
            <w:gridSpan w:val="2"/>
            <w:shd w:val="clear" w:color="auto" w:fill="auto"/>
          </w:tcPr>
          <w:p w14:paraId="7D4A1F39" w14:textId="3175F3E2" w:rsidR="00B26E32" w:rsidRPr="00C64F3A" w:rsidRDefault="00B26E32" w:rsidP="00BB506E">
            <w:pPr>
              <w:spacing w:beforeLines="60" w:before="144" w:afterLines="60" w:after="144"/>
              <w:rPr>
                <w:b/>
                <w:sz w:val="32"/>
                <w:szCs w:val="32"/>
              </w:rPr>
            </w:pPr>
            <w:r>
              <w:rPr>
                <w:rFonts w:ascii="Verdana" w:hAnsi="Verdana"/>
                <w:b/>
                <w:bCs/>
                <w:color w:val="000000"/>
                <w:sz w:val="17"/>
                <w:szCs w:val="17"/>
                <w:shd w:val="clear" w:color="auto" w:fill="FFFFFF"/>
              </w:rPr>
              <w:t>*Note: Some of these activities may be assessed at the site level. If some or any of these activities occur at the site level, record the activities here.</w:t>
            </w:r>
          </w:p>
        </w:tc>
      </w:tr>
      <w:tr w:rsidR="00B26E32" w:rsidRPr="00D7278D" w14:paraId="7EFB4755" w14:textId="77777777" w:rsidTr="00B26E32">
        <w:trPr>
          <w:trHeight w:val="1430"/>
        </w:trPr>
        <w:tc>
          <w:tcPr>
            <w:tcW w:w="805" w:type="dxa"/>
            <w:shd w:val="clear" w:color="auto" w:fill="auto"/>
            <w:vAlign w:val="center"/>
          </w:tcPr>
          <w:p w14:paraId="5F02B4F0" w14:textId="77A7325F" w:rsidR="00B26E32" w:rsidRPr="00D7278D" w:rsidRDefault="00B26E32" w:rsidP="00BB506E">
            <w:pPr>
              <w:spacing w:beforeLines="60" w:before="144" w:afterLines="60" w:after="144"/>
            </w:pPr>
            <w:r>
              <w:t>2113</w:t>
            </w:r>
          </w:p>
        </w:tc>
        <w:tc>
          <w:tcPr>
            <w:tcW w:w="8777" w:type="dxa"/>
            <w:vAlign w:val="center"/>
          </w:tcPr>
          <w:p w14:paraId="6944846B" w14:textId="77777777" w:rsidR="00B26E32" w:rsidRPr="00B26E32" w:rsidRDefault="00B26E32" w:rsidP="00B26E32">
            <w:pPr>
              <w:spacing w:beforeLines="60" w:before="144" w:afterLines="60" w:after="144" w:line="240" w:lineRule="auto"/>
              <w:rPr>
                <w:rFonts w:eastAsia="Times New Roman" w:cstheme="minorHAnsi"/>
                <w:color w:val="000000"/>
              </w:rPr>
            </w:pPr>
            <w:r w:rsidRPr="00B26E32">
              <w:rPr>
                <w:rFonts w:eastAsia="Times New Roman" w:cstheme="minorHAnsi"/>
                <w:color w:val="000000"/>
              </w:rPr>
              <w:t>Were the claiming percentages and/or funding levels established during the Base Year for Provision 2 and 3 SFAs/sites calculated correctly?</w:t>
            </w:r>
          </w:p>
          <w:p w14:paraId="0498E7F3" w14:textId="77777777" w:rsidR="00B26E32" w:rsidRPr="00B26E32" w:rsidRDefault="00B26E32" w:rsidP="00B26E32">
            <w:pPr>
              <w:spacing w:beforeLines="60" w:before="144" w:afterLines="60" w:after="144" w:line="240" w:lineRule="auto"/>
              <w:rPr>
                <w:rFonts w:eastAsia="Times New Roman" w:cstheme="minorHAnsi"/>
                <w:color w:val="000000"/>
              </w:rPr>
            </w:pPr>
            <w:proofErr w:type="gramStart"/>
            <w:r w:rsidRPr="00B26E32">
              <w:rPr>
                <w:rFonts w:eastAsia="Times New Roman" w:cstheme="minorHAnsi"/>
                <w:color w:val="000000"/>
              </w:rPr>
              <w:t>Yes</w:t>
            </w:r>
            <w:proofErr w:type="gramEnd"/>
            <w:r w:rsidRPr="00B26E32">
              <w:rPr>
                <w:rFonts w:eastAsia="Times New Roman" w:cstheme="minorHAnsi"/>
                <w:color w:val="000000"/>
              </w:rPr>
              <w:tab/>
              <w:t>No</w:t>
            </w:r>
            <w:r w:rsidRPr="00B26E32">
              <w:rPr>
                <w:rFonts w:eastAsia="Times New Roman" w:cstheme="minorHAnsi"/>
                <w:color w:val="000000"/>
              </w:rPr>
              <w:tab/>
              <w:t>N/A</w:t>
            </w:r>
          </w:p>
          <w:p w14:paraId="67DF1F25" w14:textId="77777777" w:rsidR="00B26E32" w:rsidRDefault="00B26E32" w:rsidP="00B26E32">
            <w:pPr>
              <w:spacing w:beforeLines="60" w:before="144" w:afterLines="60" w:after="144"/>
              <w:rPr>
                <w:rFonts w:eastAsia="Times New Roman" w:cstheme="minorHAnsi"/>
                <w:color w:val="000000"/>
              </w:rPr>
            </w:pPr>
            <w:r w:rsidRPr="00B26E32">
              <w:rPr>
                <w:rFonts w:eastAsia="Times New Roman" w:cstheme="minorHAnsi"/>
                <w:color w:val="000000"/>
              </w:rPr>
              <w:t xml:space="preserve">If </w:t>
            </w:r>
            <w:proofErr w:type="gramStart"/>
            <w:r w:rsidRPr="00B26E32">
              <w:rPr>
                <w:rFonts w:eastAsia="Times New Roman" w:cstheme="minorHAnsi"/>
                <w:color w:val="000000"/>
              </w:rPr>
              <w:t>No</w:t>
            </w:r>
            <w:proofErr w:type="gramEnd"/>
            <w:r w:rsidRPr="00B26E32">
              <w:rPr>
                <w:rFonts w:eastAsia="Times New Roman" w:cstheme="minorHAnsi"/>
                <w:color w:val="000000"/>
              </w:rPr>
              <w:t>, explain.</w:t>
            </w:r>
          </w:p>
          <w:p w14:paraId="61137069" w14:textId="77777777" w:rsidR="00531066" w:rsidRDefault="00531066" w:rsidP="00B26E32">
            <w:pPr>
              <w:spacing w:beforeLines="60" w:before="144" w:afterLines="60" w:after="144"/>
              <w:rPr>
                <w:color w:val="FF0000"/>
              </w:rPr>
            </w:pPr>
            <w:r w:rsidRPr="00E64DA9">
              <w:rPr>
                <w:color w:val="FF0000"/>
              </w:rPr>
              <w:t>Tips</w:t>
            </w:r>
            <w:r w:rsidRPr="00D6257C">
              <w:rPr>
                <w:color w:val="FF0000"/>
              </w:rPr>
              <w:t>:</w:t>
            </w:r>
            <w:r w:rsidR="00D6257C" w:rsidRPr="00D6257C">
              <w:rPr>
                <w:color w:val="FF0000"/>
              </w:rPr>
              <w:t xml:space="preserve"> </w:t>
            </w:r>
            <w:r w:rsidR="00D6257C" w:rsidRPr="00D6257C">
              <w:rPr>
                <w:color w:val="FF0000"/>
              </w:rPr>
              <w:t xml:space="preserve">At the end of the base year after the final Claim for Reimbursement has been filed, </w:t>
            </w:r>
            <w:proofErr w:type="gramStart"/>
            <w:r w:rsidR="00D6257C" w:rsidRPr="00D6257C">
              <w:rPr>
                <w:color w:val="FF0000"/>
              </w:rPr>
              <w:t>all of</w:t>
            </w:r>
            <w:proofErr w:type="gramEnd"/>
            <w:r w:rsidR="00D6257C" w:rsidRPr="00D6257C">
              <w:rPr>
                <w:color w:val="FF0000"/>
              </w:rPr>
              <w:t xml:space="preserve"> the data is available to calculate the claiming percentages. These claiming percentages will be used for the remainder of the Provision 2 cycle or longer if Provision 2 is extended to subsequent 4-year cycles.</w:t>
            </w:r>
          </w:p>
          <w:p w14:paraId="21DEE4C6" w14:textId="144E4B99" w:rsidR="00D6257C" w:rsidRPr="00E64DA9" w:rsidRDefault="00D6257C" w:rsidP="00B26E32">
            <w:pPr>
              <w:spacing w:beforeLines="60" w:before="144" w:afterLines="60" w:after="144"/>
              <w:rPr>
                <w:color w:val="FF0000"/>
              </w:rPr>
            </w:pPr>
            <w:r>
              <w:rPr>
                <w:color w:val="FF0000"/>
              </w:rPr>
              <w:t xml:space="preserve">The school nutrition unit will work with the Sponsor to ensure these claiming percentages are accurate. </w:t>
            </w:r>
          </w:p>
        </w:tc>
      </w:tr>
      <w:tr w:rsidR="00B26E32" w:rsidRPr="00D7278D" w14:paraId="01440A46" w14:textId="77777777" w:rsidTr="00B26E32">
        <w:trPr>
          <w:trHeight w:val="1018"/>
        </w:trPr>
        <w:tc>
          <w:tcPr>
            <w:tcW w:w="805" w:type="dxa"/>
            <w:shd w:val="clear" w:color="auto" w:fill="auto"/>
            <w:vAlign w:val="center"/>
          </w:tcPr>
          <w:p w14:paraId="08EC8C0E" w14:textId="486CDE45" w:rsidR="00B26E32" w:rsidRPr="00D7278D" w:rsidRDefault="00B26E32" w:rsidP="00BB506E">
            <w:pPr>
              <w:spacing w:beforeLines="60" w:before="144" w:afterLines="60" w:after="144"/>
            </w:pPr>
            <w:r>
              <w:t>21</w:t>
            </w:r>
            <w:r>
              <w:t>14</w:t>
            </w:r>
          </w:p>
        </w:tc>
        <w:tc>
          <w:tcPr>
            <w:tcW w:w="8777" w:type="dxa"/>
            <w:vAlign w:val="center"/>
          </w:tcPr>
          <w:p w14:paraId="75C5B872" w14:textId="77777777" w:rsidR="00B26E32" w:rsidRDefault="00B26E32" w:rsidP="00BB506E">
            <w:pPr>
              <w:rPr>
                <w:rFonts w:eastAsia="Times New Roman" w:cstheme="minorHAnsi"/>
                <w:color w:val="000000"/>
              </w:rPr>
            </w:pPr>
          </w:p>
          <w:p w14:paraId="09F55308" w14:textId="77777777" w:rsidR="00B26E32" w:rsidRPr="00B26E32" w:rsidRDefault="00B26E32" w:rsidP="00B26E32">
            <w:pPr>
              <w:spacing w:after="0" w:line="240" w:lineRule="auto"/>
              <w:rPr>
                <w:rFonts w:cstheme="minorHAnsi"/>
              </w:rPr>
            </w:pPr>
            <w:r w:rsidRPr="00B26E32">
              <w:rPr>
                <w:rFonts w:cstheme="minorHAnsi"/>
              </w:rPr>
              <w:t>Are the claiming percentages and/or funding levels established during the Base Year for Special Provision Option SFAs/sites being applied correctly to Non-Base Year claims for reimbursement?</w:t>
            </w:r>
          </w:p>
          <w:p w14:paraId="5C76372B" w14:textId="5F9583EC" w:rsidR="00B26E32" w:rsidRPr="00B26E32" w:rsidRDefault="00B26E32" w:rsidP="00B26E32">
            <w:pPr>
              <w:spacing w:after="0" w:line="240" w:lineRule="auto"/>
              <w:rPr>
                <w:rFonts w:cstheme="minorHAnsi"/>
              </w:rPr>
            </w:pPr>
            <w:proofErr w:type="gramStart"/>
            <w:r w:rsidRPr="00B26E32">
              <w:rPr>
                <w:rFonts w:cstheme="minorHAnsi"/>
              </w:rPr>
              <w:t>Yes</w:t>
            </w:r>
            <w:proofErr w:type="gramEnd"/>
            <w:r w:rsidRPr="00B26E32">
              <w:rPr>
                <w:rFonts w:cstheme="minorHAnsi"/>
              </w:rPr>
              <w:tab/>
              <w:t>No</w:t>
            </w:r>
            <w:r w:rsidRPr="00B26E32">
              <w:rPr>
                <w:rFonts w:cstheme="minorHAnsi"/>
              </w:rPr>
              <w:tab/>
              <w:t xml:space="preserve">N/A </w:t>
            </w:r>
          </w:p>
          <w:p w14:paraId="4E75D460" w14:textId="77777777" w:rsidR="00B26E32" w:rsidRDefault="00B26E32" w:rsidP="00B26E32">
            <w:pPr>
              <w:spacing w:beforeLines="60" w:before="144" w:afterLines="60" w:after="144"/>
              <w:ind w:left="30"/>
              <w:rPr>
                <w:rFonts w:cstheme="minorHAnsi"/>
              </w:rPr>
            </w:pPr>
            <w:r w:rsidRPr="00B26E32">
              <w:rPr>
                <w:rFonts w:cstheme="minorHAnsi"/>
              </w:rPr>
              <w:t xml:space="preserve">If </w:t>
            </w:r>
            <w:proofErr w:type="gramStart"/>
            <w:r w:rsidRPr="00B26E32">
              <w:rPr>
                <w:rFonts w:cstheme="minorHAnsi"/>
              </w:rPr>
              <w:t>No</w:t>
            </w:r>
            <w:proofErr w:type="gramEnd"/>
            <w:r w:rsidRPr="00B26E32">
              <w:rPr>
                <w:rFonts w:cstheme="minorHAnsi"/>
              </w:rPr>
              <w:t>, explain.</w:t>
            </w:r>
          </w:p>
          <w:p w14:paraId="78A23123" w14:textId="7EC5D81A" w:rsidR="00B26E32" w:rsidRPr="00740CA3" w:rsidRDefault="00B26E32" w:rsidP="00B26E32">
            <w:pPr>
              <w:spacing w:beforeLines="60" w:before="144" w:afterLines="60" w:after="144"/>
              <w:ind w:left="30"/>
              <w:rPr>
                <w:rFonts w:cstheme="minorHAnsi"/>
                <w:color w:val="FF0000"/>
              </w:rPr>
            </w:pPr>
            <w:r w:rsidRPr="00F81E6E">
              <w:rPr>
                <w:rFonts w:cstheme="minorHAnsi"/>
                <w:b/>
                <w:color w:val="FF0000"/>
              </w:rPr>
              <w:t>Tips:</w:t>
            </w:r>
            <w:r w:rsidRPr="00F81E6E">
              <w:rPr>
                <w:rFonts w:cstheme="minorHAnsi"/>
                <w:color w:val="FF0000"/>
              </w:rPr>
              <w:t xml:space="preserve"> </w:t>
            </w:r>
            <w:r w:rsidR="00D6257C">
              <w:rPr>
                <w:rFonts w:cstheme="minorHAnsi"/>
                <w:color w:val="FF0000"/>
              </w:rPr>
              <w:t xml:space="preserve">Claiming percentages are automatically calculated after the base year claiming percentage is calculated. Ensure this determined claiming percentage is correctly applied in the provision program cycle. </w:t>
            </w:r>
          </w:p>
        </w:tc>
      </w:tr>
      <w:tr w:rsidR="00B26E32" w:rsidRPr="00D7278D" w14:paraId="77C0A0C9" w14:textId="77777777" w:rsidTr="00B26E32">
        <w:trPr>
          <w:trHeight w:val="773"/>
        </w:trPr>
        <w:tc>
          <w:tcPr>
            <w:tcW w:w="805" w:type="dxa"/>
            <w:shd w:val="clear" w:color="auto" w:fill="auto"/>
            <w:vAlign w:val="center"/>
          </w:tcPr>
          <w:p w14:paraId="2A4ACAF7" w14:textId="1FA6C258" w:rsidR="00B26E32" w:rsidRPr="00D7278D" w:rsidRDefault="00B26E32" w:rsidP="00BB506E">
            <w:pPr>
              <w:spacing w:beforeLines="60" w:before="144" w:afterLines="60" w:after="144"/>
            </w:pPr>
            <w:r>
              <w:lastRenderedPageBreak/>
              <w:t>21</w:t>
            </w:r>
            <w:r>
              <w:t>15</w:t>
            </w:r>
          </w:p>
        </w:tc>
        <w:tc>
          <w:tcPr>
            <w:tcW w:w="8777" w:type="dxa"/>
            <w:vAlign w:val="center"/>
          </w:tcPr>
          <w:p w14:paraId="7B833E7B" w14:textId="77777777" w:rsidR="00B26E32" w:rsidRPr="00B26E32" w:rsidRDefault="00B26E32" w:rsidP="00B26E32">
            <w:pPr>
              <w:spacing w:beforeLines="60" w:before="144" w:afterLines="60" w:after="144" w:line="240" w:lineRule="auto"/>
              <w:rPr>
                <w:rFonts w:cstheme="minorHAnsi"/>
                <w:color w:val="000000" w:themeColor="text1"/>
              </w:rPr>
            </w:pPr>
            <w:r w:rsidRPr="00B26E32">
              <w:rPr>
                <w:rFonts w:cstheme="minorHAnsi"/>
                <w:color w:val="000000" w:themeColor="text1"/>
              </w:rPr>
              <w:t>Does the SFA documentation support the Identified Student Percentages and claiming percentages at time of latest CEP approval?</w:t>
            </w:r>
          </w:p>
          <w:p w14:paraId="7500DF27" w14:textId="77777777" w:rsidR="00B26E32" w:rsidRPr="00B26E32" w:rsidRDefault="00B26E32" w:rsidP="00B26E32">
            <w:pPr>
              <w:spacing w:beforeLines="60" w:before="144" w:afterLines="60" w:after="144" w:line="240" w:lineRule="auto"/>
              <w:rPr>
                <w:rFonts w:cstheme="minorHAnsi"/>
                <w:color w:val="000000" w:themeColor="text1"/>
              </w:rPr>
            </w:pPr>
            <w:proofErr w:type="gramStart"/>
            <w:r w:rsidRPr="00B26E32">
              <w:rPr>
                <w:rFonts w:cstheme="minorHAnsi"/>
                <w:color w:val="000000" w:themeColor="text1"/>
              </w:rPr>
              <w:t>Yes</w:t>
            </w:r>
            <w:proofErr w:type="gramEnd"/>
            <w:r w:rsidRPr="00B26E32">
              <w:rPr>
                <w:rFonts w:cstheme="minorHAnsi"/>
                <w:color w:val="000000" w:themeColor="text1"/>
              </w:rPr>
              <w:tab/>
              <w:t>No</w:t>
            </w:r>
            <w:r w:rsidRPr="00B26E32">
              <w:rPr>
                <w:rFonts w:cstheme="minorHAnsi"/>
                <w:color w:val="000000" w:themeColor="text1"/>
              </w:rPr>
              <w:tab/>
              <w:t>N/A</w:t>
            </w:r>
          </w:p>
          <w:p w14:paraId="10960E6B" w14:textId="77777777" w:rsidR="00B26E32" w:rsidRDefault="00B26E32" w:rsidP="00B26E32">
            <w:pPr>
              <w:spacing w:beforeLines="60" w:before="144" w:afterLines="60" w:after="144"/>
              <w:rPr>
                <w:rFonts w:cstheme="minorHAnsi"/>
                <w:color w:val="000000" w:themeColor="text1"/>
              </w:rPr>
            </w:pPr>
            <w:r w:rsidRPr="00B26E32">
              <w:rPr>
                <w:rFonts w:cstheme="minorHAnsi"/>
                <w:color w:val="000000" w:themeColor="text1"/>
              </w:rPr>
              <w:t xml:space="preserve">If </w:t>
            </w:r>
            <w:proofErr w:type="gramStart"/>
            <w:r w:rsidRPr="00B26E32">
              <w:rPr>
                <w:rFonts w:cstheme="minorHAnsi"/>
                <w:color w:val="000000" w:themeColor="text1"/>
              </w:rPr>
              <w:t>No</w:t>
            </w:r>
            <w:proofErr w:type="gramEnd"/>
            <w:r w:rsidRPr="00B26E32">
              <w:rPr>
                <w:rFonts w:cstheme="minorHAnsi"/>
                <w:color w:val="000000" w:themeColor="text1"/>
              </w:rPr>
              <w:t>, explain.</w:t>
            </w:r>
          </w:p>
          <w:p w14:paraId="0239A020" w14:textId="5501357D" w:rsidR="00531066" w:rsidRPr="00C14CD8" w:rsidRDefault="00531066" w:rsidP="00B26E32">
            <w:pPr>
              <w:spacing w:beforeLines="60" w:before="144" w:afterLines="60" w:after="144"/>
              <w:rPr>
                <w:rFonts w:cstheme="minorHAnsi"/>
                <w:b/>
                <w:bCs/>
                <w:color w:val="FF0000"/>
              </w:rPr>
            </w:pPr>
            <w:r w:rsidRPr="00E64DA9">
              <w:rPr>
                <w:color w:val="FF0000"/>
              </w:rPr>
              <w:t>Tips:</w:t>
            </w:r>
            <w:r w:rsidR="00341E16">
              <w:rPr>
                <w:color w:val="FF0000"/>
              </w:rPr>
              <w:t xml:space="preserve"> Sponsor has provided all required documents and CEP student identified student data during the CEP validation process. Ensure all required documents (Direct Certification reports, liaison lists, extended eligibility lists) are being kept and maintained. Ensure the ISP and Free Claiming Percentage that was calculated during base year is utilized. </w:t>
            </w:r>
          </w:p>
        </w:tc>
      </w:tr>
      <w:tr w:rsidR="00B26E32" w:rsidRPr="00D7278D" w14:paraId="4F90C841" w14:textId="77777777" w:rsidTr="00BB506E">
        <w:trPr>
          <w:trHeight w:val="692"/>
        </w:trPr>
        <w:tc>
          <w:tcPr>
            <w:tcW w:w="805" w:type="dxa"/>
            <w:shd w:val="clear" w:color="auto" w:fill="auto"/>
            <w:vAlign w:val="center"/>
          </w:tcPr>
          <w:p w14:paraId="33E52736" w14:textId="2CA90C0C" w:rsidR="00B26E32" w:rsidRPr="00D7278D" w:rsidRDefault="00B26E32" w:rsidP="00BB506E">
            <w:pPr>
              <w:spacing w:beforeLines="60" w:before="144" w:afterLines="60" w:after="144"/>
            </w:pPr>
            <w:r>
              <w:t>21</w:t>
            </w:r>
            <w:r>
              <w:t>16</w:t>
            </w:r>
          </w:p>
        </w:tc>
        <w:tc>
          <w:tcPr>
            <w:tcW w:w="8777" w:type="dxa"/>
            <w:vAlign w:val="center"/>
          </w:tcPr>
          <w:p w14:paraId="5B52AFAB" w14:textId="77777777" w:rsidR="00B26E32" w:rsidRPr="00B26E32" w:rsidRDefault="00B26E32" w:rsidP="00B26E32">
            <w:pPr>
              <w:autoSpaceDE w:val="0"/>
              <w:autoSpaceDN w:val="0"/>
              <w:adjustRightInd w:val="0"/>
              <w:spacing w:before="240" w:after="70" w:line="240" w:lineRule="auto"/>
              <w:rPr>
                <w:rFonts w:eastAsiaTheme="minorHAnsi" w:cstheme="minorHAnsi"/>
                <w:color w:val="000000" w:themeColor="text1"/>
              </w:rPr>
            </w:pPr>
            <w:r w:rsidRPr="00B26E32">
              <w:rPr>
                <w:rFonts w:eastAsiaTheme="minorHAnsi" w:cstheme="minorHAnsi"/>
                <w:color w:val="000000" w:themeColor="text1"/>
              </w:rPr>
              <w:t>a. Are Free and Reduced-price Meal Applications being distributed in sites operating Provision 2/3 in Non-Base Years and/or CEP?</w:t>
            </w:r>
          </w:p>
          <w:p w14:paraId="7F487F23" w14:textId="3365C35E" w:rsidR="00B26E32" w:rsidRDefault="00B26E32" w:rsidP="00B26E32">
            <w:pPr>
              <w:autoSpaceDE w:val="0"/>
              <w:autoSpaceDN w:val="0"/>
              <w:adjustRightInd w:val="0"/>
              <w:spacing w:before="240" w:after="70"/>
              <w:rPr>
                <w:rFonts w:eastAsiaTheme="minorHAnsi" w:cstheme="minorHAnsi"/>
                <w:color w:val="000000" w:themeColor="text1"/>
              </w:rPr>
            </w:pPr>
            <w:r w:rsidRPr="00B26E32">
              <w:rPr>
                <w:rFonts w:eastAsiaTheme="minorHAnsi" w:cstheme="minorHAnsi"/>
                <w:color w:val="000000" w:themeColor="text1"/>
              </w:rPr>
              <w:t>Yes</w:t>
            </w:r>
            <w:r w:rsidRPr="00B26E32">
              <w:rPr>
                <w:rFonts w:eastAsiaTheme="minorHAnsi" w:cstheme="minorHAnsi"/>
                <w:color w:val="000000" w:themeColor="text1"/>
              </w:rPr>
              <w:tab/>
              <w:t>No</w:t>
            </w:r>
            <w:r w:rsidRPr="00B26E32">
              <w:rPr>
                <w:rFonts w:eastAsiaTheme="minorHAnsi" w:cstheme="minorHAnsi"/>
                <w:color w:val="000000" w:themeColor="text1"/>
              </w:rPr>
              <w:tab/>
              <w:t xml:space="preserve"> </w:t>
            </w:r>
          </w:p>
          <w:p w14:paraId="49B9F5B1" w14:textId="33171DCD" w:rsidR="0047240F" w:rsidRPr="0047240F" w:rsidRDefault="0047240F" w:rsidP="00B26E32">
            <w:pPr>
              <w:autoSpaceDE w:val="0"/>
              <w:autoSpaceDN w:val="0"/>
              <w:adjustRightInd w:val="0"/>
              <w:spacing w:before="240" w:after="70" w:line="240" w:lineRule="auto"/>
              <w:rPr>
                <w:rFonts w:eastAsiaTheme="minorHAnsi" w:cstheme="minorHAnsi"/>
                <w:color w:val="FF0000"/>
              </w:rPr>
            </w:pPr>
            <w:r>
              <w:rPr>
                <w:color w:val="FF0000"/>
              </w:rPr>
              <w:t xml:space="preserve">Tips: </w:t>
            </w:r>
            <w:r w:rsidRPr="0047240F">
              <w:rPr>
                <w:color w:val="FF0000"/>
              </w:rPr>
              <w:t xml:space="preserve">Provision 2 offers schools a reduction in some administrative burdens associated with the distribution of free and </w:t>
            </w:r>
            <w:proofErr w:type="gramStart"/>
            <w:r w:rsidRPr="0047240F">
              <w:rPr>
                <w:color w:val="FF0000"/>
              </w:rPr>
              <w:t>reduced price</w:t>
            </w:r>
            <w:proofErr w:type="gramEnd"/>
            <w:r w:rsidRPr="0047240F">
              <w:rPr>
                <w:color w:val="FF0000"/>
              </w:rPr>
              <w:t xml:space="preserve"> meal applications and the determination of household eligibility and eliminates meal counts by type for all but the base year of Provision 2. Households experience a reduction in burden since they are not required to complete the free and </w:t>
            </w:r>
            <w:proofErr w:type="gramStart"/>
            <w:r w:rsidRPr="0047240F">
              <w:rPr>
                <w:color w:val="FF0000"/>
              </w:rPr>
              <w:t>reduced price</w:t>
            </w:r>
            <w:proofErr w:type="gramEnd"/>
            <w:r w:rsidRPr="0047240F">
              <w:rPr>
                <w:color w:val="FF0000"/>
              </w:rPr>
              <w:t xml:space="preserve"> application material or pay for meals.</w:t>
            </w:r>
          </w:p>
          <w:p w14:paraId="1B4265F7" w14:textId="77777777" w:rsidR="00B26E32" w:rsidRPr="00B26E32" w:rsidRDefault="00B26E32" w:rsidP="00B26E32">
            <w:pPr>
              <w:autoSpaceDE w:val="0"/>
              <w:autoSpaceDN w:val="0"/>
              <w:adjustRightInd w:val="0"/>
              <w:spacing w:before="240" w:after="70" w:line="240" w:lineRule="auto"/>
              <w:rPr>
                <w:rFonts w:eastAsiaTheme="minorHAnsi" w:cstheme="minorHAnsi"/>
                <w:color w:val="000000" w:themeColor="text1"/>
              </w:rPr>
            </w:pPr>
            <w:r w:rsidRPr="00B26E32">
              <w:rPr>
                <w:rFonts w:eastAsiaTheme="minorHAnsi" w:cstheme="minorHAnsi"/>
                <w:color w:val="000000" w:themeColor="text1"/>
              </w:rPr>
              <w:t xml:space="preserve">b. If </w:t>
            </w:r>
            <w:proofErr w:type="gramStart"/>
            <w:r w:rsidRPr="00B26E32">
              <w:rPr>
                <w:rFonts w:eastAsiaTheme="minorHAnsi" w:cstheme="minorHAnsi"/>
                <w:color w:val="000000" w:themeColor="text1"/>
              </w:rPr>
              <w:t>Yes</w:t>
            </w:r>
            <w:proofErr w:type="gramEnd"/>
            <w:r w:rsidRPr="00B26E32">
              <w:rPr>
                <w:rFonts w:eastAsiaTheme="minorHAnsi" w:cstheme="minorHAnsi"/>
                <w:color w:val="000000" w:themeColor="text1"/>
              </w:rPr>
              <w:t>, is the SFA’s distribution of applications and use of information acceptable as specified in the USDA Provision 2 Guidance: Free and Reduced Price Applications?</w:t>
            </w:r>
          </w:p>
          <w:p w14:paraId="2770235B" w14:textId="35FA5476" w:rsidR="00B26E32" w:rsidRPr="00B26E32" w:rsidRDefault="00B26E32" w:rsidP="00B26E32">
            <w:pPr>
              <w:autoSpaceDE w:val="0"/>
              <w:autoSpaceDN w:val="0"/>
              <w:adjustRightInd w:val="0"/>
              <w:spacing w:before="240" w:after="70" w:line="240" w:lineRule="auto"/>
              <w:rPr>
                <w:rFonts w:eastAsiaTheme="minorHAnsi" w:cstheme="minorHAnsi"/>
                <w:color w:val="000000" w:themeColor="text1"/>
              </w:rPr>
            </w:pPr>
            <w:proofErr w:type="gramStart"/>
            <w:r w:rsidRPr="00B26E32">
              <w:rPr>
                <w:rFonts w:eastAsiaTheme="minorHAnsi" w:cstheme="minorHAnsi"/>
                <w:color w:val="000000" w:themeColor="text1"/>
              </w:rPr>
              <w:t>Yes</w:t>
            </w:r>
            <w:proofErr w:type="gramEnd"/>
            <w:r w:rsidRPr="00B26E32">
              <w:rPr>
                <w:rFonts w:eastAsiaTheme="minorHAnsi" w:cstheme="minorHAnsi"/>
                <w:color w:val="000000" w:themeColor="text1"/>
              </w:rPr>
              <w:tab/>
              <w:t>No</w:t>
            </w:r>
            <w:r w:rsidRPr="00B26E32">
              <w:rPr>
                <w:rFonts w:eastAsiaTheme="minorHAnsi" w:cstheme="minorHAnsi"/>
                <w:color w:val="000000" w:themeColor="text1"/>
              </w:rPr>
              <w:tab/>
              <w:t>N/A</w:t>
            </w:r>
          </w:p>
          <w:p w14:paraId="6C330B01" w14:textId="77777777" w:rsidR="00B26E32" w:rsidRDefault="00B26E32" w:rsidP="00B26E32">
            <w:pPr>
              <w:autoSpaceDE w:val="0"/>
              <w:autoSpaceDN w:val="0"/>
              <w:adjustRightInd w:val="0"/>
              <w:spacing w:before="240" w:after="70"/>
              <w:rPr>
                <w:rFonts w:eastAsiaTheme="minorHAnsi" w:cstheme="minorHAnsi"/>
                <w:color w:val="000000" w:themeColor="text1"/>
              </w:rPr>
            </w:pPr>
            <w:r w:rsidRPr="00B26E32">
              <w:rPr>
                <w:rFonts w:eastAsiaTheme="minorHAnsi" w:cstheme="minorHAnsi"/>
                <w:color w:val="000000" w:themeColor="text1"/>
              </w:rPr>
              <w:t xml:space="preserve">If </w:t>
            </w:r>
            <w:proofErr w:type="gramStart"/>
            <w:r w:rsidRPr="00B26E32">
              <w:rPr>
                <w:rFonts w:eastAsiaTheme="minorHAnsi" w:cstheme="minorHAnsi"/>
                <w:color w:val="000000" w:themeColor="text1"/>
              </w:rPr>
              <w:t>No</w:t>
            </w:r>
            <w:proofErr w:type="gramEnd"/>
            <w:r w:rsidRPr="00B26E32">
              <w:rPr>
                <w:rFonts w:eastAsiaTheme="minorHAnsi" w:cstheme="minorHAnsi"/>
                <w:color w:val="000000" w:themeColor="text1"/>
              </w:rPr>
              <w:t>, explain.</w:t>
            </w:r>
          </w:p>
          <w:p w14:paraId="64E9735A" w14:textId="77777777" w:rsidR="0047240F" w:rsidRDefault="00B26E32" w:rsidP="00B26E32">
            <w:pPr>
              <w:autoSpaceDE w:val="0"/>
              <w:autoSpaceDN w:val="0"/>
              <w:adjustRightInd w:val="0"/>
              <w:spacing w:before="240" w:after="70"/>
              <w:rPr>
                <w:color w:val="FF0000"/>
              </w:rPr>
            </w:pPr>
            <w:r w:rsidRPr="00C14CD8">
              <w:rPr>
                <w:rFonts w:eastAsiaTheme="minorHAnsi" w:cstheme="minorHAnsi"/>
                <w:b/>
                <w:bCs/>
                <w:color w:val="FF0000"/>
              </w:rPr>
              <w:t>Tips:</w:t>
            </w:r>
            <w:r w:rsidR="0047240F">
              <w:t xml:space="preserve">  </w:t>
            </w:r>
            <w:r w:rsidR="0047240F" w:rsidRPr="0047240F">
              <w:rPr>
                <w:color w:val="FF0000"/>
              </w:rPr>
              <w:t>If you distribute meal applications in a non-base year, you must use the information provided by families to develop claiming percentages (by conducting an entire new base year</w:t>
            </w:r>
            <w:proofErr w:type="gramStart"/>
            <w:r w:rsidR="0047240F" w:rsidRPr="0047240F">
              <w:rPr>
                <w:color w:val="FF0000"/>
              </w:rPr>
              <w:t>), or</w:t>
            </w:r>
            <w:proofErr w:type="gramEnd"/>
            <w:r w:rsidR="0047240F" w:rsidRPr="0047240F">
              <w:rPr>
                <w:color w:val="FF0000"/>
              </w:rPr>
              <w:t xml:space="preserve"> return to standard counting and claiming procedures. The only exception would be for a school taking new applications in the last year of a cycle </w:t>
            </w:r>
            <w:proofErr w:type="gramStart"/>
            <w:r w:rsidR="0047240F" w:rsidRPr="0047240F">
              <w:rPr>
                <w:color w:val="FF0000"/>
              </w:rPr>
              <w:t>in order to</w:t>
            </w:r>
            <w:proofErr w:type="gramEnd"/>
            <w:r w:rsidR="0047240F" w:rsidRPr="0047240F">
              <w:rPr>
                <w:color w:val="FF0000"/>
              </w:rPr>
              <w:t xml:space="preserve"> develop socioeconomic data of the school's population for purposes of requesting an extension</w:t>
            </w:r>
            <w:r w:rsidR="0047240F">
              <w:rPr>
                <w:color w:val="FF0000"/>
              </w:rPr>
              <w:t>.</w:t>
            </w:r>
          </w:p>
          <w:p w14:paraId="11539BE8" w14:textId="74B1D29B" w:rsidR="00B26E32" w:rsidRPr="00C14CD8" w:rsidRDefault="0047240F" w:rsidP="00B26E32">
            <w:pPr>
              <w:autoSpaceDE w:val="0"/>
              <w:autoSpaceDN w:val="0"/>
              <w:adjustRightInd w:val="0"/>
              <w:spacing w:before="240" w:after="70"/>
              <w:rPr>
                <w:rFonts w:eastAsiaTheme="minorHAnsi" w:cstheme="minorHAnsi"/>
                <w:b/>
                <w:bCs/>
                <w:color w:val="FF0000"/>
              </w:rPr>
            </w:pPr>
            <w:r w:rsidRPr="0047240F">
              <w:rPr>
                <w:color w:val="FF0000"/>
              </w:rPr>
              <w:t xml:space="preserve"> If, however, your school continues to collect household size and income information from enrolled students for other purposes (i.e., Title I, textbook assistance, etc.) during non-base years, applications for these purposes cannot be labeled as meal applications or give any indication that meal benefits are contingent on a return of the application. Additionally, the cost of the application process and staff time cannot be paid for out of the school food service account.</w:t>
            </w:r>
          </w:p>
        </w:tc>
      </w:tr>
      <w:tr w:rsidR="00B26E32" w:rsidRPr="00D7278D" w14:paraId="579C02B6" w14:textId="77777777" w:rsidTr="00BB506E">
        <w:trPr>
          <w:trHeight w:val="620"/>
        </w:trPr>
        <w:tc>
          <w:tcPr>
            <w:tcW w:w="805" w:type="dxa"/>
            <w:shd w:val="clear" w:color="auto" w:fill="auto"/>
            <w:vAlign w:val="center"/>
          </w:tcPr>
          <w:p w14:paraId="005F4F91" w14:textId="67BFF96D" w:rsidR="00B26E32" w:rsidRPr="00D7278D" w:rsidRDefault="00B26E32" w:rsidP="00BB506E">
            <w:pPr>
              <w:spacing w:beforeLines="60" w:before="144" w:afterLines="60" w:after="144"/>
            </w:pPr>
            <w:r>
              <w:t>21</w:t>
            </w:r>
            <w:r>
              <w:t>17</w:t>
            </w:r>
          </w:p>
        </w:tc>
        <w:tc>
          <w:tcPr>
            <w:tcW w:w="8777" w:type="dxa"/>
            <w:vAlign w:val="center"/>
          </w:tcPr>
          <w:p w14:paraId="637C1B01" w14:textId="77777777" w:rsidR="00B26E32" w:rsidRDefault="00B26E32" w:rsidP="00BB506E">
            <w:pPr>
              <w:rPr>
                <w:rFonts w:eastAsia="Calibri" w:cstheme="minorHAnsi"/>
                <w:color w:val="000000" w:themeColor="text1"/>
              </w:rPr>
            </w:pPr>
          </w:p>
          <w:p w14:paraId="46362700" w14:textId="77777777" w:rsidR="00B26E32" w:rsidRPr="00B26E32" w:rsidRDefault="00B26E32" w:rsidP="00B26E32">
            <w:pPr>
              <w:spacing w:after="0" w:line="240" w:lineRule="auto"/>
              <w:rPr>
                <w:rFonts w:eastAsia="Calibri" w:cstheme="minorHAnsi"/>
                <w:color w:val="000000" w:themeColor="text1"/>
              </w:rPr>
            </w:pPr>
            <w:r w:rsidRPr="00B26E32">
              <w:rPr>
                <w:rFonts w:eastAsia="Calibri" w:cstheme="minorHAnsi"/>
                <w:color w:val="000000" w:themeColor="text1"/>
              </w:rPr>
              <w:t>For Provision 1 sites only: Are daily meal counts by type used as the basis for calculating claims for reimbursement?</w:t>
            </w:r>
          </w:p>
          <w:p w14:paraId="3FAC7F4A" w14:textId="6FABCDCF" w:rsidR="00531066" w:rsidRPr="00FB07A4" w:rsidRDefault="00B26E32" w:rsidP="00B26E32">
            <w:pPr>
              <w:rPr>
                <w:rFonts w:eastAsia="Calibri" w:cstheme="minorHAnsi"/>
                <w:color w:val="000000" w:themeColor="text1"/>
              </w:rPr>
            </w:pPr>
            <w:proofErr w:type="gramStart"/>
            <w:r w:rsidRPr="00B26E32">
              <w:rPr>
                <w:rFonts w:eastAsia="Calibri" w:cstheme="minorHAnsi"/>
                <w:color w:val="000000" w:themeColor="text1"/>
              </w:rPr>
              <w:t>Yes</w:t>
            </w:r>
            <w:proofErr w:type="gramEnd"/>
            <w:r w:rsidRPr="00B26E32">
              <w:rPr>
                <w:rFonts w:eastAsia="Calibri" w:cstheme="minorHAnsi"/>
                <w:color w:val="000000" w:themeColor="text1"/>
              </w:rPr>
              <w:tab/>
              <w:t>No</w:t>
            </w:r>
            <w:r w:rsidRPr="00B26E32">
              <w:rPr>
                <w:rFonts w:eastAsia="Calibri" w:cstheme="minorHAnsi"/>
                <w:color w:val="000000" w:themeColor="text1"/>
              </w:rPr>
              <w:tab/>
              <w:t>N/A</w:t>
            </w:r>
          </w:p>
        </w:tc>
      </w:tr>
    </w:tbl>
    <w:p w14:paraId="589E7B14" w14:textId="39B5665E" w:rsidR="00183E04" w:rsidRDefault="00183E04" w:rsidP="007E192C"/>
    <w:sectPr w:rsidR="00183E0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7D18" w14:textId="77777777" w:rsidR="000D2CEC" w:rsidRDefault="000D2CEC" w:rsidP="004C63D3">
      <w:pPr>
        <w:spacing w:after="0" w:line="240" w:lineRule="auto"/>
      </w:pPr>
      <w:r>
        <w:separator/>
      </w:r>
    </w:p>
  </w:endnote>
  <w:endnote w:type="continuationSeparator" w:id="0">
    <w:p w14:paraId="2467691E" w14:textId="77777777" w:rsidR="000D2CEC" w:rsidRDefault="000D2CEC" w:rsidP="004C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03B2" w14:textId="1C8BC2F6" w:rsidR="000D2CEC" w:rsidRDefault="00435F37" w:rsidP="00D7278D">
    <w:pPr>
      <w:pStyle w:val="Footer"/>
    </w:pPr>
    <w:r>
      <w:t>September 2022</w:t>
    </w:r>
    <w:r w:rsidR="000D2CEC">
      <w:t xml:space="preserve"> </w:t>
    </w:r>
    <w:r w:rsidR="000D2CEC">
      <w:tab/>
      <w:t>This institution is an equal opportunity provider.</w:t>
    </w:r>
    <w:sdt>
      <w:sdtPr>
        <w:id w:val="1093286891"/>
        <w:docPartObj>
          <w:docPartGallery w:val="Page Numbers (Bottom of Page)"/>
          <w:docPartUnique/>
        </w:docPartObj>
      </w:sdtPr>
      <w:sdtEndPr>
        <w:rPr>
          <w:noProof/>
        </w:rPr>
      </w:sdtEndPr>
      <w:sdtContent>
        <w:r w:rsidR="000D2CEC">
          <w:tab/>
        </w:r>
        <w:r w:rsidR="000D2CEC">
          <w:fldChar w:fldCharType="begin"/>
        </w:r>
        <w:r w:rsidR="000D2CEC">
          <w:instrText xml:space="preserve"> PAGE   \* MERGEFORMAT </w:instrText>
        </w:r>
        <w:r w:rsidR="000D2CEC">
          <w:fldChar w:fldCharType="separate"/>
        </w:r>
        <w:r w:rsidR="007F50A9">
          <w:rPr>
            <w:noProof/>
          </w:rPr>
          <w:t>1</w:t>
        </w:r>
        <w:r w:rsidR="000D2CE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D6A28" w14:textId="77777777" w:rsidR="000D2CEC" w:rsidRDefault="000D2CEC" w:rsidP="004C63D3">
      <w:pPr>
        <w:spacing w:after="0" w:line="240" w:lineRule="auto"/>
      </w:pPr>
      <w:r>
        <w:separator/>
      </w:r>
    </w:p>
  </w:footnote>
  <w:footnote w:type="continuationSeparator" w:id="0">
    <w:p w14:paraId="5BF810FF" w14:textId="77777777" w:rsidR="000D2CEC" w:rsidRDefault="000D2CEC" w:rsidP="004C6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2F33" w14:textId="70CF06D5" w:rsidR="000D2CEC" w:rsidRPr="004C63D3" w:rsidRDefault="000D2CEC" w:rsidP="004C63D3">
    <w:pPr>
      <w:pStyle w:val="Header"/>
      <w:jc w:val="center"/>
      <w:rPr>
        <w:b/>
      </w:rPr>
    </w:pPr>
    <w:r>
      <w:rPr>
        <w:b/>
      </w:rPr>
      <w:t xml:space="preserve">USDA Administrative Review: </w:t>
    </w:r>
    <w:r w:rsidR="00E64DA9">
      <w:rPr>
        <w:b/>
      </w:rPr>
      <w:t>2100 – Special Provision Options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588"/>
    <w:multiLevelType w:val="hybridMultilevel"/>
    <w:tmpl w:val="1326E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C2F1B"/>
    <w:multiLevelType w:val="hybridMultilevel"/>
    <w:tmpl w:val="0562F9EC"/>
    <w:lvl w:ilvl="0" w:tplc="D18A3FE2">
      <w:start w:val="200"/>
      <w:numFmt w:val="decimal"/>
      <w:lvlText w:val="%1."/>
      <w:lvlJc w:val="left"/>
      <w:pPr>
        <w:ind w:left="360" w:hanging="360"/>
      </w:pPr>
      <w:rPr>
        <w:rFonts w:hint="default"/>
      </w:rPr>
    </w:lvl>
    <w:lvl w:ilvl="1" w:tplc="04090019">
      <w:start w:val="1"/>
      <w:numFmt w:val="lowerLetter"/>
      <w:lvlText w:val="%2."/>
      <w:lvlJc w:val="left"/>
      <w:pPr>
        <w:ind w:left="1440" w:hanging="360"/>
      </w:pPr>
    </w:lvl>
    <w:lvl w:ilvl="2" w:tplc="86B4429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E6BB7"/>
    <w:multiLevelType w:val="hybridMultilevel"/>
    <w:tmpl w:val="FA261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20639"/>
    <w:multiLevelType w:val="hybridMultilevel"/>
    <w:tmpl w:val="D4041662"/>
    <w:lvl w:ilvl="0" w:tplc="BFE42400">
      <w:start w:val="1"/>
      <w:numFmt w:val="bullet"/>
      <w:lvlText w:val="o"/>
      <w:lvlJc w:val="left"/>
      <w:pPr>
        <w:ind w:left="720" w:hanging="36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305AE"/>
    <w:multiLevelType w:val="hybridMultilevel"/>
    <w:tmpl w:val="4C826FEE"/>
    <w:lvl w:ilvl="0" w:tplc="BFE42400">
      <w:start w:val="1"/>
      <w:numFmt w:val="bullet"/>
      <w:lvlText w:val="o"/>
      <w:lvlJc w:val="left"/>
      <w:pPr>
        <w:ind w:left="720" w:hanging="36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C4D61"/>
    <w:multiLevelType w:val="hybridMultilevel"/>
    <w:tmpl w:val="A8ECE846"/>
    <w:lvl w:ilvl="0" w:tplc="BFE42400">
      <w:start w:val="1"/>
      <w:numFmt w:val="bullet"/>
      <w:lvlText w:val="o"/>
      <w:lvlJc w:val="left"/>
      <w:pPr>
        <w:ind w:left="720" w:hanging="360"/>
      </w:pPr>
      <w:rPr>
        <w:rFonts w:ascii="Courier New" w:hAnsi="Courier New"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860D3"/>
    <w:multiLevelType w:val="hybridMultilevel"/>
    <w:tmpl w:val="AA806C1E"/>
    <w:lvl w:ilvl="0" w:tplc="BFE42400">
      <w:start w:val="1"/>
      <w:numFmt w:val="bullet"/>
      <w:lvlText w:val="o"/>
      <w:lvlJc w:val="left"/>
      <w:pPr>
        <w:ind w:left="750" w:hanging="360"/>
      </w:pPr>
      <w:rPr>
        <w:rFonts w:ascii="Courier New" w:hAnsi="Courier New" w:hint="default"/>
        <w:color w:val="FF000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5D3A338F"/>
    <w:multiLevelType w:val="hybridMultilevel"/>
    <w:tmpl w:val="5D40DBBC"/>
    <w:lvl w:ilvl="0" w:tplc="BFE42400">
      <w:start w:val="1"/>
      <w:numFmt w:val="bullet"/>
      <w:lvlText w:val="o"/>
      <w:lvlJc w:val="left"/>
      <w:pPr>
        <w:ind w:left="720" w:hanging="360"/>
      </w:pPr>
      <w:rPr>
        <w:rFonts w:ascii="Courier New" w:hAnsi="Courier New"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E7CF2"/>
    <w:multiLevelType w:val="hybridMultilevel"/>
    <w:tmpl w:val="4FB444A0"/>
    <w:lvl w:ilvl="0" w:tplc="BFE42400">
      <w:start w:val="1"/>
      <w:numFmt w:val="bullet"/>
      <w:lvlText w:val="o"/>
      <w:lvlJc w:val="left"/>
      <w:pPr>
        <w:ind w:left="750" w:hanging="360"/>
      </w:pPr>
      <w:rPr>
        <w:rFonts w:ascii="Courier New" w:hAnsi="Courier New" w:hint="default"/>
        <w:color w:val="FF0000"/>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5F7314F7"/>
    <w:multiLevelType w:val="hybridMultilevel"/>
    <w:tmpl w:val="F8D81560"/>
    <w:lvl w:ilvl="0" w:tplc="BFE42400">
      <w:start w:val="1"/>
      <w:numFmt w:val="bullet"/>
      <w:lvlText w:val="o"/>
      <w:lvlJc w:val="left"/>
      <w:pPr>
        <w:ind w:left="720" w:hanging="360"/>
      </w:pPr>
      <w:rPr>
        <w:rFonts w:ascii="Courier New" w:hAnsi="Courier New"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430C61"/>
    <w:multiLevelType w:val="hybridMultilevel"/>
    <w:tmpl w:val="E23A4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D5BB3"/>
    <w:multiLevelType w:val="hybridMultilevel"/>
    <w:tmpl w:val="59D22154"/>
    <w:lvl w:ilvl="0" w:tplc="04090017">
      <w:start w:val="1"/>
      <w:numFmt w:val="lowerLetter"/>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D0F6AF8"/>
    <w:multiLevelType w:val="hybridMultilevel"/>
    <w:tmpl w:val="F1F8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3176E1"/>
    <w:multiLevelType w:val="hybridMultilevel"/>
    <w:tmpl w:val="002A9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27509F"/>
    <w:multiLevelType w:val="hybridMultilevel"/>
    <w:tmpl w:val="2FB80C4C"/>
    <w:lvl w:ilvl="0" w:tplc="BFE42400">
      <w:start w:val="1"/>
      <w:numFmt w:val="bullet"/>
      <w:lvlText w:val="o"/>
      <w:lvlJc w:val="left"/>
      <w:pPr>
        <w:ind w:left="720" w:hanging="360"/>
      </w:pPr>
      <w:rPr>
        <w:rFonts w:ascii="Courier New" w:hAnsi="Courier New"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613496">
    <w:abstractNumId w:val="1"/>
  </w:num>
  <w:num w:numId="2" w16cid:durableId="1015839826">
    <w:abstractNumId w:val="11"/>
  </w:num>
  <w:num w:numId="3" w16cid:durableId="1180773366">
    <w:abstractNumId w:val="2"/>
  </w:num>
  <w:num w:numId="4" w16cid:durableId="1546865520">
    <w:abstractNumId w:val="12"/>
  </w:num>
  <w:num w:numId="5" w16cid:durableId="1396586206">
    <w:abstractNumId w:val="0"/>
  </w:num>
  <w:num w:numId="6" w16cid:durableId="2004774982">
    <w:abstractNumId w:val="10"/>
  </w:num>
  <w:num w:numId="7" w16cid:durableId="1339043277">
    <w:abstractNumId w:val="4"/>
  </w:num>
  <w:num w:numId="8" w16cid:durableId="1279095670">
    <w:abstractNumId w:val="9"/>
  </w:num>
  <w:num w:numId="9" w16cid:durableId="1620574517">
    <w:abstractNumId w:val="14"/>
  </w:num>
  <w:num w:numId="10" w16cid:durableId="495148713">
    <w:abstractNumId w:val="5"/>
  </w:num>
  <w:num w:numId="11" w16cid:durableId="1798990496">
    <w:abstractNumId w:val="7"/>
  </w:num>
  <w:num w:numId="12" w16cid:durableId="1300498396">
    <w:abstractNumId w:val="8"/>
  </w:num>
  <w:num w:numId="13" w16cid:durableId="1429930362">
    <w:abstractNumId w:val="6"/>
  </w:num>
  <w:num w:numId="14" w16cid:durableId="1296909482">
    <w:abstractNumId w:val="3"/>
  </w:num>
  <w:num w:numId="15" w16cid:durableId="139107536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D3"/>
    <w:rsid w:val="00011A22"/>
    <w:rsid w:val="00034F81"/>
    <w:rsid w:val="0004391A"/>
    <w:rsid w:val="00051539"/>
    <w:rsid w:val="000718E8"/>
    <w:rsid w:val="0007788C"/>
    <w:rsid w:val="000A3B93"/>
    <w:rsid w:val="000B5F66"/>
    <w:rsid w:val="000C0E86"/>
    <w:rsid w:val="000C7E5E"/>
    <w:rsid w:val="000D2CEC"/>
    <w:rsid w:val="001276B8"/>
    <w:rsid w:val="00127960"/>
    <w:rsid w:val="00133443"/>
    <w:rsid w:val="0014315A"/>
    <w:rsid w:val="00167022"/>
    <w:rsid w:val="00171283"/>
    <w:rsid w:val="00183E04"/>
    <w:rsid w:val="001928AD"/>
    <w:rsid w:val="00196F96"/>
    <w:rsid w:val="001C24C3"/>
    <w:rsid w:val="001C40C1"/>
    <w:rsid w:val="001C7585"/>
    <w:rsid w:val="001D6448"/>
    <w:rsid w:val="001F19F3"/>
    <w:rsid w:val="00203C99"/>
    <w:rsid w:val="002129A3"/>
    <w:rsid w:val="00226EA8"/>
    <w:rsid w:val="00246749"/>
    <w:rsid w:val="00273722"/>
    <w:rsid w:val="002E54B4"/>
    <w:rsid w:val="002F0377"/>
    <w:rsid w:val="0031293A"/>
    <w:rsid w:val="003248A0"/>
    <w:rsid w:val="00325CD9"/>
    <w:rsid w:val="003342BF"/>
    <w:rsid w:val="00341E16"/>
    <w:rsid w:val="0035003F"/>
    <w:rsid w:val="00350B6C"/>
    <w:rsid w:val="00353AF9"/>
    <w:rsid w:val="00365339"/>
    <w:rsid w:val="00373ABB"/>
    <w:rsid w:val="00386B74"/>
    <w:rsid w:val="00393822"/>
    <w:rsid w:val="003A664D"/>
    <w:rsid w:val="003A7C3F"/>
    <w:rsid w:val="003B6B93"/>
    <w:rsid w:val="0042674B"/>
    <w:rsid w:val="00434F05"/>
    <w:rsid w:val="00435F37"/>
    <w:rsid w:val="004412CE"/>
    <w:rsid w:val="00457286"/>
    <w:rsid w:val="0047240F"/>
    <w:rsid w:val="00496E5F"/>
    <w:rsid w:val="004C63D3"/>
    <w:rsid w:val="00531066"/>
    <w:rsid w:val="00582050"/>
    <w:rsid w:val="00587B0B"/>
    <w:rsid w:val="005A09AB"/>
    <w:rsid w:val="005A23E0"/>
    <w:rsid w:val="005A2B8F"/>
    <w:rsid w:val="005B6311"/>
    <w:rsid w:val="005B6D1D"/>
    <w:rsid w:val="005C0EEF"/>
    <w:rsid w:val="005D756C"/>
    <w:rsid w:val="005E2F82"/>
    <w:rsid w:val="00614662"/>
    <w:rsid w:val="006225F9"/>
    <w:rsid w:val="00631CAB"/>
    <w:rsid w:val="00661BB2"/>
    <w:rsid w:val="0067232A"/>
    <w:rsid w:val="006818B9"/>
    <w:rsid w:val="0068254C"/>
    <w:rsid w:val="00682B54"/>
    <w:rsid w:val="00690A91"/>
    <w:rsid w:val="006B7AC6"/>
    <w:rsid w:val="006D3C58"/>
    <w:rsid w:val="006E14D2"/>
    <w:rsid w:val="006E582A"/>
    <w:rsid w:val="007354D6"/>
    <w:rsid w:val="00740880"/>
    <w:rsid w:val="00740CA3"/>
    <w:rsid w:val="007621BE"/>
    <w:rsid w:val="00766671"/>
    <w:rsid w:val="0076689E"/>
    <w:rsid w:val="00775F49"/>
    <w:rsid w:val="007C41CB"/>
    <w:rsid w:val="007C422B"/>
    <w:rsid w:val="007C77F4"/>
    <w:rsid w:val="007E041B"/>
    <w:rsid w:val="007E192C"/>
    <w:rsid w:val="007F50A9"/>
    <w:rsid w:val="008048E6"/>
    <w:rsid w:val="00804974"/>
    <w:rsid w:val="00806B81"/>
    <w:rsid w:val="008163DD"/>
    <w:rsid w:val="008233A5"/>
    <w:rsid w:val="00833A86"/>
    <w:rsid w:val="008510D8"/>
    <w:rsid w:val="008B7AE1"/>
    <w:rsid w:val="008E7313"/>
    <w:rsid w:val="008E7532"/>
    <w:rsid w:val="0090515A"/>
    <w:rsid w:val="00917458"/>
    <w:rsid w:val="00942B28"/>
    <w:rsid w:val="00986403"/>
    <w:rsid w:val="009A6927"/>
    <w:rsid w:val="009B2F08"/>
    <w:rsid w:val="009D15ED"/>
    <w:rsid w:val="009D5689"/>
    <w:rsid w:val="00A07716"/>
    <w:rsid w:val="00A148A3"/>
    <w:rsid w:val="00A331DD"/>
    <w:rsid w:val="00A33C4A"/>
    <w:rsid w:val="00A4258D"/>
    <w:rsid w:val="00A43A16"/>
    <w:rsid w:val="00A50B35"/>
    <w:rsid w:val="00A8263A"/>
    <w:rsid w:val="00A82E75"/>
    <w:rsid w:val="00A8580B"/>
    <w:rsid w:val="00B16293"/>
    <w:rsid w:val="00B2183B"/>
    <w:rsid w:val="00B22D3B"/>
    <w:rsid w:val="00B26E32"/>
    <w:rsid w:val="00B545B3"/>
    <w:rsid w:val="00B6174F"/>
    <w:rsid w:val="00B64E5D"/>
    <w:rsid w:val="00B826C9"/>
    <w:rsid w:val="00B835DD"/>
    <w:rsid w:val="00B853A6"/>
    <w:rsid w:val="00BB2AE7"/>
    <w:rsid w:val="00BB4441"/>
    <w:rsid w:val="00BD0D6B"/>
    <w:rsid w:val="00BE5111"/>
    <w:rsid w:val="00C04CE3"/>
    <w:rsid w:val="00C145CE"/>
    <w:rsid w:val="00C14CD8"/>
    <w:rsid w:val="00C233BF"/>
    <w:rsid w:val="00C279B3"/>
    <w:rsid w:val="00C36851"/>
    <w:rsid w:val="00C400CC"/>
    <w:rsid w:val="00C47047"/>
    <w:rsid w:val="00C64F3A"/>
    <w:rsid w:val="00C82B25"/>
    <w:rsid w:val="00C852F3"/>
    <w:rsid w:val="00CA462B"/>
    <w:rsid w:val="00CC517B"/>
    <w:rsid w:val="00CE585E"/>
    <w:rsid w:val="00CF4DC9"/>
    <w:rsid w:val="00D04A6E"/>
    <w:rsid w:val="00D22FAE"/>
    <w:rsid w:val="00D24C83"/>
    <w:rsid w:val="00D6257C"/>
    <w:rsid w:val="00D677CA"/>
    <w:rsid w:val="00D7278D"/>
    <w:rsid w:val="00DB0ECF"/>
    <w:rsid w:val="00DB3BCB"/>
    <w:rsid w:val="00DB3D43"/>
    <w:rsid w:val="00DE28FB"/>
    <w:rsid w:val="00DE4996"/>
    <w:rsid w:val="00E00262"/>
    <w:rsid w:val="00E02BCB"/>
    <w:rsid w:val="00E14A0F"/>
    <w:rsid w:val="00E316D3"/>
    <w:rsid w:val="00E40A6C"/>
    <w:rsid w:val="00E64DA9"/>
    <w:rsid w:val="00E70EEA"/>
    <w:rsid w:val="00E9605A"/>
    <w:rsid w:val="00ED5478"/>
    <w:rsid w:val="00ED70F4"/>
    <w:rsid w:val="00EE5AC0"/>
    <w:rsid w:val="00F07D81"/>
    <w:rsid w:val="00F212CD"/>
    <w:rsid w:val="00F43922"/>
    <w:rsid w:val="00F46F54"/>
    <w:rsid w:val="00F64863"/>
    <w:rsid w:val="00F6652A"/>
    <w:rsid w:val="00F70D3B"/>
    <w:rsid w:val="00F74033"/>
    <w:rsid w:val="00F96480"/>
    <w:rsid w:val="00FB07A4"/>
    <w:rsid w:val="00FB7D17"/>
    <w:rsid w:val="00FF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B4951B"/>
  <w15:docId w15:val="{FDE0F698-D1EC-4505-A53A-3EB07A77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3D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3D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3D3"/>
    <w:pPr>
      <w:ind w:left="720"/>
      <w:contextualSpacing/>
    </w:pPr>
  </w:style>
  <w:style w:type="table" w:customStyle="1" w:styleId="TableGrid1">
    <w:name w:val="Table Grid1"/>
    <w:basedOn w:val="TableNormal"/>
    <w:next w:val="TableGrid"/>
    <w:uiPriority w:val="59"/>
    <w:rsid w:val="004C63D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D3"/>
    <w:rPr>
      <w:rFonts w:eastAsiaTheme="minorEastAsia"/>
    </w:rPr>
  </w:style>
  <w:style w:type="paragraph" w:styleId="Footer">
    <w:name w:val="footer"/>
    <w:basedOn w:val="Normal"/>
    <w:link w:val="FooterChar"/>
    <w:uiPriority w:val="99"/>
    <w:unhideWhenUsed/>
    <w:rsid w:val="004C6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D3"/>
    <w:rPr>
      <w:rFonts w:eastAsiaTheme="minorEastAsia"/>
    </w:rPr>
  </w:style>
  <w:style w:type="character" w:styleId="Hyperlink">
    <w:name w:val="Hyperlink"/>
    <w:basedOn w:val="DefaultParagraphFont"/>
    <w:unhideWhenUsed/>
    <w:rsid w:val="00A148A3"/>
    <w:rPr>
      <w:color w:val="0000FF" w:themeColor="hyperlink"/>
      <w:u w:val="single"/>
    </w:rPr>
  </w:style>
  <w:style w:type="paragraph" w:customStyle="1" w:styleId="Default">
    <w:name w:val="Default"/>
    <w:rsid w:val="0091745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1293A"/>
    <w:rPr>
      <w:sz w:val="16"/>
      <w:szCs w:val="16"/>
    </w:rPr>
  </w:style>
  <w:style w:type="paragraph" w:styleId="CommentText">
    <w:name w:val="annotation text"/>
    <w:basedOn w:val="Normal"/>
    <w:link w:val="CommentTextChar"/>
    <w:uiPriority w:val="99"/>
    <w:semiHidden/>
    <w:unhideWhenUsed/>
    <w:rsid w:val="0031293A"/>
    <w:pPr>
      <w:spacing w:line="240" w:lineRule="auto"/>
    </w:pPr>
    <w:rPr>
      <w:sz w:val="20"/>
      <w:szCs w:val="20"/>
    </w:rPr>
  </w:style>
  <w:style w:type="character" w:customStyle="1" w:styleId="CommentTextChar">
    <w:name w:val="Comment Text Char"/>
    <w:basedOn w:val="DefaultParagraphFont"/>
    <w:link w:val="CommentText"/>
    <w:uiPriority w:val="99"/>
    <w:semiHidden/>
    <w:rsid w:val="0031293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1293A"/>
    <w:rPr>
      <w:b/>
      <w:bCs/>
    </w:rPr>
  </w:style>
  <w:style w:type="character" w:customStyle="1" w:styleId="CommentSubjectChar">
    <w:name w:val="Comment Subject Char"/>
    <w:basedOn w:val="CommentTextChar"/>
    <w:link w:val="CommentSubject"/>
    <w:uiPriority w:val="99"/>
    <w:semiHidden/>
    <w:rsid w:val="0031293A"/>
    <w:rPr>
      <w:rFonts w:eastAsiaTheme="minorEastAsia"/>
      <w:b/>
      <w:bCs/>
      <w:sz w:val="20"/>
      <w:szCs w:val="20"/>
    </w:rPr>
  </w:style>
  <w:style w:type="paragraph" w:styleId="BalloonText">
    <w:name w:val="Balloon Text"/>
    <w:basedOn w:val="Normal"/>
    <w:link w:val="BalloonTextChar"/>
    <w:uiPriority w:val="99"/>
    <w:semiHidden/>
    <w:unhideWhenUsed/>
    <w:rsid w:val="00312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93A"/>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A8580B"/>
    <w:rPr>
      <w:color w:val="800080" w:themeColor="followedHyperlink"/>
      <w:u w:val="single"/>
    </w:rPr>
  </w:style>
  <w:style w:type="character" w:styleId="UnresolvedMention">
    <w:name w:val="Unresolved Mention"/>
    <w:basedOn w:val="DefaultParagraphFont"/>
    <w:uiPriority w:val="99"/>
    <w:semiHidden/>
    <w:unhideWhenUsed/>
    <w:rsid w:val="00441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65467">
      <w:bodyDiv w:val="1"/>
      <w:marLeft w:val="0"/>
      <w:marRight w:val="0"/>
      <w:marTop w:val="0"/>
      <w:marBottom w:val="0"/>
      <w:divBdr>
        <w:top w:val="none" w:sz="0" w:space="0" w:color="auto"/>
        <w:left w:val="none" w:sz="0" w:space="0" w:color="auto"/>
        <w:bottom w:val="none" w:sz="0" w:space="0" w:color="auto"/>
        <w:right w:val="none" w:sz="0" w:space="0" w:color="auto"/>
      </w:divBdr>
      <w:divsChild>
        <w:div w:id="1501383039">
          <w:marLeft w:val="0"/>
          <w:marRight w:val="0"/>
          <w:marTop w:val="0"/>
          <w:marBottom w:val="0"/>
          <w:divBdr>
            <w:top w:val="single" w:sz="6" w:space="4" w:color="808080"/>
            <w:left w:val="none" w:sz="0" w:space="0" w:color="auto"/>
            <w:bottom w:val="none" w:sz="0" w:space="0" w:color="auto"/>
            <w:right w:val="single" w:sz="24" w:space="0" w:color="008000"/>
          </w:divBdr>
          <w:divsChild>
            <w:div w:id="266281993">
              <w:marLeft w:val="0"/>
              <w:marRight w:val="0"/>
              <w:marTop w:val="0"/>
              <w:marBottom w:val="0"/>
              <w:divBdr>
                <w:top w:val="none" w:sz="0" w:space="0" w:color="auto"/>
                <w:left w:val="none" w:sz="0" w:space="0" w:color="auto"/>
                <w:bottom w:val="none" w:sz="0" w:space="0" w:color="auto"/>
                <w:right w:val="none" w:sz="0" w:space="0" w:color="auto"/>
              </w:divBdr>
              <w:divsChild>
                <w:div w:id="2038432385">
                  <w:marLeft w:val="0"/>
                  <w:marRight w:val="0"/>
                  <w:marTop w:val="0"/>
                  <w:marBottom w:val="0"/>
                  <w:divBdr>
                    <w:top w:val="none" w:sz="0" w:space="0" w:color="auto"/>
                    <w:left w:val="none" w:sz="0" w:space="0" w:color="auto"/>
                    <w:bottom w:val="none" w:sz="0" w:space="0" w:color="auto"/>
                    <w:right w:val="none" w:sz="0" w:space="0" w:color="auto"/>
                  </w:divBdr>
                  <w:divsChild>
                    <w:div w:id="1531718598">
                      <w:marLeft w:val="0"/>
                      <w:marRight w:val="0"/>
                      <w:marTop w:val="30"/>
                      <w:marBottom w:val="30"/>
                      <w:divBdr>
                        <w:top w:val="none" w:sz="0" w:space="0" w:color="auto"/>
                        <w:left w:val="none" w:sz="0" w:space="0" w:color="auto"/>
                        <w:bottom w:val="none" w:sz="0" w:space="0" w:color="auto"/>
                        <w:right w:val="none" w:sz="0" w:space="0" w:color="auto"/>
                      </w:divBdr>
                    </w:div>
                    <w:div w:id="25764141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29851249">
              <w:marLeft w:val="0"/>
              <w:marRight w:val="0"/>
              <w:marTop w:val="0"/>
              <w:marBottom w:val="0"/>
              <w:divBdr>
                <w:top w:val="none" w:sz="0" w:space="0" w:color="auto"/>
                <w:left w:val="none" w:sz="0" w:space="0" w:color="auto"/>
                <w:bottom w:val="none" w:sz="0" w:space="0" w:color="auto"/>
                <w:right w:val="none" w:sz="0" w:space="0" w:color="auto"/>
              </w:divBdr>
            </w:div>
          </w:divsChild>
        </w:div>
        <w:div w:id="1587838439">
          <w:marLeft w:val="0"/>
          <w:marRight w:val="0"/>
          <w:marTop w:val="0"/>
          <w:marBottom w:val="0"/>
          <w:divBdr>
            <w:top w:val="none" w:sz="0" w:space="0" w:color="auto"/>
            <w:left w:val="none" w:sz="0" w:space="0" w:color="auto"/>
            <w:bottom w:val="none" w:sz="0" w:space="0" w:color="auto"/>
            <w:right w:val="single" w:sz="24" w:space="0" w:color="008000"/>
          </w:divBdr>
          <w:divsChild>
            <w:div w:id="334499073">
              <w:marLeft w:val="0"/>
              <w:marRight w:val="0"/>
              <w:marTop w:val="0"/>
              <w:marBottom w:val="0"/>
              <w:divBdr>
                <w:top w:val="none" w:sz="0" w:space="0" w:color="auto"/>
                <w:left w:val="none" w:sz="0" w:space="0" w:color="auto"/>
                <w:bottom w:val="none" w:sz="0" w:space="0" w:color="auto"/>
                <w:right w:val="none" w:sz="0" w:space="0" w:color="auto"/>
              </w:divBdr>
              <w:divsChild>
                <w:div w:id="278994223">
                  <w:marLeft w:val="0"/>
                  <w:marRight w:val="0"/>
                  <w:marTop w:val="0"/>
                  <w:marBottom w:val="0"/>
                  <w:divBdr>
                    <w:top w:val="none" w:sz="0" w:space="0" w:color="auto"/>
                    <w:left w:val="none" w:sz="0" w:space="0" w:color="auto"/>
                    <w:bottom w:val="none" w:sz="0" w:space="0" w:color="auto"/>
                    <w:right w:val="none" w:sz="0" w:space="0" w:color="auto"/>
                  </w:divBdr>
                  <w:divsChild>
                    <w:div w:id="63622798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334340337">
      <w:bodyDiv w:val="1"/>
      <w:marLeft w:val="0"/>
      <w:marRight w:val="0"/>
      <w:marTop w:val="0"/>
      <w:marBottom w:val="0"/>
      <w:divBdr>
        <w:top w:val="none" w:sz="0" w:space="0" w:color="auto"/>
        <w:left w:val="none" w:sz="0" w:space="0" w:color="auto"/>
        <w:bottom w:val="none" w:sz="0" w:space="0" w:color="auto"/>
        <w:right w:val="none" w:sz="0" w:space="0" w:color="auto"/>
      </w:divBdr>
      <w:divsChild>
        <w:div w:id="13113703">
          <w:marLeft w:val="0"/>
          <w:marRight w:val="0"/>
          <w:marTop w:val="0"/>
          <w:marBottom w:val="0"/>
          <w:divBdr>
            <w:top w:val="single" w:sz="6" w:space="4" w:color="808080"/>
            <w:left w:val="none" w:sz="0" w:space="0" w:color="auto"/>
            <w:bottom w:val="none" w:sz="0" w:space="0" w:color="auto"/>
            <w:right w:val="single" w:sz="24" w:space="0" w:color="008000"/>
          </w:divBdr>
          <w:divsChild>
            <w:div w:id="424810727">
              <w:marLeft w:val="0"/>
              <w:marRight w:val="0"/>
              <w:marTop w:val="0"/>
              <w:marBottom w:val="0"/>
              <w:divBdr>
                <w:top w:val="none" w:sz="0" w:space="0" w:color="auto"/>
                <w:left w:val="none" w:sz="0" w:space="0" w:color="auto"/>
                <w:bottom w:val="none" w:sz="0" w:space="0" w:color="auto"/>
                <w:right w:val="none" w:sz="0" w:space="0" w:color="auto"/>
              </w:divBdr>
              <w:divsChild>
                <w:div w:id="479008413">
                  <w:marLeft w:val="0"/>
                  <w:marRight w:val="0"/>
                  <w:marTop w:val="0"/>
                  <w:marBottom w:val="0"/>
                  <w:divBdr>
                    <w:top w:val="none" w:sz="0" w:space="0" w:color="auto"/>
                    <w:left w:val="none" w:sz="0" w:space="0" w:color="auto"/>
                    <w:bottom w:val="none" w:sz="0" w:space="0" w:color="auto"/>
                    <w:right w:val="none" w:sz="0" w:space="0" w:color="auto"/>
                  </w:divBdr>
                  <w:divsChild>
                    <w:div w:id="911550248">
                      <w:marLeft w:val="0"/>
                      <w:marRight w:val="0"/>
                      <w:marTop w:val="30"/>
                      <w:marBottom w:val="30"/>
                      <w:divBdr>
                        <w:top w:val="none" w:sz="0" w:space="0" w:color="auto"/>
                        <w:left w:val="none" w:sz="0" w:space="0" w:color="auto"/>
                        <w:bottom w:val="none" w:sz="0" w:space="0" w:color="auto"/>
                        <w:right w:val="none" w:sz="0" w:space="0" w:color="auto"/>
                      </w:divBdr>
                    </w:div>
                    <w:div w:id="11497817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84847472">
              <w:marLeft w:val="0"/>
              <w:marRight w:val="0"/>
              <w:marTop w:val="0"/>
              <w:marBottom w:val="0"/>
              <w:divBdr>
                <w:top w:val="none" w:sz="0" w:space="0" w:color="auto"/>
                <w:left w:val="none" w:sz="0" w:space="0" w:color="auto"/>
                <w:bottom w:val="none" w:sz="0" w:space="0" w:color="auto"/>
                <w:right w:val="none" w:sz="0" w:space="0" w:color="auto"/>
              </w:divBdr>
            </w:div>
          </w:divsChild>
        </w:div>
        <w:div w:id="688679095">
          <w:marLeft w:val="0"/>
          <w:marRight w:val="0"/>
          <w:marTop w:val="0"/>
          <w:marBottom w:val="0"/>
          <w:divBdr>
            <w:top w:val="none" w:sz="0" w:space="0" w:color="auto"/>
            <w:left w:val="none" w:sz="0" w:space="0" w:color="auto"/>
            <w:bottom w:val="none" w:sz="0" w:space="0" w:color="auto"/>
            <w:right w:val="single" w:sz="24" w:space="0" w:color="008000"/>
          </w:divBdr>
          <w:divsChild>
            <w:div w:id="793409682">
              <w:marLeft w:val="0"/>
              <w:marRight w:val="0"/>
              <w:marTop w:val="0"/>
              <w:marBottom w:val="0"/>
              <w:divBdr>
                <w:top w:val="none" w:sz="0" w:space="0" w:color="auto"/>
                <w:left w:val="none" w:sz="0" w:space="0" w:color="auto"/>
                <w:bottom w:val="none" w:sz="0" w:space="0" w:color="auto"/>
                <w:right w:val="none" w:sz="0" w:space="0" w:color="auto"/>
              </w:divBdr>
              <w:divsChild>
                <w:div w:id="1830057656">
                  <w:marLeft w:val="0"/>
                  <w:marRight w:val="0"/>
                  <w:marTop w:val="0"/>
                  <w:marBottom w:val="0"/>
                  <w:divBdr>
                    <w:top w:val="none" w:sz="0" w:space="0" w:color="auto"/>
                    <w:left w:val="none" w:sz="0" w:space="0" w:color="auto"/>
                    <w:bottom w:val="none" w:sz="0" w:space="0" w:color="auto"/>
                    <w:right w:val="none" w:sz="0" w:space="0" w:color="auto"/>
                  </w:divBdr>
                  <w:divsChild>
                    <w:div w:id="56907557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352222299">
      <w:bodyDiv w:val="1"/>
      <w:marLeft w:val="0"/>
      <w:marRight w:val="0"/>
      <w:marTop w:val="0"/>
      <w:marBottom w:val="0"/>
      <w:divBdr>
        <w:top w:val="none" w:sz="0" w:space="0" w:color="auto"/>
        <w:left w:val="none" w:sz="0" w:space="0" w:color="auto"/>
        <w:bottom w:val="none" w:sz="0" w:space="0" w:color="auto"/>
        <w:right w:val="none" w:sz="0" w:space="0" w:color="auto"/>
      </w:divBdr>
      <w:divsChild>
        <w:div w:id="1375079211">
          <w:marLeft w:val="0"/>
          <w:marRight w:val="0"/>
          <w:marTop w:val="0"/>
          <w:marBottom w:val="0"/>
          <w:divBdr>
            <w:top w:val="single" w:sz="6" w:space="4" w:color="808080"/>
            <w:left w:val="none" w:sz="0" w:space="0" w:color="auto"/>
            <w:bottom w:val="none" w:sz="0" w:space="0" w:color="auto"/>
            <w:right w:val="single" w:sz="24" w:space="0" w:color="008000"/>
          </w:divBdr>
          <w:divsChild>
            <w:div w:id="839199754">
              <w:marLeft w:val="0"/>
              <w:marRight w:val="0"/>
              <w:marTop w:val="0"/>
              <w:marBottom w:val="0"/>
              <w:divBdr>
                <w:top w:val="none" w:sz="0" w:space="0" w:color="auto"/>
                <w:left w:val="none" w:sz="0" w:space="0" w:color="auto"/>
                <w:bottom w:val="none" w:sz="0" w:space="0" w:color="auto"/>
                <w:right w:val="none" w:sz="0" w:space="0" w:color="auto"/>
              </w:divBdr>
              <w:divsChild>
                <w:div w:id="1280602184">
                  <w:marLeft w:val="0"/>
                  <w:marRight w:val="0"/>
                  <w:marTop w:val="0"/>
                  <w:marBottom w:val="0"/>
                  <w:divBdr>
                    <w:top w:val="none" w:sz="0" w:space="0" w:color="auto"/>
                    <w:left w:val="none" w:sz="0" w:space="0" w:color="auto"/>
                    <w:bottom w:val="none" w:sz="0" w:space="0" w:color="auto"/>
                    <w:right w:val="none" w:sz="0" w:space="0" w:color="auto"/>
                  </w:divBdr>
                  <w:divsChild>
                    <w:div w:id="491680854">
                      <w:marLeft w:val="0"/>
                      <w:marRight w:val="0"/>
                      <w:marTop w:val="30"/>
                      <w:marBottom w:val="30"/>
                      <w:divBdr>
                        <w:top w:val="none" w:sz="0" w:space="0" w:color="auto"/>
                        <w:left w:val="none" w:sz="0" w:space="0" w:color="auto"/>
                        <w:bottom w:val="none" w:sz="0" w:space="0" w:color="auto"/>
                        <w:right w:val="none" w:sz="0" w:space="0" w:color="auto"/>
                      </w:divBdr>
                    </w:div>
                    <w:div w:id="207986145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1354742">
              <w:marLeft w:val="0"/>
              <w:marRight w:val="0"/>
              <w:marTop w:val="0"/>
              <w:marBottom w:val="0"/>
              <w:divBdr>
                <w:top w:val="none" w:sz="0" w:space="0" w:color="auto"/>
                <w:left w:val="none" w:sz="0" w:space="0" w:color="auto"/>
                <w:bottom w:val="none" w:sz="0" w:space="0" w:color="auto"/>
                <w:right w:val="none" w:sz="0" w:space="0" w:color="auto"/>
              </w:divBdr>
            </w:div>
          </w:divsChild>
        </w:div>
        <w:div w:id="1193492727">
          <w:marLeft w:val="0"/>
          <w:marRight w:val="0"/>
          <w:marTop w:val="0"/>
          <w:marBottom w:val="0"/>
          <w:divBdr>
            <w:top w:val="none" w:sz="0" w:space="0" w:color="auto"/>
            <w:left w:val="none" w:sz="0" w:space="0" w:color="auto"/>
            <w:bottom w:val="none" w:sz="0" w:space="0" w:color="auto"/>
            <w:right w:val="single" w:sz="24" w:space="0" w:color="008000"/>
          </w:divBdr>
          <w:divsChild>
            <w:div w:id="1293096136">
              <w:marLeft w:val="0"/>
              <w:marRight w:val="0"/>
              <w:marTop w:val="0"/>
              <w:marBottom w:val="0"/>
              <w:divBdr>
                <w:top w:val="none" w:sz="0" w:space="0" w:color="auto"/>
                <w:left w:val="none" w:sz="0" w:space="0" w:color="auto"/>
                <w:bottom w:val="none" w:sz="0" w:space="0" w:color="auto"/>
                <w:right w:val="none" w:sz="0" w:space="0" w:color="auto"/>
              </w:divBdr>
              <w:divsChild>
                <w:div w:id="2046171096">
                  <w:marLeft w:val="0"/>
                  <w:marRight w:val="0"/>
                  <w:marTop w:val="0"/>
                  <w:marBottom w:val="0"/>
                  <w:divBdr>
                    <w:top w:val="none" w:sz="0" w:space="0" w:color="auto"/>
                    <w:left w:val="none" w:sz="0" w:space="0" w:color="auto"/>
                    <w:bottom w:val="none" w:sz="0" w:space="0" w:color="auto"/>
                    <w:right w:val="none" w:sz="0" w:space="0" w:color="auto"/>
                  </w:divBdr>
                  <w:divsChild>
                    <w:div w:id="2081554871">
                      <w:marLeft w:val="0"/>
                      <w:marRight w:val="0"/>
                      <w:marTop w:val="30"/>
                      <w:marBottom w:val="30"/>
                      <w:divBdr>
                        <w:top w:val="none" w:sz="0" w:space="0" w:color="auto"/>
                        <w:left w:val="none" w:sz="0" w:space="0" w:color="auto"/>
                        <w:bottom w:val="none" w:sz="0" w:space="0" w:color="auto"/>
                        <w:right w:val="none" w:sz="0" w:space="0" w:color="auto"/>
                      </w:divBdr>
                    </w:div>
                    <w:div w:id="8070142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37054614">
          <w:marLeft w:val="0"/>
          <w:marRight w:val="0"/>
          <w:marTop w:val="0"/>
          <w:marBottom w:val="0"/>
          <w:divBdr>
            <w:top w:val="none" w:sz="0" w:space="0" w:color="auto"/>
            <w:left w:val="none" w:sz="0" w:space="0" w:color="auto"/>
            <w:bottom w:val="none" w:sz="0" w:space="0" w:color="auto"/>
            <w:right w:val="single" w:sz="24" w:space="0" w:color="008000"/>
          </w:divBdr>
          <w:divsChild>
            <w:div w:id="1468931754">
              <w:marLeft w:val="0"/>
              <w:marRight w:val="0"/>
              <w:marTop w:val="0"/>
              <w:marBottom w:val="0"/>
              <w:divBdr>
                <w:top w:val="none" w:sz="0" w:space="0" w:color="auto"/>
                <w:left w:val="none" w:sz="0" w:space="0" w:color="auto"/>
                <w:bottom w:val="none" w:sz="0" w:space="0" w:color="auto"/>
                <w:right w:val="none" w:sz="0" w:space="0" w:color="auto"/>
              </w:divBdr>
              <w:divsChild>
                <w:div w:id="1351225197">
                  <w:marLeft w:val="0"/>
                  <w:marRight w:val="0"/>
                  <w:marTop w:val="0"/>
                  <w:marBottom w:val="0"/>
                  <w:divBdr>
                    <w:top w:val="none" w:sz="0" w:space="0" w:color="auto"/>
                    <w:left w:val="none" w:sz="0" w:space="0" w:color="auto"/>
                    <w:bottom w:val="none" w:sz="0" w:space="0" w:color="auto"/>
                    <w:right w:val="none" w:sz="0" w:space="0" w:color="auto"/>
                  </w:divBdr>
                  <w:divsChild>
                    <w:div w:id="143971904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622345888">
      <w:bodyDiv w:val="1"/>
      <w:marLeft w:val="0"/>
      <w:marRight w:val="0"/>
      <w:marTop w:val="0"/>
      <w:marBottom w:val="0"/>
      <w:divBdr>
        <w:top w:val="none" w:sz="0" w:space="0" w:color="auto"/>
        <w:left w:val="none" w:sz="0" w:space="0" w:color="auto"/>
        <w:bottom w:val="none" w:sz="0" w:space="0" w:color="auto"/>
        <w:right w:val="none" w:sz="0" w:space="0" w:color="auto"/>
      </w:divBdr>
      <w:divsChild>
        <w:div w:id="1214461982">
          <w:marLeft w:val="0"/>
          <w:marRight w:val="0"/>
          <w:marTop w:val="30"/>
          <w:marBottom w:val="30"/>
          <w:divBdr>
            <w:top w:val="none" w:sz="0" w:space="0" w:color="auto"/>
            <w:left w:val="none" w:sz="0" w:space="0" w:color="auto"/>
            <w:bottom w:val="none" w:sz="0" w:space="0" w:color="auto"/>
            <w:right w:val="none" w:sz="0" w:space="0" w:color="auto"/>
          </w:divBdr>
        </w:div>
        <w:div w:id="878083250">
          <w:marLeft w:val="0"/>
          <w:marRight w:val="0"/>
          <w:marTop w:val="0"/>
          <w:marBottom w:val="30"/>
          <w:divBdr>
            <w:top w:val="none" w:sz="0" w:space="0" w:color="auto"/>
            <w:left w:val="none" w:sz="0" w:space="0" w:color="auto"/>
            <w:bottom w:val="none" w:sz="0" w:space="0" w:color="auto"/>
            <w:right w:val="none" w:sz="0" w:space="0" w:color="auto"/>
          </w:divBdr>
        </w:div>
      </w:divsChild>
    </w:div>
    <w:div w:id="1888907562">
      <w:bodyDiv w:val="1"/>
      <w:marLeft w:val="0"/>
      <w:marRight w:val="0"/>
      <w:marTop w:val="0"/>
      <w:marBottom w:val="0"/>
      <w:divBdr>
        <w:top w:val="none" w:sz="0" w:space="0" w:color="auto"/>
        <w:left w:val="none" w:sz="0" w:space="0" w:color="auto"/>
        <w:bottom w:val="none" w:sz="0" w:space="0" w:color="auto"/>
        <w:right w:val="none" w:sz="0" w:space="0" w:color="auto"/>
      </w:divBdr>
      <w:divsChild>
        <w:div w:id="620258818">
          <w:marLeft w:val="0"/>
          <w:marRight w:val="0"/>
          <w:marTop w:val="30"/>
          <w:marBottom w:val="30"/>
          <w:divBdr>
            <w:top w:val="none" w:sz="0" w:space="0" w:color="auto"/>
            <w:left w:val="none" w:sz="0" w:space="0" w:color="auto"/>
            <w:bottom w:val="none" w:sz="0" w:space="0" w:color="auto"/>
            <w:right w:val="none" w:sz="0" w:space="0" w:color="auto"/>
          </w:divBdr>
        </w:div>
        <w:div w:id="471675223">
          <w:marLeft w:val="0"/>
          <w:marRight w:val="0"/>
          <w:marTop w:val="0"/>
          <w:marBottom w:val="30"/>
          <w:divBdr>
            <w:top w:val="none" w:sz="0" w:space="0" w:color="auto"/>
            <w:left w:val="none" w:sz="0" w:space="0" w:color="auto"/>
            <w:bottom w:val="none" w:sz="0" w:space="0" w:color="auto"/>
            <w:right w:val="none" w:sz="0" w:space="0" w:color="auto"/>
          </w:divBdr>
        </w:div>
      </w:divsChild>
    </w:div>
    <w:div w:id="1927495044">
      <w:bodyDiv w:val="1"/>
      <w:marLeft w:val="0"/>
      <w:marRight w:val="0"/>
      <w:marTop w:val="0"/>
      <w:marBottom w:val="0"/>
      <w:divBdr>
        <w:top w:val="none" w:sz="0" w:space="0" w:color="auto"/>
        <w:left w:val="none" w:sz="0" w:space="0" w:color="auto"/>
        <w:bottom w:val="none" w:sz="0" w:space="0" w:color="auto"/>
        <w:right w:val="none" w:sz="0" w:space="0" w:color="auto"/>
      </w:divBdr>
      <w:divsChild>
        <w:div w:id="1013843901">
          <w:marLeft w:val="0"/>
          <w:marRight w:val="0"/>
          <w:marTop w:val="0"/>
          <w:marBottom w:val="0"/>
          <w:divBdr>
            <w:top w:val="single" w:sz="6" w:space="4" w:color="808080"/>
            <w:left w:val="none" w:sz="0" w:space="0" w:color="auto"/>
            <w:bottom w:val="none" w:sz="0" w:space="0" w:color="auto"/>
            <w:right w:val="single" w:sz="24" w:space="0" w:color="000080"/>
          </w:divBdr>
          <w:divsChild>
            <w:div w:id="1289093655">
              <w:marLeft w:val="0"/>
              <w:marRight w:val="0"/>
              <w:marTop w:val="0"/>
              <w:marBottom w:val="0"/>
              <w:divBdr>
                <w:top w:val="none" w:sz="0" w:space="0" w:color="auto"/>
                <w:left w:val="none" w:sz="0" w:space="0" w:color="auto"/>
                <w:bottom w:val="none" w:sz="0" w:space="0" w:color="auto"/>
                <w:right w:val="none" w:sz="0" w:space="0" w:color="auto"/>
              </w:divBdr>
              <w:divsChild>
                <w:div w:id="932321143">
                  <w:marLeft w:val="0"/>
                  <w:marRight w:val="0"/>
                  <w:marTop w:val="0"/>
                  <w:marBottom w:val="0"/>
                  <w:divBdr>
                    <w:top w:val="none" w:sz="0" w:space="0" w:color="auto"/>
                    <w:left w:val="none" w:sz="0" w:space="0" w:color="auto"/>
                    <w:bottom w:val="none" w:sz="0" w:space="0" w:color="auto"/>
                    <w:right w:val="none" w:sz="0" w:space="0" w:color="auto"/>
                  </w:divBdr>
                  <w:divsChild>
                    <w:div w:id="34093718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877350903">
          <w:marLeft w:val="0"/>
          <w:marRight w:val="0"/>
          <w:marTop w:val="0"/>
          <w:marBottom w:val="0"/>
          <w:divBdr>
            <w:top w:val="none" w:sz="0" w:space="0" w:color="auto"/>
            <w:left w:val="none" w:sz="0" w:space="0" w:color="auto"/>
            <w:bottom w:val="none" w:sz="0" w:space="0" w:color="auto"/>
            <w:right w:val="single" w:sz="24" w:space="0" w:color="000080"/>
          </w:divBdr>
          <w:divsChild>
            <w:div w:id="584996639">
              <w:marLeft w:val="0"/>
              <w:marRight w:val="0"/>
              <w:marTop w:val="0"/>
              <w:marBottom w:val="0"/>
              <w:divBdr>
                <w:top w:val="none" w:sz="0" w:space="0" w:color="auto"/>
                <w:left w:val="none" w:sz="0" w:space="0" w:color="auto"/>
                <w:bottom w:val="none" w:sz="0" w:space="0" w:color="auto"/>
                <w:right w:val="none" w:sz="0" w:space="0" w:color="auto"/>
              </w:divBdr>
              <w:divsChild>
                <w:div w:id="600650466">
                  <w:marLeft w:val="0"/>
                  <w:marRight w:val="0"/>
                  <w:marTop w:val="0"/>
                  <w:marBottom w:val="0"/>
                  <w:divBdr>
                    <w:top w:val="none" w:sz="0" w:space="0" w:color="auto"/>
                    <w:left w:val="none" w:sz="0" w:space="0" w:color="auto"/>
                    <w:bottom w:val="none" w:sz="0" w:space="0" w:color="auto"/>
                    <w:right w:val="none" w:sz="0" w:space="0" w:color="auto"/>
                  </w:divBdr>
                  <w:divsChild>
                    <w:div w:id="162766273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806776231">
          <w:marLeft w:val="0"/>
          <w:marRight w:val="0"/>
          <w:marTop w:val="0"/>
          <w:marBottom w:val="0"/>
          <w:divBdr>
            <w:top w:val="none" w:sz="0" w:space="0" w:color="auto"/>
            <w:left w:val="none" w:sz="0" w:space="0" w:color="auto"/>
            <w:bottom w:val="none" w:sz="0" w:space="0" w:color="auto"/>
            <w:right w:val="single" w:sz="24" w:space="0" w:color="000080"/>
          </w:divBdr>
          <w:divsChild>
            <w:div w:id="170485520">
              <w:marLeft w:val="0"/>
              <w:marRight w:val="0"/>
              <w:marTop w:val="0"/>
              <w:marBottom w:val="0"/>
              <w:divBdr>
                <w:top w:val="none" w:sz="0" w:space="0" w:color="auto"/>
                <w:left w:val="none" w:sz="0" w:space="0" w:color="auto"/>
                <w:bottom w:val="none" w:sz="0" w:space="0" w:color="auto"/>
                <w:right w:val="none" w:sz="0" w:space="0" w:color="auto"/>
              </w:divBdr>
              <w:divsChild>
                <w:div w:id="671493630">
                  <w:marLeft w:val="0"/>
                  <w:marRight w:val="0"/>
                  <w:marTop w:val="0"/>
                  <w:marBottom w:val="0"/>
                  <w:divBdr>
                    <w:top w:val="none" w:sz="0" w:space="0" w:color="auto"/>
                    <w:left w:val="none" w:sz="0" w:space="0" w:color="auto"/>
                    <w:bottom w:val="none" w:sz="0" w:space="0" w:color="auto"/>
                    <w:right w:val="none" w:sz="0" w:space="0" w:color="auto"/>
                  </w:divBdr>
                  <w:divsChild>
                    <w:div w:id="393772042">
                      <w:marLeft w:val="0"/>
                      <w:marRight w:val="0"/>
                      <w:marTop w:val="30"/>
                      <w:marBottom w:val="30"/>
                      <w:divBdr>
                        <w:top w:val="none" w:sz="0" w:space="0" w:color="auto"/>
                        <w:left w:val="none" w:sz="0" w:space="0" w:color="auto"/>
                        <w:bottom w:val="none" w:sz="0" w:space="0" w:color="auto"/>
                        <w:right w:val="none" w:sz="0" w:space="0" w:color="auto"/>
                      </w:divBdr>
                    </w:div>
                    <w:div w:id="114111900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22442522">
          <w:marLeft w:val="0"/>
          <w:marRight w:val="0"/>
          <w:marTop w:val="0"/>
          <w:marBottom w:val="0"/>
          <w:divBdr>
            <w:top w:val="none" w:sz="0" w:space="0" w:color="auto"/>
            <w:left w:val="none" w:sz="0" w:space="0" w:color="auto"/>
            <w:bottom w:val="none" w:sz="0" w:space="0" w:color="auto"/>
            <w:right w:val="single" w:sz="24" w:space="0" w:color="000080"/>
          </w:divBdr>
          <w:divsChild>
            <w:div w:id="1384062274">
              <w:marLeft w:val="0"/>
              <w:marRight w:val="0"/>
              <w:marTop w:val="0"/>
              <w:marBottom w:val="0"/>
              <w:divBdr>
                <w:top w:val="none" w:sz="0" w:space="0" w:color="auto"/>
                <w:left w:val="none" w:sz="0" w:space="0" w:color="auto"/>
                <w:bottom w:val="none" w:sz="0" w:space="0" w:color="auto"/>
                <w:right w:val="none" w:sz="0" w:space="0" w:color="auto"/>
              </w:divBdr>
              <w:divsChild>
                <w:div w:id="436829849">
                  <w:marLeft w:val="0"/>
                  <w:marRight w:val="0"/>
                  <w:marTop w:val="0"/>
                  <w:marBottom w:val="0"/>
                  <w:divBdr>
                    <w:top w:val="none" w:sz="0" w:space="0" w:color="auto"/>
                    <w:left w:val="none" w:sz="0" w:space="0" w:color="auto"/>
                    <w:bottom w:val="none" w:sz="0" w:space="0" w:color="auto"/>
                    <w:right w:val="none" w:sz="0" w:space="0" w:color="auto"/>
                  </w:divBdr>
                  <w:divsChild>
                    <w:div w:id="52595163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64919911">
      <w:bodyDiv w:val="1"/>
      <w:marLeft w:val="0"/>
      <w:marRight w:val="0"/>
      <w:marTop w:val="0"/>
      <w:marBottom w:val="0"/>
      <w:divBdr>
        <w:top w:val="none" w:sz="0" w:space="0" w:color="auto"/>
        <w:left w:val="none" w:sz="0" w:space="0" w:color="auto"/>
        <w:bottom w:val="none" w:sz="0" w:space="0" w:color="auto"/>
        <w:right w:val="none" w:sz="0" w:space="0" w:color="auto"/>
      </w:divBdr>
      <w:divsChild>
        <w:div w:id="1598559584">
          <w:marLeft w:val="0"/>
          <w:marRight w:val="0"/>
          <w:marTop w:val="0"/>
          <w:marBottom w:val="0"/>
          <w:divBdr>
            <w:top w:val="single" w:sz="6" w:space="4" w:color="808080"/>
            <w:left w:val="none" w:sz="0" w:space="0" w:color="auto"/>
            <w:bottom w:val="none" w:sz="0" w:space="0" w:color="auto"/>
            <w:right w:val="single" w:sz="24" w:space="0" w:color="008000"/>
          </w:divBdr>
          <w:divsChild>
            <w:div w:id="505445385">
              <w:marLeft w:val="0"/>
              <w:marRight w:val="0"/>
              <w:marTop w:val="0"/>
              <w:marBottom w:val="0"/>
              <w:divBdr>
                <w:top w:val="none" w:sz="0" w:space="0" w:color="auto"/>
                <w:left w:val="none" w:sz="0" w:space="0" w:color="auto"/>
                <w:bottom w:val="none" w:sz="0" w:space="0" w:color="auto"/>
                <w:right w:val="none" w:sz="0" w:space="0" w:color="auto"/>
              </w:divBdr>
              <w:divsChild>
                <w:div w:id="1737123281">
                  <w:marLeft w:val="0"/>
                  <w:marRight w:val="0"/>
                  <w:marTop w:val="0"/>
                  <w:marBottom w:val="0"/>
                  <w:divBdr>
                    <w:top w:val="none" w:sz="0" w:space="0" w:color="auto"/>
                    <w:left w:val="none" w:sz="0" w:space="0" w:color="auto"/>
                    <w:bottom w:val="none" w:sz="0" w:space="0" w:color="auto"/>
                    <w:right w:val="none" w:sz="0" w:space="0" w:color="auto"/>
                  </w:divBdr>
                  <w:divsChild>
                    <w:div w:id="1946450919">
                      <w:marLeft w:val="0"/>
                      <w:marRight w:val="0"/>
                      <w:marTop w:val="30"/>
                      <w:marBottom w:val="30"/>
                      <w:divBdr>
                        <w:top w:val="none" w:sz="0" w:space="0" w:color="auto"/>
                        <w:left w:val="none" w:sz="0" w:space="0" w:color="auto"/>
                        <w:bottom w:val="none" w:sz="0" w:space="0" w:color="auto"/>
                        <w:right w:val="none" w:sz="0" w:space="0" w:color="auto"/>
                      </w:divBdr>
                    </w:div>
                    <w:div w:id="207515354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8256903">
              <w:marLeft w:val="0"/>
              <w:marRight w:val="0"/>
              <w:marTop w:val="0"/>
              <w:marBottom w:val="0"/>
              <w:divBdr>
                <w:top w:val="none" w:sz="0" w:space="0" w:color="auto"/>
                <w:left w:val="none" w:sz="0" w:space="0" w:color="auto"/>
                <w:bottom w:val="none" w:sz="0" w:space="0" w:color="auto"/>
                <w:right w:val="none" w:sz="0" w:space="0" w:color="auto"/>
              </w:divBdr>
            </w:div>
          </w:divsChild>
        </w:div>
        <w:div w:id="1714115489">
          <w:marLeft w:val="0"/>
          <w:marRight w:val="0"/>
          <w:marTop w:val="0"/>
          <w:marBottom w:val="0"/>
          <w:divBdr>
            <w:top w:val="none" w:sz="0" w:space="0" w:color="auto"/>
            <w:left w:val="none" w:sz="0" w:space="0" w:color="auto"/>
            <w:bottom w:val="none" w:sz="0" w:space="0" w:color="auto"/>
            <w:right w:val="single" w:sz="24" w:space="0" w:color="008000"/>
          </w:divBdr>
          <w:divsChild>
            <w:div w:id="617951171">
              <w:marLeft w:val="0"/>
              <w:marRight w:val="0"/>
              <w:marTop w:val="0"/>
              <w:marBottom w:val="0"/>
              <w:divBdr>
                <w:top w:val="none" w:sz="0" w:space="0" w:color="auto"/>
                <w:left w:val="none" w:sz="0" w:space="0" w:color="auto"/>
                <w:bottom w:val="none" w:sz="0" w:space="0" w:color="auto"/>
                <w:right w:val="none" w:sz="0" w:space="0" w:color="auto"/>
              </w:divBdr>
              <w:divsChild>
                <w:div w:id="834151941">
                  <w:marLeft w:val="0"/>
                  <w:marRight w:val="0"/>
                  <w:marTop w:val="0"/>
                  <w:marBottom w:val="0"/>
                  <w:divBdr>
                    <w:top w:val="none" w:sz="0" w:space="0" w:color="auto"/>
                    <w:left w:val="none" w:sz="0" w:space="0" w:color="auto"/>
                    <w:bottom w:val="none" w:sz="0" w:space="0" w:color="auto"/>
                    <w:right w:val="none" w:sz="0" w:space="0" w:color="auto"/>
                  </w:divBdr>
                  <w:divsChild>
                    <w:div w:id="58866178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1241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Brehan</dc:creator>
  <cp:lastModifiedBy>Jun, Julie</cp:lastModifiedBy>
  <cp:revision>26</cp:revision>
  <dcterms:created xsi:type="dcterms:W3CDTF">2023-09-06T18:36:00Z</dcterms:created>
  <dcterms:modified xsi:type="dcterms:W3CDTF">2023-09-19T23:59:00Z</dcterms:modified>
</cp:coreProperties>
</file>