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582" w:type="dxa"/>
        <w:tblLayout w:type="fixed"/>
        <w:tblLook w:val="04A0" w:firstRow="1" w:lastRow="0" w:firstColumn="1" w:lastColumn="0" w:noHBand="0" w:noVBand="1"/>
      </w:tblPr>
      <w:tblGrid>
        <w:gridCol w:w="686"/>
        <w:gridCol w:w="8896"/>
      </w:tblGrid>
      <w:tr w:rsidR="00DE3DB3" w:rsidRPr="00BE5C50" w14:paraId="57E5FA42" w14:textId="77777777" w:rsidTr="000E2917">
        <w:trPr>
          <w:trHeight w:val="710"/>
        </w:trPr>
        <w:tc>
          <w:tcPr>
            <w:tcW w:w="9582" w:type="dxa"/>
            <w:gridSpan w:val="2"/>
            <w:shd w:val="clear" w:color="auto" w:fill="FFCC99"/>
            <w:vAlign w:val="center"/>
          </w:tcPr>
          <w:p w14:paraId="77D8EC16" w14:textId="77777777" w:rsidR="00DE3DB3" w:rsidRPr="00A84CB0" w:rsidRDefault="00DE3DB3" w:rsidP="00DE3DB3">
            <w:pPr>
              <w:spacing w:beforeLines="60" w:before="144" w:afterLines="60" w:after="144"/>
              <w:jc w:val="center"/>
              <w:rPr>
                <w:b/>
                <w:sz w:val="32"/>
                <w:szCs w:val="32"/>
              </w:rPr>
            </w:pPr>
            <w:r w:rsidRPr="00A84CB0">
              <w:rPr>
                <w:b/>
                <w:sz w:val="32"/>
                <w:szCs w:val="32"/>
              </w:rPr>
              <w:t>Off-Site Questions</w:t>
            </w:r>
          </w:p>
        </w:tc>
      </w:tr>
      <w:tr w:rsidR="009B2BBE" w:rsidRPr="00BE5C50" w14:paraId="0EA2160D" w14:textId="77777777" w:rsidTr="00BE5C50">
        <w:trPr>
          <w:trHeight w:val="3049"/>
        </w:trPr>
        <w:tc>
          <w:tcPr>
            <w:tcW w:w="686" w:type="dxa"/>
            <w:shd w:val="clear" w:color="auto" w:fill="auto"/>
          </w:tcPr>
          <w:p w14:paraId="2CBE8FF8" w14:textId="77777777" w:rsidR="009B2BBE" w:rsidRPr="00BE5C50" w:rsidRDefault="009B2BBE" w:rsidP="00047182">
            <w:pPr>
              <w:spacing w:beforeLines="60" w:before="144" w:afterLines="60" w:after="144"/>
            </w:pPr>
            <w:r w:rsidRPr="00BE5C50">
              <w:t>200.</w:t>
            </w:r>
          </w:p>
        </w:tc>
        <w:tc>
          <w:tcPr>
            <w:tcW w:w="8896" w:type="dxa"/>
          </w:tcPr>
          <w:p w14:paraId="25A5D657" w14:textId="77777777" w:rsidR="009B2BBE" w:rsidRPr="00BE5C50" w:rsidRDefault="009B2BBE" w:rsidP="00047182">
            <w:pPr>
              <w:spacing w:beforeLines="60" w:before="144" w:afterLines="60" w:after="144"/>
            </w:pPr>
            <w:r w:rsidRPr="00BE5C50">
              <w:t>Obtain a copy of the SFA’s most recently submitted FNS-742 (Verification Collection Report)</w:t>
            </w:r>
          </w:p>
          <w:p w14:paraId="661C98C0" w14:textId="77777777" w:rsidR="009B2BBE" w:rsidRPr="00BE5C50" w:rsidRDefault="009B2BBE" w:rsidP="00047182">
            <w:pPr>
              <w:spacing w:beforeLines="60" w:before="144" w:afterLines="60" w:after="144"/>
              <w:rPr>
                <w:b/>
              </w:rPr>
            </w:pPr>
            <w:r w:rsidRPr="00BE5C50">
              <w:t>Did the SFA choose the correct verification sample size?</w:t>
            </w:r>
          </w:p>
          <w:p w14:paraId="721CF316" w14:textId="77777777" w:rsidR="009B2BBE" w:rsidRPr="00BE5C50" w:rsidRDefault="009B2BBE" w:rsidP="00047182">
            <w:pPr>
              <w:spacing w:beforeLines="60" w:before="144" w:afterLines="60" w:after="144"/>
              <w:rPr>
                <w:b/>
              </w:rPr>
            </w:pPr>
            <w:r w:rsidRPr="00BE5C50">
              <w:t>Did the SFA verify the correct number of applications based on their verification sample size?</w:t>
            </w:r>
          </w:p>
          <w:p w14:paraId="5BA67E10" w14:textId="77777777" w:rsidR="009B2BBE" w:rsidRPr="00BE5C50" w:rsidRDefault="009B2BBE" w:rsidP="00047182">
            <w:pPr>
              <w:spacing w:beforeLines="60" w:before="144" w:afterLines="60" w:after="144"/>
            </w:pPr>
            <w:r w:rsidRPr="00BE5C50">
              <w:t xml:space="preserve">Was the most recent report timely and accurate? </w:t>
            </w:r>
          </w:p>
          <w:p w14:paraId="1D3F1B62" w14:textId="77777777" w:rsidR="009B2BBE" w:rsidRPr="00BE5C50" w:rsidRDefault="009B2BBE" w:rsidP="00047182">
            <w:pPr>
              <w:spacing w:beforeLines="60" w:before="144" w:afterLines="60" w:after="144"/>
            </w:pPr>
            <w:r w:rsidRPr="00BE5C50">
              <w:t>If no, is this a recurring problem?</w:t>
            </w:r>
          </w:p>
          <w:p w14:paraId="190A43D7" w14:textId="77777777" w:rsidR="00635D7D" w:rsidRDefault="000E2917" w:rsidP="000E2917">
            <w:pPr>
              <w:spacing w:beforeLines="60" w:before="144" w:afterLines="60" w:after="144"/>
              <w:rPr>
                <w:color w:val="FF0000"/>
              </w:rPr>
            </w:pPr>
            <w:r w:rsidRPr="00C33E60">
              <w:rPr>
                <w:b/>
                <w:color w:val="FF0000"/>
              </w:rPr>
              <w:t>Tips:</w:t>
            </w:r>
            <w:r w:rsidRPr="00C33E60">
              <w:rPr>
                <w:color w:val="FF0000"/>
              </w:rPr>
              <w:t xml:space="preserve"> The verification collection report must be submitted on time without errors by </w:t>
            </w:r>
            <w:r>
              <w:rPr>
                <w:color w:val="FF0000"/>
              </w:rPr>
              <w:t>February</w:t>
            </w:r>
            <w:r w:rsidRPr="00C33E60">
              <w:rPr>
                <w:color w:val="FF0000"/>
              </w:rPr>
              <w:t xml:space="preserve"> 1</w:t>
            </w:r>
            <w:r w:rsidRPr="000D0DAA">
              <w:rPr>
                <w:color w:val="FF0000"/>
                <w:vertAlign w:val="superscript"/>
              </w:rPr>
              <w:t>st</w:t>
            </w:r>
            <w:r w:rsidRPr="00C33E60">
              <w:rPr>
                <w:color w:val="FF0000"/>
              </w:rPr>
              <w:t xml:space="preserve">. The report must show an accurate picture of applications as of October 1, student count as of October 31 and the correct number of verified applications. </w:t>
            </w:r>
          </w:p>
          <w:p w14:paraId="39D93C4A" w14:textId="77777777" w:rsidR="000E2917" w:rsidRPr="000E2917" w:rsidRDefault="000E2917" w:rsidP="000E2917">
            <w:pPr>
              <w:spacing w:beforeLines="60" w:before="144" w:afterLines="60" w:after="144"/>
              <w:rPr>
                <w:b/>
                <w:color w:val="FF0000"/>
              </w:rPr>
            </w:pPr>
            <w:r w:rsidRPr="000E2917">
              <w:rPr>
                <w:b/>
                <w:color w:val="FF0000"/>
              </w:rPr>
              <w:t xml:space="preserve">Resources: </w:t>
            </w:r>
          </w:p>
          <w:p w14:paraId="5DEAAAAA" w14:textId="4307BCC2" w:rsidR="000E2917" w:rsidRPr="000E2917" w:rsidRDefault="000E2917" w:rsidP="000E2917">
            <w:pPr>
              <w:spacing w:beforeLines="60" w:before="144" w:afterLines="60" w:after="144"/>
              <w:rPr>
                <w:color w:val="FF0000"/>
              </w:rPr>
            </w:pPr>
            <w:r>
              <w:rPr>
                <w:color w:val="FF0000"/>
              </w:rPr>
              <w:t xml:space="preserve">Verification Collection Report Training: </w:t>
            </w:r>
            <w:hyperlink r:id="rId7" w:history="1">
              <w:r w:rsidR="00C67A68" w:rsidRPr="00730CE8">
                <w:rPr>
                  <w:rStyle w:val="Hyperlink"/>
                </w:rPr>
                <w:t>https://www.cde.state.co.us/nutrition/schoolmealeligibility#verification</w:t>
              </w:r>
            </w:hyperlink>
            <w:r w:rsidR="00C67A68">
              <w:rPr>
                <w:color w:val="FF0000"/>
              </w:rPr>
              <w:t xml:space="preserve">. </w:t>
            </w:r>
          </w:p>
        </w:tc>
      </w:tr>
      <w:tr w:rsidR="00DE3DB3" w:rsidRPr="00BE5C50" w14:paraId="18F04AFB" w14:textId="77777777" w:rsidTr="00BE5C50">
        <w:trPr>
          <w:trHeight w:val="836"/>
        </w:trPr>
        <w:tc>
          <w:tcPr>
            <w:tcW w:w="686" w:type="dxa"/>
            <w:shd w:val="clear" w:color="auto" w:fill="auto"/>
          </w:tcPr>
          <w:p w14:paraId="7B349F7A" w14:textId="77777777" w:rsidR="00DE3DB3" w:rsidRPr="00BE5C50" w:rsidRDefault="00DE3DB3" w:rsidP="00047182">
            <w:pPr>
              <w:spacing w:beforeLines="60" w:before="144" w:afterLines="60" w:after="144"/>
            </w:pPr>
            <w:r w:rsidRPr="00BE5C50">
              <w:t>201.</w:t>
            </w:r>
          </w:p>
        </w:tc>
        <w:tc>
          <w:tcPr>
            <w:tcW w:w="8896" w:type="dxa"/>
            <w:vAlign w:val="center"/>
          </w:tcPr>
          <w:p w14:paraId="2CD6F259" w14:textId="77777777" w:rsidR="00DE3DB3" w:rsidRPr="00BE5C50" w:rsidRDefault="00DE3DB3" w:rsidP="00047182">
            <w:pPr>
              <w:spacing w:beforeLines="60" w:before="144" w:afterLines="60" w:after="144"/>
              <w:contextualSpacing/>
              <w:rPr>
                <w:rFonts w:eastAsia="Times New Roman" w:cs="Calibri"/>
                <w:color w:val="000000"/>
              </w:rPr>
            </w:pPr>
            <w:r w:rsidRPr="00BE5C50">
              <w:rPr>
                <w:rFonts w:eastAsia="Times New Roman" w:cs="Calibri"/>
                <w:color w:val="000000"/>
              </w:rPr>
              <w:t xml:space="preserve">Who serves as the SFA’s verifying official? </w:t>
            </w:r>
          </w:p>
          <w:p w14:paraId="4D1C10E1" w14:textId="77777777" w:rsidR="00DE3DB3" w:rsidRPr="00BE5C50" w:rsidRDefault="00DE3DB3" w:rsidP="00047182">
            <w:pPr>
              <w:spacing w:beforeLines="60" w:before="144" w:afterLines="60" w:after="144"/>
              <w:rPr>
                <w:rFonts w:eastAsia="Times New Roman" w:cs="Calibri"/>
                <w:color w:val="000000"/>
              </w:rPr>
            </w:pPr>
            <w:r w:rsidRPr="00BE5C50">
              <w:rPr>
                <w:rFonts w:eastAsia="Times New Roman" w:cs="Calibri"/>
                <w:color w:val="000000"/>
              </w:rPr>
              <w:t>(Name and/or position title):</w:t>
            </w:r>
          </w:p>
          <w:p w14:paraId="48C06BB1" w14:textId="77777777" w:rsidR="00975C18" w:rsidRPr="000E2917" w:rsidRDefault="000E2917" w:rsidP="00A84CB0">
            <w:pPr>
              <w:spacing w:beforeLines="60" w:before="144" w:afterLines="60" w:after="144"/>
              <w:rPr>
                <w:color w:val="FF0000"/>
              </w:rPr>
            </w:pPr>
            <w:r w:rsidRPr="00C33E60">
              <w:rPr>
                <w:b/>
                <w:color w:val="FF0000"/>
              </w:rPr>
              <w:t>Tips:</w:t>
            </w:r>
            <w:r w:rsidRPr="00C33E60">
              <w:rPr>
                <w:color w:val="FF0000"/>
              </w:rPr>
              <w:t xml:space="preserve"> The verifying official </w:t>
            </w:r>
            <w:r>
              <w:rPr>
                <w:color w:val="FF0000"/>
              </w:rPr>
              <w:t>must</w:t>
            </w:r>
            <w:r w:rsidRPr="00C33E60">
              <w:rPr>
                <w:color w:val="FF0000"/>
              </w:rPr>
              <w:t xml:space="preserve"> have some knowledge of the certification and benefit issuance process. They are responsible for conducting verification and reviewing submitted income documentation. This person can be the same as the determining official, but cannot be the same as the hearing official. </w:t>
            </w:r>
          </w:p>
        </w:tc>
      </w:tr>
      <w:tr w:rsidR="00DE3DB3" w:rsidRPr="00BE5C50" w14:paraId="1FBA248D" w14:textId="77777777" w:rsidTr="00BE5C50">
        <w:trPr>
          <w:trHeight w:val="764"/>
        </w:trPr>
        <w:tc>
          <w:tcPr>
            <w:tcW w:w="686" w:type="dxa"/>
            <w:shd w:val="clear" w:color="auto" w:fill="auto"/>
          </w:tcPr>
          <w:p w14:paraId="55794551" w14:textId="77777777" w:rsidR="00DE3DB3" w:rsidRPr="00BE5C50" w:rsidRDefault="00DE3DB3" w:rsidP="00047182">
            <w:pPr>
              <w:spacing w:beforeLines="60" w:before="144" w:afterLines="60" w:after="144"/>
            </w:pPr>
            <w:r w:rsidRPr="00BE5C50">
              <w:t>202.</w:t>
            </w:r>
          </w:p>
        </w:tc>
        <w:tc>
          <w:tcPr>
            <w:tcW w:w="8896" w:type="dxa"/>
            <w:vAlign w:val="center"/>
          </w:tcPr>
          <w:p w14:paraId="28650EDE" w14:textId="77777777" w:rsidR="00DE3DB3" w:rsidRPr="00BE5C50" w:rsidRDefault="00DE3DB3" w:rsidP="00047182">
            <w:pPr>
              <w:spacing w:beforeLines="60" w:before="144" w:afterLines="60" w:after="144"/>
              <w:contextualSpacing/>
              <w:rPr>
                <w:rFonts w:eastAsia="Times New Roman" w:cs="Calibri"/>
                <w:color w:val="000000"/>
              </w:rPr>
            </w:pPr>
            <w:r w:rsidRPr="00BE5C50">
              <w:rPr>
                <w:rFonts w:eastAsia="Times New Roman" w:cs="Calibri"/>
                <w:color w:val="000000"/>
              </w:rPr>
              <w:t xml:space="preserve">Who serves as the confirming official?  </w:t>
            </w:r>
          </w:p>
          <w:p w14:paraId="47F81757" w14:textId="77777777" w:rsidR="007D78B3" w:rsidRPr="00BE5C50" w:rsidRDefault="00DE3DB3" w:rsidP="00047182">
            <w:pPr>
              <w:spacing w:beforeLines="60" w:before="144" w:afterLines="60" w:after="144"/>
              <w:contextualSpacing/>
              <w:rPr>
                <w:rFonts w:eastAsia="Times New Roman" w:cs="Calibri"/>
                <w:color w:val="000000"/>
              </w:rPr>
            </w:pPr>
            <w:r w:rsidRPr="00BE5C50">
              <w:rPr>
                <w:rFonts w:eastAsia="Times New Roman" w:cs="Calibri"/>
                <w:color w:val="000000"/>
              </w:rPr>
              <w:t>(Name and/or position title or software used is acceptable):</w:t>
            </w:r>
          </w:p>
          <w:p w14:paraId="13A44365" w14:textId="77777777" w:rsidR="002A0FDE" w:rsidRPr="00BE5C50" w:rsidRDefault="000E2917" w:rsidP="000E2917">
            <w:pPr>
              <w:spacing w:beforeLines="60" w:before="144" w:afterLines="60" w:after="144"/>
              <w:contextualSpacing/>
              <w:rPr>
                <w:rFonts w:eastAsia="Times New Roman" w:cs="Calibri"/>
                <w:color w:val="FF0000"/>
              </w:rPr>
            </w:pPr>
            <w:r w:rsidRPr="00C33E60">
              <w:rPr>
                <w:b/>
                <w:color w:val="FF0000"/>
              </w:rPr>
              <w:t>Tips:</w:t>
            </w:r>
            <w:r w:rsidRPr="00C33E60">
              <w:rPr>
                <w:color w:val="FF0000"/>
              </w:rPr>
              <w:t xml:space="preserve"> </w:t>
            </w:r>
            <w:r>
              <w:rPr>
                <w:color w:val="FF0000"/>
              </w:rPr>
              <w:t xml:space="preserve">Applications selected for verification must be have the initial determination reviewed by a staff </w:t>
            </w:r>
            <w:r w:rsidRPr="00552AD9">
              <w:rPr>
                <w:color w:val="FF0000"/>
              </w:rPr>
              <w:t xml:space="preserve">member whom did not make the initial eligibility determination. The confirming official must ensure the initial eligibility was determined correctly prior to proceeding any verification activities. </w:t>
            </w:r>
          </w:p>
        </w:tc>
      </w:tr>
      <w:tr w:rsidR="00DE3DB3" w:rsidRPr="00BE5C50" w14:paraId="6F7539CA" w14:textId="77777777" w:rsidTr="00BE5C50">
        <w:trPr>
          <w:trHeight w:val="530"/>
        </w:trPr>
        <w:tc>
          <w:tcPr>
            <w:tcW w:w="686" w:type="dxa"/>
            <w:shd w:val="clear" w:color="auto" w:fill="auto"/>
          </w:tcPr>
          <w:p w14:paraId="43190B2A" w14:textId="77777777" w:rsidR="00DE3DB3" w:rsidRPr="00BE5C50" w:rsidRDefault="00DE3DB3" w:rsidP="00047182">
            <w:pPr>
              <w:spacing w:beforeLines="60" w:before="144" w:afterLines="60" w:after="144"/>
            </w:pPr>
            <w:r w:rsidRPr="00BE5C50">
              <w:t>203.</w:t>
            </w:r>
          </w:p>
        </w:tc>
        <w:tc>
          <w:tcPr>
            <w:tcW w:w="8896" w:type="dxa"/>
          </w:tcPr>
          <w:p w14:paraId="32CE3136" w14:textId="77777777" w:rsidR="00DE3DB3" w:rsidRPr="00BE5C50" w:rsidRDefault="00DE3DB3" w:rsidP="00047182">
            <w:pPr>
              <w:spacing w:beforeLines="60" w:before="144" w:afterLines="60" w:after="144"/>
            </w:pPr>
            <w:r w:rsidRPr="00BE5C50">
              <w:t>Describe the SFA’s verification process (including SFA’s verification for cause process).</w:t>
            </w:r>
          </w:p>
          <w:p w14:paraId="2B42AE20" w14:textId="77777777" w:rsidR="000E2917" w:rsidRPr="00C33E60" w:rsidRDefault="000E2917" w:rsidP="000E2917">
            <w:pPr>
              <w:spacing w:beforeLines="60" w:before="144" w:afterLines="60" w:after="144"/>
              <w:rPr>
                <w:color w:val="FF0000"/>
              </w:rPr>
            </w:pPr>
            <w:r w:rsidRPr="00C33E60">
              <w:rPr>
                <w:b/>
                <w:color w:val="FF0000"/>
              </w:rPr>
              <w:t>Tips:</w:t>
            </w:r>
            <w:r w:rsidRPr="00C33E60">
              <w:rPr>
                <w:color w:val="FF0000"/>
              </w:rPr>
              <w:t xml:space="preserve"> Describe the SFA’s annual verification process in detail.  For example: </w:t>
            </w:r>
          </w:p>
          <w:p w14:paraId="381EBC5F" w14:textId="77777777" w:rsidR="000E2917" w:rsidRPr="00C33E60" w:rsidRDefault="000E2917" w:rsidP="000E2917">
            <w:pPr>
              <w:spacing w:beforeLines="60" w:before="144" w:afterLines="60" w:after="144"/>
              <w:ind w:left="720"/>
              <w:rPr>
                <w:color w:val="FF0000"/>
              </w:rPr>
            </w:pPr>
            <w:r w:rsidRPr="00C33E60">
              <w:rPr>
                <w:i/>
                <w:color w:val="FF0000"/>
              </w:rPr>
              <w:t xml:space="preserve">All the applications are gathered and counted. The 3% sample size is determined. The </w:t>
            </w:r>
            <w:r>
              <w:rPr>
                <w:i/>
                <w:color w:val="FF0000"/>
              </w:rPr>
              <w:t>error-prone</w:t>
            </w:r>
            <w:r w:rsidRPr="00C33E60">
              <w:rPr>
                <w:i/>
                <w:color w:val="FF0000"/>
              </w:rPr>
              <w:t xml:space="preserve"> applications are used first for the verification sample size. Then, the remainder of the applications are randomly chosen until the sample size is </w:t>
            </w:r>
            <w:r>
              <w:rPr>
                <w:i/>
                <w:color w:val="FF0000"/>
              </w:rPr>
              <w:t xml:space="preserve">fulfilled. </w:t>
            </w:r>
            <w:r w:rsidRPr="00C33E60">
              <w:rPr>
                <w:i/>
                <w:color w:val="FF0000"/>
              </w:rPr>
              <w:t>A</w:t>
            </w:r>
            <w:r>
              <w:rPr>
                <w:i/>
                <w:color w:val="FF0000"/>
              </w:rPr>
              <w:t xml:space="preserve"> confirmation</w:t>
            </w:r>
            <w:r w:rsidRPr="00C33E60">
              <w:rPr>
                <w:i/>
                <w:color w:val="FF0000"/>
              </w:rPr>
              <w:t xml:space="preserve"> review is done on all the verification applications. The</w:t>
            </w:r>
            <w:r>
              <w:rPr>
                <w:i/>
                <w:color w:val="FF0000"/>
              </w:rPr>
              <w:t>n verification notification packets are sent to selected households</w:t>
            </w:r>
            <w:r w:rsidRPr="00C33E60">
              <w:rPr>
                <w:i/>
                <w:color w:val="FF0000"/>
              </w:rPr>
              <w:t xml:space="preserve">. If there is no response by the deadline date a follow-up call is made. The information submitted by the chosen families is reviewed and the </w:t>
            </w:r>
            <w:r>
              <w:rPr>
                <w:i/>
                <w:color w:val="FF0000"/>
              </w:rPr>
              <w:t>verification r</w:t>
            </w:r>
            <w:r w:rsidRPr="00C33E60">
              <w:rPr>
                <w:i/>
                <w:color w:val="FF0000"/>
              </w:rPr>
              <w:t xml:space="preserve">esults is sent to the households. The Verification Collection Report is submitted to </w:t>
            </w:r>
            <w:r>
              <w:rPr>
                <w:i/>
                <w:color w:val="FF0000"/>
              </w:rPr>
              <w:t xml:space="preserve">School Nutrition. </w:t>
            </w:r>
            <w:r w:rsidRPr="00C33E60">
              <w:rPr>
                <w:i/>
                <w:color w:val="FF0000"/>
              </w:rPr>
              <w:t xml:space="preserve"> </w:t>
            </w:r>
          </w:p>
          <w:p w14:paraId="0E2D4B93" w14:textId="77777777" w:rsidR="00975C18" w:rsidRPr="00BE5C50" w:rsidRDefault="00975C18" w:rsidP="00975C18">
            <w:pPr>
              <w:spacing w:beforeLines="60" w:before="144" w:afterLines="60" w:after="144"/>
              <w:rPr>
                <w:b/>
                <w:color w:val="FF0000"/>
              </w:rPr>
            </w:pPr>
            <w:r w:rsidRPr="00BE5C50">
              <w:rPr>
                <w:b/>
                <w:color w:val="FF0000"/>
              </w:rPr>
              <w:t xml:space="preserve">Resources: </w:t>
            </w:r>
          </w:p>
          <w:p w14:paraId="7AB90FAE" w14:textId="74CD5E82" w:rsidR="00975C18" w:rsidRPr="000E2917" w:rsidRDefault="00975C18" w:rsidP="000E2917">
            <w:pPr>
              <w:spacing w:beforeLines="60" w:before="144" w:afterLines="60" w:after="144"/>
              <w:rPr>
                <w:rStyle w:val="Hyperlink"/>
                <w:color w:val="FF0000"/>
                <w:u w:val="none"/>
              </w:rPr>
            </w:pPr>
            <w:r w:rsidRPr="000E2917">
              <w:rPr>
                <w:color w:val="FF0000"/>
              </w:rPr>
              <w:t>Elig</w:t>
            </w:r>
            <w:r w:rsidR="000E2917">
              <w:rPr>
                <w:color w:val="FF0000"/>
              </w:rPr>
              <w:t xml:space="preserve">ibility Manual: </w:t>
            </w:r>
            <w:hyperlink r:id="rId8" w:history="1">
              <w:r w:rsidR="00C67A68" w:rsidRPr="00730CE8">
                <w:rPr>
                  <w:rStyle w:val="Hyperlink"/>
                </w:rPr>
                <w:t>https://fns-prod.azureedge.us/sites/default/files/cn/SP36_CACFP15_SFSP11-2017a1.pdf</w:t>
              </w:r>
            </w:hyperlink>
            <w:r w:rsidR="00C67A68">
              <w:t xml:space="preserve">. </w:t>
            </w:r>
          </w:p>
          <w:p w14:paraId="289B78C7" w14:textId="77777777" w:rsidR="00975C18" w:rsidRPr="000E2917" w:rsidRDefault="000E2917" w:rsidP="000E2917">
            <w:pPr>
              <w:spacing w:beforeLines="60" w:before="144" w:afterLines="60" w:after="144"/>
              <w:rPr>
                <w:color w:val="FF0000"/>
              </w:rPr>
            </w:pPr>
            <w:r>
              <w:rPr>
                <w:color w:val="FF0000"/>
              </w:rPr>
              <w:lastRenderedPageBreak/>
              <w:t>School meal eligibility webpage</w:t>
            </w:r>
            <w:r w:rsidR="00975C18" w:rsidRPr="000E2917">
              <w:rPr>
                <w:color w:val="FF0000"/>
              </w:rPr>
              <w:t>:</w:t>
            </w:r>
            <w:r w:rsidR="00975C18" w:rsidRPr="000E2917">
              <w:rPr>
                <w:rStyle w:val="Hyperlink"/>
                <w:u w:val="none"/>
              </w:rPr>
              <w:t xml:space="preserve"> </w:t>
            </w:r>
            <w:hyperlink r:id="rId9" w:history="1">
              <w:r>
                <w:rPr>
                  <w:rStyle w:val="Hyperlink"/>
                </w:rPr>
                <w:t>https://www.cde.state.co.us/nutrition/schoolmealeligibility</w:t>
              </w:r>
            </w:hyperlink>
          </w:p>
        </w:tc>
      </w:tr>
      <w:tr w:rsidR="00975C18" w:rsidRPr="00BE5C50" w14:paraId="450F4009" w14:textId="77777777" w:rsidTr="00BE5C50">
        <w:trPr>
          <w:trHeight w:val="755"/>
        </w:trPr>
        <w:tc>
          <w:tcPr>
            <w:tcW w:w="686" w:type="dxa"/>
            <w:shd w:val="clear" w:color="auto" w:fill="auto"/>
          </w:tcPr>
          <w:p w14:paraId="7F36EFDE" w14:textId="77777777" w:rsidR="00975C18" w:rsidRPr="00BE5C50" w:rsidRDefault="00975C18" w:rsidP="00975C18">
            <w:pPr>
              <w:spacing w:beforeLines="60" w:before="144" w:afterLines="60" w:after="144"/>
            </w:pPr>
            <w:r w:rsidRPr="00BE5C50">
              <w:lastRenderedPageBreak/>
              <w:t>204.</w:t>
            </w:r>
          </w:p>
        </w:tc>
        <w:tc>
          <w:tcPr>
            <w:tcW w:w="8896" w:type="dxa"/>
            <w:vAlign w:val="center"/>
          </w:tcPr>
          <w:p w14:paraId="799D10A8" w14:textId="77777777" w:rsidR="00975C18" w:rsidRPr="00BE5C50" w:rsidRDefault="00975C18" w:rsidP="00975C18">
            <w:pPr>
              <w:spacing w:beforeLines="60" w:before="144" w:afterLines="60" w:after="144"/>
              <w:contextualSpacing/>
              <w:rPr>
                <w:rFonts w:eastAsia="Times New Roman" w:cs="Calibri"/>
                <w:color w:val="000000"/>
              </w:rPr>
            </w:pPr>
            <w:r w:rsidRPr="00BE5C50">
              <w:rPr>
                <w:rFonts w:eastAsia="Times New Roman" w:cs="Calibri"/>
                <w:color w:val="000000"/>
              </w:rPr>
              <w:t>Does the SFA use an electronic system to identify error-prone applications?</w:t>
            </w:r>
          </w:p>
          <w:p w14:paraId="1994E45C" w14:textId="77777777" w:rsidR="00975C18" w:rsidRPr="00BE5C50" w:rsidRDefault="00975C18" w:rsidP="00975C18">
            <w:pPr>
              <w:spacing w:beforeLines="60" w:before="144" w:afterLines="60" w:after="144"/>
              <w:rPr>
                <w:rFonts w:eastAsia="Times New Roman" w:cs="Calibri"/>
                <w:color w:val="000000"/>
              </w:rPr>
            </w:pPr>
            <w:r w:rsidRPr="00BE5C50">
              <w:rPr>
                <w:rFonts w:eastAsia="Times New Roman" w:cs="Calibri"/>
                <w:color w:val="000000"/>
              </w:rPr>
              <w:t>If yes, explain in the comments what software the SFA uses?</w:t>
            </w:r>
          </w:p>
          <w:p w14:paraId="0009637C" w14:textId="77777777" w:rsidR="000E2917" w:rsidRPr="00C33E60" w:rsidRDefault="000E2917" w:rsidP="000E2917">
            <w:pPr>
              <w:spacing w:beforeLines="60" w:before="144" w:afterLines="60" w:after="144"/>
              <w:rPr>
                <w:rFonts w:cs="Calibri"/>
                <w:color w:val="FF0000"/>
              </w:rPr>
            </w:pPr>
            <w:r w:rsidRPr="00C33E60">
              <w:rPr>
                <w:rFonts w:cs="Calibri"/>
                <w:b/>
                <w:color w:val="FF0000"/>
              </w:rPr>
              <w:t>Tips:</w:t>
            </w:r>
            <w:r w:rsidRPr="00C33E60">
              <w:rPr>
                <w:rFonts w:cs="Calibri"/>
                <w:color w:val="FF0000"/>
              </w:rPr>
              <w:t xml:space="preserve"> Work with the system vendor for accuracy of identifying error-prone </w:t>
            </w:r>
            <w:r>
              <w:rPr>
                <w:rFonts w:cs="Calibri"/>
                <w:color w:val="FF0000"/>
              </w:rPr>
              <w:t>applications</w:t>
            </w:r>
            <w:r w:rsidRPr="00C33E60">
              <w:rPr>
                <w:rFonts w:cs="Calibri"/>
                <w:color w:val="FF0000"/>
              </w:rPr>
              <w:t xml:space="preserve">. </w:t>
            </w:r>
          </w:p>
          <w:p w14:paraId="033A3928" w14:textId="77777777" w:rsidR="000E2917" w:rsidRDefault="00975C18" w:rsidP="00975C18">
            <w:pPr>
              <w:spacing w:beforeLines="60" w:before="144" w:afterLines="60" w:after="144"/>
              <w:rPr>
                <w:rFonts w:cs="Calibri"/>
                <w:color w:val="FF0000"/>
              </w:rPr>
            </w:pPr>
            <w:r w:rsidRPr="00BE5C50">
              <w:rPr>
                <w:rFonts w:cs="Calibri"/>
                <w:b/>
                <w:color w:val="FF0000"/>
              </w:rPr>
              <w:t>Resources:</w:t>
            </w:r>
            <w:r w:rsidRPr="00BE5C50">
              <w:rPr>
                <w:rFonts w:cs="Calibri"/>
                <w:color w:val="FF0000"/>
              </w:rPr>
              <w:t xml:space="preserve"> </w:t>
            </w:r>
          </w:p>
          <w:p w14:paraId="6BAF7458" w14:textId="77777777" w:rsidR="00975C18" w:rsidRPr="00BE5C50" w:rsidRDefault="000E2917" w:rsidP="000E2917">
            <w:pPr>
              <w:spacing w:beforeLines="60" w:before="144" w:afterLines="60" w:after="144"/>
              <w:rPr>
                <w:rFonts w:cs="Calibri"/>
                <w:color w:val="FF0000"/>
              </w:rPr>
            </w:pPr>
            <w:r>
              <w:rPr>
                <w:rFonts w:cs="Calibri"/>
                <w:color w:val="FF0000"/>
              </w:rPr>
              <w:t xml:space="preserve">Error-prone chart: </w:t>
            </w:r>
            <w:hyperlink r:id="rId10" w:history="1">
              <w:r w:rsidRPr="00FF5816">
                <w:rPr>
                  <w:rStyle w:val="Hyperlink"/>
                  <w:rFonts w:cs="Calibri"/>
                </w:rPr>
                <w:t>https://www.cde.state.co.us/nutrition/verifi</w:t>
              </w:r>
              <w:r w:rsidRPr="00FF5816">
                <w:rPr>
                  <w:rStyle w:val="Hyperlink"/>
                  <w:rFonts w:cs="Calibri"/>
                </w:rPr>
                <w:t>c</w:t>
              </w:r>
              <w:r w:rsidRPr="00FF5816">
                <w:rPr>
                  <w:rStyle w:val="Hyperlink"/>
                  <w:rFonts w:cs="Calibri"/>
                </w:rPr>
                <w:t>ationerrorpronechart</w:t>
              </w:r>
            </w:hyperlink>
            <w:r>
              <w:rPr>
                <w:rFonts w:cs="Calibri"/>
                <w:color w:val="FF0000"/>
              </w:rPr>
              <w:t xml:space="preserve"> </w:t>
            </w:r>
            <w:r w:rsidRPr="00BE5C50">
              <w:rPr>
                <w:rFonts w:cs="Calibri"/>
                <w:color w:val="FF0000"/>
              </w:rPr>
              <w:t xml:space="preserve"> </w:t>
            </w:r>
          </w:p>
        </w:tc>
      </w:tr>
    </w:tbl>
    <w:p w14:paraId="75186877" w14:textId="77777777" w:rsidR="008F31D4" w:rsidRPr="00BE5C50" w:rsidRDefault="008F31D4"/>
    <w:tbl>
      <w:tblPr>
        <w:tblpPr w:leftFromText="180" w:rightFromText="180" w:vertAnchor="text" w:horzAnchor="margin" w:tblpY="24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506"/>
      </w:tblGrid>
      <w:tr w:rsidR="00DE3DB3" w:rsidRPr="00BE5C50" w14:paraId="15D7DD63" w14:textId="77777777" w:rsidTr="00BE5C50">
        <w:trPr>
          <w:trHeight w:val="620"/>
        </w:trPr>
        <w:tc>
          <w:tcPr>
            <w:tcW w:w="5000" w:type="pct"/>
            <w:gridSpan w:val="2"/>
            <w:shd w:val="clear" w:color="auto" w:fill="FFCC99"/>
          </w:tcPr>
          <w:p w14:paraId="446C9D35" w14:textId="77777777" w:rsidR="00DE3DB3" w:rsidRPr="00A84CB0" w:rsidRDefault="00DE3DB3" w:rsidP="00047182">
            <w:pPr>
              <w:spacing w:beforeLines="60" w:before="144" w:afterLines="60" w:after="144" w:line="240" w:lineRule="auto"/>
              <w:jc w:val="center"/>
              <w:rPr>
                <w:b/>
                <w:sz w:val="32"/>
                <w:szCs w:val="32"/>
              </w:rPr>
            </w:pPr>
            <w:r w:rsidRPr="00A84CB0">
              <w:rPr>
                <w:b/>
                <w:sz w:val="32"/>
                <w:szCs w:val="32"/>
              </w:rPr>
              <w:t>On-Site Questions</w:t>
            </w:r>
          </w:p>
        </w:tc>
      </w:tr>
      <w:tr w:rsidR="00DE3DB3" w:rsidRPr="00BE5C50" w14:paraId="50C6700C" w14:textId="77777777" w:rsidTr="00047182">
        <w:trPr>
          <w:trHeight w:val="803"/>
        </w:trPr>
        <w:tc>
          <w:tcPr>
            <w:tcW w:w="443" w:type="pct"/>
          </w:tcPr>
          <w:p w14:paraId="1554DE5B" w14:textId="77777777" w:rsidR="00DE3DB3" w:rsidRPr="00BE5C50" w:rsidRDefault="00DE3DB3" w:rsidP="00C93C95">
            <w:pPr>
              <w:spacing w:beforeLines="60" w:before="144" w:afterLines="60" w:after="144" w:line="240" w:lineRule="auto"/>
            </w:pPr>
            <w:r w:rsidRPr="00BE5C50">
              <w:t>20</w:t>
            </w:r>
            <w:r w:rsidR="00C93C95">
              <w:t>7</w:t>
            </w:r>
            <w:r w:rsidRPr="00BE5C50">
              <w:t xml:space="preserve">. </w:t>
            </w:r>
          </w:p>
        </w:tc>
        <w:tc>
          <w:tcPr>
            <w:tcW w:w="4557" w:type="pct"/>
          </w:tcPr>
          <w:p w14:paraId="73E31628" w14:textId="77777777" w:rsidR="00DE3DB3" w:rsidRPr="00BE5C50" w:rsidRDefault="00DE3DB3" w:rsidP="00047182">
            <w:pPr>
              <w:spacing w:beforeLines="60" w:before="144" w:afterLines="60" w:after="144" w:line="240" w:lineRule="auto"/>
            </w:pPr>
            <w:r w:rsidRPr="00BE5C50">
              <w:t xml:space="preserve">Do the verified applications on file match the number reported on the most recent FNS-742 as reviewed in Question 200 of the </w:t>
            </w:r>
            <w:r w:rsidRPr="00BE5C50">
              <w:rPr>
                <w:i/>
              </w:rPr>
              <w:t>Off-site Assessment Tool</w:t>
            </w:r>
            <w:r w:rsidRPr="00BE5C50">
              <w:t xml:space="preserve">? </w:t>
            </w:r>
          </w:p>
          <w:p w14:paraId="69D5F936" w14:textId="77777777" w:rsidR="00795829" w:rsidRPr="00FC1FF8" w:rsidRDefault="00FC1FF8" w:rsidP="00FC1FF8">
            <w:pPr>
              <w:spacing w:beforeLines="60" w:before="144" w:afterLines="60" w:after="144" w:line="240" w:lineRule="auto"/>
              <w:rPr>
                <w:color w:val="FF0000"/>
              </w:rPr>
            </w:pPr>
            <w:r w:rsidRPr="00C33E60">
              <w:rPr>
                <w:b/>
                <w:color w:val="FF0000"/>
              </w:rPr>
              <w:t>Tips:</w:t>
            </w:r>
            <w:r w:rsidRPr="00C33E60">
              <w:rPr>
                <w:color w:val="FF0000"/>
              </w:rPr>
              <w:t xml:space="preserve"> The number of applications the SFA </w:t>
            </w:r>
            <w:r>
              <w:rPr>
                <w:color w:val="FF0000"/>
              </w:rPr>
              <w:t>has</w:t>
            </w:r>
            <w:r w:rsidRPr="00C33E60">
              <w:rPr>
                <w:color w:val="FF0000"/>
              </w:rPr>
              <w:t xml:space="preserve"> on-site </w:t>
            </w:r>
            <w:r>
              <w:rPr>
                <w:color w:val="FF0000"/>
              </w:rPr>
              <w:t>must</w:t>
            </w:r>
            <w:r w:rsidRPr="00C33E60">
              <w:rPr>
                <w:color w:val="FF0000"/>
              </w:rPr>
              <w:t xml:space="preserve"> match what is reported in the FNS-742 (VCR). </w:t>
            </w:r>
          </w:p>
        </w:tc>
      </w:tr>
      <w:tr w:rsidR="00DE3DB3" w:rsidRPr="00BE5C50" w14:paraId="439E0D50" w14:textId="77777777" w:rsidTr="00754B9D">
        <w:trPr>
          <w:trHeight w:val="710"/>
        </w:trPr>
        <w:tc>
          <w:tcPr>
            <w:tcW w:w="443" w:type="pct"/>
          </w:tcPr>
          <w:p w14:paraId="67C5579F" w14:textId="77777777" w:rsidR="00DE3DB3" w:rsidRPr="00BE5C50" w:rsidRDefault="00C93C95" w:rsidP="00047182">
            <w:pPr>
              <w:spacing w:beforeLines="60" w:before="144" w:afterLines="60" w:after="144" w:line="240" w:lineRule="auto"/>
              <w:ind w:left="30"/>
            </w:pPr>
            <w:r>
              <w:t>208</w:t>
            </w:r>
            <w:r w:rsidR="00DE3DB3" w:rsidRPr="00BE5C50">
              <w:t>.</w:t>
            </w:r>
          </w:p>
        </w:tc>
        <w:tc>
          <w:tcPr>
            <w:tcW w:w="4557" w:type="pct"/>
            <w:vAlign w:val="center"/>
          </w:tcPr>
          <w:p w14:paraId="18BF51BF" w14:textId="77777777" w:rsidR="00DE3DB3" w:rsidRPr="00BE5C50" w:rsidRDefault="00DE3DB3" w:rsidP="00047182">
            <w:pPr>
              <w:spacing w:beforeLines="60" w:before="144" w:afterLines="60" w:after="144" w:line="240" w:lineRule="auto"/>
              <w:rPr>
                <w:rFonts w:cs="Calibri"/>
                <w:color w:val="000000"/>
              </w:rPr>
            </w:pPr>
            <w:r w:rsidRPr="00BE5C50">
              <w:rPr>
                <w:rFonts w:cs="Calibri"/>
                <w:color w:val="000000"/>
              </w:rPr>
              <w:t>When a confirmation review was conducted,</w:t>
            </w:r>
          </w:p>
          <w:p w14:paraId="7EAFBDD6" w14:textId="77777777" w:rsidR="00DE3DB3" w:rsidRPr="00BE5C50" w:rsidRDefault="00DE3DB3" w:rsidP="00047182">
            <w:pPr>
              <w:spacing w:beforeLines="60" w:before="144" w:afterLines="60" w:after="144" w:line="240" w:lineRule="auto"/>
              <w:rPr>
                <w:rFonts w:cs="Calibri"/>
                <w:color w:val="000000"/>
              </w:rPr>
            </w:pPr>
            <w:r w:rsidRPr="00BE5C50">
              <w:rPr>
                <w:rFonts w:cs="Calibri"/>
                <w:color w:val="000000"/>
              </w:rPr>
              <w:t>a. Is documentation demonstrating that a confirmation review took place on file at the SFA?</w:t>
            </w:r>
          </w:p>
          <w:p w14:paraId="3712B673" w14:textId="77777777" w:rsidR="00DE3DB3" w:rsidRPr="00BE5C50" w:rsidRDefault="00DE3DB3" w:rsidP="00047182">
            <w:pPr>
              <w:spacing w:beforeLines="60" w:before="144" w:afterLines="60" w:after="144" w:line="240" w:lineRule="auto"/>
              <w:rPr>
                <w:rFonts w:cs="Calibri"/>
                <w:color w:val="000000"/>
              </w:rPr>
            </w:pPr>
            <w:r w:rsidRPr="00BE5C50">
              <w:rPr>
                <w:rFonts w:cs="Calibri"/>
                <w:color w:val="000000"/>
              </w:rPr>
              <w:t>b. Did the SFA follow the required procedures if the confirmation review did not validate the original determination?</w:t>
            </w:r>
          </w:p>
          <w:p w14:paraId="63EE2F6B" w14:textId="77777777" w:rsidR="00795829" w:rsidRPr="00BE5C50" w:rsidRDefault="00FC1FF8" w:rsidP="00FC1FF8">
            <w:pPr>
              <w:spacing w:beforeLines="60" w:before="144" w:afterLines="60" w:after="144" w:line="240" w:lineRule="auto"/>
              <w:rPr>
                <w:color w:val="FF0000"/>
              </w:rPr>
            </w:pPr>
            <w:r w:rsidRPr="00C33E60">
              <w:rPr>
                <w:b/>
                <w:color w:val="FF0000"/>
              </w:rPr>
              <w:t>Tips:</w:t>
            </w:r>
            <w:r w:rsidRPr="00C33E60">
              <w:rPr>
                <w:color w:val="FF0000"/>
              </w:rPr>
              <w:t xml:space="preserve"> </w:t>
            </w:r>
            <w:r>
              <w:rPr>
                <w:color w:val="FF0000"/>
              </w:rPr>
              <w:t xml:space="preserve">Documentation of the confirmation review, or confirmation review waiver, must be maintained. Best practice is to document this on the verification tracker. </w:t>
            </w:r>
            <w:r w:rsidRPr="00C33E60">
              <w:rPr>
                <w:color w:val="FF0000"/>
              </w:rPr>
              <w:t xml:space="preserve"> </w:t>
            </w:r>
          </w:p>
        </w:tc>
      </w:tr>
      <w:tr w:rsidR="00DE3DB3" w:rsidRPr="00BE5C50" w14:paraId="3A6153AD" w14:textId="77777777" w:rsidTr="00C67A68">
        <w:trPr>
          <w:trHeight w:val="1700"/>
        </w:trPr>
        <w:tc>
          <w:tcPr>
            <w:tcW w:w="443" w:type="pct"/>
          </w:tcPr>
          <w:p w14:paraId="2171900E" w14:textId="77777777" w:rsidR="00DE3DB3" w:rsidRPr="00BE5C50" w:rsidRDefault="00DE3DB3" w:rsidP="00C93C95">
            <w:pPr>
              <w:spacing w:beforeLines="60" w:before="144" w:afterLines="60" w:after="144" w:line="240" w:lineRule="auto"/>
              <w:ind w:left="30"/>
            </w:pPr>
            <w:r w:rsidRPr="00BE5C50">
              <w:t>20</w:t>
            </w:r>
            <w:r w:rsidR="00C93C95">
              <w:t>9</w:t>
            </w:r>
            <w:r w:rsidRPr="00BE5C50">
              <w:t>.</w:t>
            </w:r>
          </w:p>
        </w:tc>
        <w:tc>
          <w:tcPr>
            <w:tcW w:w="4557" w:type="pct"/>
            <w:vAlign w:val="center"/>
          </w:tcPr>
          <w:p w14:paraId="1CB02255" w14:textId="77777777" w:rsidR="00DE3DB3" w:rsidRPr="00BE5C50" w:rsidRDefault="00DE3DB3" w:rsidP="00047182">
            <w:pPr>
              <w:spacing w:beforeLines="60" w:before="144" w:afterLines="60" w:after="144" w:line="240" w:lineRule="auto"/>
              <w:rPr>
                <w:rFonts w:cs="Calibri"/>
                <w:color w:val="000000"/>
              </w:rPr>
            </w:pPr>
            <w:r w:rsidRPr="00BE5C50">
              <w:rPr>
                <w:rFonts w:cs="Calibri"/>
                <w:color w:val="000000"/>
              </w:rPr>
              <w:t>Based on the review of verified applications:</w:t>
            </w:r>
          </w:p>
          <w:p w14:paraId="2C21E807" w14:textId="77777777" w:rsidR="00DE3DB3" w:rsidRPr="00BE5C50" w:rsidRDefault="00DE3DB3" w:rsidP="00047182">
            <w:pPr>
              <w:pStyle w:val="ListParagraph"/>
              <w:numPr>
                <w:ilvl w:val="0"/>
                <w:numId w:val="1"/>
              </w:numPr>
              <w:spacing w:after="0" w:line="240" w:lineRule="auto"/>
              <w:rPr>
                <w:rFonts w:asciiTheme="minorHAnsi" w:hAnsiTheme="minorHAnsi" w:cs="Calibri"/>
                <w:color w:val="000000"/>
              </w:rPr>
            </w:pPr>
            <w:r w:rsidRPr="00BE5C50">
              <w:rPr>
                <w:rFonts w:asciiTheme="minorHAnsi" w:hAnsiTheme="minorHAnsi" w:cs="Calibri"/>
              </w:rPr>
              <w:t>Were the applications subject to verification properly selected in accordance with the sample size option used (e.g., error prone)?</w:t>
            </w:r>
          </w:p>
          <w:p w14:paraId="2BCF2385" w14:textId="77777777" w:rsidR="00DE3DB3" w:rsidRPr="00BE5C50" w:rsidRDefault="00DE3DB3" w:rsidP="00047182">
            <w:pPr>
              <w:pStyle w:val="ListParagraph"/>
              <w:spacing w:after="0" w:line="240" w:lineRule="auto"/>
              <w:rPr>
                <w:rFonts w:asciiTheme="minorHAnsi" w:hAnsiTheme="minorHAnsi" w:cs="Calibri"/>
                <w:color w:val="000000"/>
              </w:rPr>
            </w:pPr>
          </w:p>
          <w:p w14:paraId="44926A07" w14:textId="77777777" w:rsidR="00DE3DB3" w:rsidRPr="00BE5C50" w:rsidRDefault="00DE3DB3" w:rsidP="00047182">
            <w:pPr>
              <w:pStyle w:val="ListParagraph"/>
              <w:numPr>
                <w:ilvl w:val="0"/>
                <w:numId w:val="1"/>
              </w:numPr>
              <w:spacing w:after="0" w:line="240" w:lineRule="auto"/>
              <w:rPr>
                <w:rFonts w:asciiTheme="minorHAnsi" w:hAnsiTheme="minorHAnsi" w:cs="Calibri"/>
                <w:color w:val="000000"/>
              </w:rPr>
            </w:pPr>
            <w:r w:rsidRPr="00BE5C50">
              <w:rPr>
                <w:rFonts w:asciiTheme="minorHAnsi" w:hAnsiTheme="minorHAnsi" w:cs="Calibri"/>
              </w:rPr>
              <w:t>If the SFA chose to replace applications selected for verification, was it done correctly and limited to 5% of the applications selected?</w:t>
            </w:r>
          </w:p>
          <w:p w14:paraId="3FFA57AC" w14:textId="77777777" w:rsidR="00DE3DB3" w:rsidRPr="00BE5C50" w:rsidRDefault="00DE3DB3" w:rsidP="00047182">
            <w:pPr>
              <w:pStyle w:val="ListParagraph"/>
              <w:spacing w:after="0" w:line="240" w:lineRule="auto"/>
              <w:rPr>
                <w:rFonts w:asciiTheme="minorHAnsi" w:hAnsiTheme="minorHAnsi" w:cs="Calibri"/>
                <w:color w:val="000000"/>
              </w:rPr>
            </w:pPr>
          </w:p>
          <w:p w14:paraId="0202461E" w14:textId="77777777" w:rsidR="00657B1F" w:rsidRPr="00BE5C50" w:rsidRDefault="00DE3DB3" w:rsidP="00657B1F">
            <w:pPr>
              <w:pStyle w:val="ListParagraph"/>
              <w:numPr>
                <w:ilvl w:val="0"/>
                <w:numId w:val="1"/>
              </w:numPr>
              <w:spacing w:after="0" w:line="240" w:lineRule="auto"/>
              <w:rPr>
                <w:rFonts w:asciiTheme="minorHAnsi" w:hAnsiTheme="minorHAnsi" w:cs="Calibri"/>
                <w:color w:val="000000"/>
              </w:rPr>
            </w:pPr>
            <w:r w:rsidRPr="00BE5C50">
              <w:rPr>
                <w:rFonts w:asciiTheme="minorHAnsi" w:hAnsiTheme="minorHAnsi" w:cs="Calibri"/>
                <w:color w:val="000000"/>
              </w:rPr>
              <w:t>Were all applications selected for review verified correctly?</w:t>
            </w:r>
          </w:p>
          <w:p w14:paraId="2C489E34" w14:textId="77777777" w:rsidR="00657B1F" w:rsidRPr="00BE5C50" w:rsidRDefault="00657B1F" w:rsidP="00657B1F">
            <w:pPr>
              <w:pStyle w:val="ListParagraph"/>
              <w:spacing w:after="0" w:line="240" w:lineRule="auto"/>
              <w:ind w:left="0"/>
              <w:rPr>
                <w:rFonts w:asciiTheme="minorHAnsi" w:hAnsiTheme="minorHAnsi" w:cs="Calibri"/>
                <w:color w:val="000000"/>
              </w:rPr>
            </w:pPr>
            <w:r w:rsidRPr="00BE5C50">
              <w:rPr>
                <w:rFonts w:asciiTheme="minorHAnsi" w:hAnsiTheme="minorHAnsi" w:cs="Calibri"/>
                <w:color w:val="000000"/>
              </w:rPr>
              <w:t>If NO to a, b, or c, explain.</w:t>
            </w:r>
          </w:p>
          <w:p w14:paraId="78E9F84C" w14:textId="77777777" w:rsidR="00FC1FF8" w:rsidRPr="00153EFC" w:rsidRDefault="00FC1FF8" w:rsidP="00FC1FF8">
            <w:pPr>
              <w:spacing w:beforeLines="60" w:before="144" w:afterLines="60" w:after="144" w:line="240" w:lineRule="auto"/>
              <w:rPr>
                <w:color w:val="FF0000"/>
              </w:rPr>
            </w:pPr>
            <w:r w:rsidRPr="00C33E60">
              <w:rPr>
                <w:b/>
                <w:color w:val="FF0000"/>
              </w:rPr>
              <w:t>Tips:</w:t>
            </w:r>
            <w:r w:rsidRPr="00C33E60">
              <w:rPr>
                <w:color w:val="FF0000"/>
              </w:rPr>
              <w:t xml:space="preserve"> </w:t>
            </w:r>
            <w:r w:rsidRPr="00153EFC">
              <w:rPr>
                <w:color w:val="FF0000"/>
              </w:rPr>
              <w:t>There are three different s</w:t>
            </w:r>
            <w:r>
              <w:rPr>
                <w:color w:val="FF0000"/>
              </w:rPr>
              <w:t>ample size options. Most SFA’s use</w:t>
            </w:r>
            <w:r w:rsidRPr="00153EFC">
              <w:rPr>
                <w:color w:val="FF0000"/>
              </w:rPr>
              <w:t xml:space="preserve"> the standard 3% sample size selected from error-prone applications. Alternate sample size 1 and 2 are only for qualifying SFA’s. School Nutrition notifies those SFAs that qualify and an assurance is required to use an alternate sample size. </w:t>
            </w:r>
          </w:p>
          <w:p w14:paraId="42E7706C" w14:textId="77777777" w:rsidR="00FC1FF8" w:rsidRPr="00153EFC" w:rsidRDefault="00FC1FF8" w:rsidP="00FC1FF8">
            <w:pPr>
              <w:spacing w:beforeLines="60" w:before="144" w:afterLines="60" w:after="144" w:line="240" w:lineRule="auto"/>
              <w:rPr>
                <w:color w:val="FF0000"/>
              </w:rPr>
            </w:pPr>
            <w:r w:rsidRPr="00153EFC">
              <w:rPr>
                <w:color w:val="FF0000"/>
              </w:rPr>
              <w:t xml:space="preserve">The SFA may, on a case-by-case basis, replace up to 5% of applications selected. Applications may be replaced when the SFA believes that the household would not be able to respond. Any application chosen to be replaced must be replaced with a similar type of application. </w:t>
            </w:r>
            <w:r w:rsidRPr="00153EFC">
              <w:rPr>
                <w:color w:val="FF0000"/>
              </w:rPr>
              <w:lastRenderedPageBreak/>
              <w:t xml:space="preserve">For example, an error-prone application must be replaced with an error-prone application. The newly selected application must then have a confirmation review. </w:t>
            </w:r>
          </w:p>
          <w:p w14:paraId="43D0BFF8" w14:textId="77777777" w:rsidR="00795829" w:rsidRPr="00FC1FF8" w:rsidRDefault="00FC1FF8" w:rsidP="00FC1FF8">
            <w:pPr>
              <w:spacing w:beforeLines="60" w:before="144" w:afterLines="60" w:after="144" w:line="240" w:lineRule="auto"/>
              <w:rPr>
                <w:color w:val="FF0000"/>
              </w:rPr>
            </w:pPr>
            <w:r w:rsidRPr="00153EFC">
              <w:rPr>
                <w:color w:val="FF0000"/>
              </w:rPr>
              <w:t>All documentation must be viable and correct. SFA must document all steps of verification and send notification to families once verification is complete. Verification must be completed by November 15</w:t>
            </w:r>
            <w:r w:rsidRPr="00153EFC">
              <w:rPr>
                <w:color w:val="FF0000"/>
                <w:vertAlign w:val="superscript"/>
              </w:rPr>
              <w:t>th</w:t>
            </w:r>
            <w:r w:rsidRPr="00153EFC">
              <w:rPr>
                <w:color w:val="FF0000"/>
              </w:rPr>
              <w:t xml:space="preserve">.  </w:t>
            </w:r>
          </w:p>
        </w:tc>
      </w:tr>
      <w:tr w:rsidR="00DE3DB3" w:rsidRPr="00BE5C50" w14:paraId="67E8994F" w14:textId="77777777" w:rsidTr="00047182">
        <w:trPr>
          <w:trHeight w:val="857"/>
        </w:trPr>
        <w:tc>
          <w:tcPr>
            <w:tcW w:w="443" w:type="pct"/>
          </w:tcPr>
          <w:p w14:paraId="42D3F1BC" w14:textId="77777777" w:rsidR="00DE3DB3" w:rsidRPr="00BE5C50" w:rsidRDefault="00C93C95" w:rsidP="00047182">
            <w:pPr>
              <w:spacing w:beforeLines="60" w:before="144" w:afterLines="60" w:after="144" w:line="240" w:lineRule="auto"/>
            </w:pPr>
            <w:r>
              <w:lastRenderedPageBreak/>
              <w:t>210</w:t>
            </w:r>
            <w:r w:rsidR="00DE3DB3" w:rsidRPr="00BE5C50">
              <w:t>.</w:t>
            </w:r>
          </w:p>
        </w:tc>
        <w:tc>
          <w:tcPr>
            <w:tcW w:w="4557" w:type="pct"/>
            <w:vAlign w:val="center"/>
          </w:tcPr>
          <w:p w14:paraId="57ED83A0" w14:textId="77777777" w:rsidR="00DE3DB3" w:rsidRPr="00BE5C50" w:rsidRDefault="00DE3DB3" w:rsidP="00047182">
            <w:pPr>
              <w:spacing w:beforeLines="40" w:before="96" w:afterLines="40" w:after="96" w:line="240" w:lineRule="auto"/>
              <w:ind w:left="29"/>
              <w:rPr>
                <w:rFonts w:cs="Calibri"/>
                <w:color w:val="000000"/>
              </w:rPr>
            </w:pPr>
            <w:r w:rsidRPr="00BE5C50">
              <w:rPr>
                <w:rFonts w:cs="Calibri"/>
                <w:color w:val="000000"/>
              </w:rPr>
              <w:t>a. Did the SFA attempt to directly verify selected applications?</w:t>
            </w:r>
          </w:p>
          <w:p w14:paraId="4DDF7228" w14:textId="77777777" w:rsidR="00CF2C60" w:rsidRPr="00BE5C50" w:rsidRDefault="00DE3DB3" w:rsidP="00513928">
            <w:pPr>
              <w:spacing w:beforeLines="40" w:before="96" w:afterLines="40" w:after="96" w:line="240" w:lineRule="auto"/>
              <w:ind w:left="30"/>
              <w:rPr>
                <w:rFonts w:cs="Calibri"/>
                <w:color w:val="000000"/>
              </w:rPr>
            </w:pPr>
            <w:r w:rsidRPr="00BE5C50">
              <w:rPr>
                <w:rFonts w:cs="Calibri"/>
                <w:color w:val="000000"/>
              </w:rPr>
              <w:t>b. If YES, were the requirements met?</w:t>
            </w:r>
          </w:p>
          <w:p w14:paraId="102B4AFE" w14:textId="77777777" w:rsidR="00FC1FF8" w:rsidRPr="00FC1FF8" w:rsidRDefault="000A3B65" w:rsidP="00FC1FF8">
            <w:pPr>
              <w:spacing w:beforeLines="60" w:before="144" w:afterLines="60" w:after="144" w:line="240" w:lineRule="auto"/>
              <w:rPr>
                <w:color w:val="FF0000"/>
              </w:rPr>
            </w:pPr>
            <w:r w:rsidRPr="00C33E60">
              <w:rPr>
                <w:rFonts w:cs="Calibri"/>
                <w:b/>
                <w:color w:val="FF0000"/>
              </w:rPr>
              <w:t>Tips:</w:t>
            </w:r>
            <w:r w:rsidRPr="00C33E60">
              <w:rPr>
                <w:rFonts w:cs="Calibri"/>
                <w:color w:val="FF0000"/>
              </w:rPr>
              <w:t xml:space="preserve"> </w:t>
            </w:r>
            <w:r w:rsidRPr="00C33E60">
              <w:t xml:space="preserve"> </w:t>
            </w:r>
            <w:r w:rsidRPr="00861DB2">
              <w:rPr>
                <w:color w:val="FF0000"/>
              </w:rPr>
              <w:t>Direct verification involves using records from public agencies to verify household income or household participation in an eligible program, helping relieve families of additional paperwork and reducing the gap in meal benefits for eligible children resulting from non-response.</w:t>
            </w:r>
            <w:r>
              <w:t xml:space="preserve"> </w:t>
            </w:r>
            <w:r>
              <w:rPr>
                <w:color w:val="FF0000"/>
              </w:rPr>
              <w:t>Any SF</w:t>
            </w:r>
            <w:r w:rsidRPr="00861DB2">
              <w:rPr>
                <w:color w:val="FF0000"/>
              </w:rPr>
              <w:t>A that intends to conduct direct verification must contact the State agency for assistance with establishing a direct verification method.</w:t>
            </w:r>
          </w:p>
        </w:tc>
      </w:tr>
      <w:tr w:rsidR="00DE3DB3" w:rsidRPr="00BE5C50" w14:paraId="7EC35114" w14:textId="77777777" w:rsidTr="00047182">
        <w:trPr>
          <w:trHeight w:val="713"/>
        </w:trPr>
        <w:tc>
          <w:tcPr>
            <w:tcW w:w="443" w:type="pct"/>
          </w:tcPr>
          <w:p w14:paraId="614E5DE3" w14:textId="77777777" w:rsidR="00DE3DB3" w:rsidRPr="00BE5C50" w:rsidRDefault="00C93C95" w:rsidP="00047182">
            <w:pPr>
              <w:spacing w:beforeLines="60" w:before="144" w:afterLines="60" w:after="144" w:line="240" w:lineRule="auto"/>
              <w:ind w:left="30"/>
            </w:pPr>
            <w:r>
              <w:t>211</w:t>
            </w:r>
            <w:r w:rsidR="00DE3DB3" w:rsidRPr="00BE5C50">
              <w:t>.</w:t>
            </w:r>
          </w:p>
        </w:tc>
        <w:tc>
          <w:tcPr>
            <w:tcW w:w="4557" w:type="pct"/>
            <w:vAlign w:val="center"/>
          </w:tcPr>
          <w:p w14:paraId="1674C6C7" w14:textId="77777777" w:rsidR="00DE3DB3" w:rsidRPr="00BE5C50" w:rsidRDefault="00DE3DB3" w:rsidP="00047182">
            <w:pPr>
              <w:spacing w:beforeLines="60" w:before="144" w:afterLines="60" w:after="144" w:line="240" w:lineRule="auto"/>
              <w:ind w:left="30"/>
              <w:rPr>
                <w:rFonts w:cs="Calibri"/>
                <w:color w:val="000000"/>
              </w:rPr>
            </w:pPr>
            <w:r w:rsidRPr="00BE5C50">
              <w:rPr>
                <w:rFonts w:cs="Calibri"/>
                <w:color w:val="000000"/>
              </w:rPr>
              <w:t>Does the SFA’s verification notification letter include all required information?</w:t>
            </w:r>
          </w:p>
          <w:p w14:paraId="18FA76B2" w14:textId="77777777" w:rsidR="000A3B65" w:rsidRPr="00C33E60" w:rsidRDefault="000A3B65" w:rsidP="000A3B65">
            <w:pPr>
              <w:autoSpaceDE w:val="0"/>
              <w:autoSpaceDN w:val="0"/>
              <w:adjustRightInd w:val="0"/>
              <w:spacing w:after="0" w:line="240" w:lineRule="auto"/>
              <w:rPr>
                <w:rFonts w:eastAsiaTheme="minorHAnsi" w:cs="Calibri"/>
                <w:color w:val="FF0000"/>
              </w:rPr>
            </w:pPr>
            <w:r w:rsidRPr="00C33E60">
              <w:rPr>
                <w:rFonts w:eastAsiaTheme="minorHAnsi" w:cs="Calibri"/>
                <w:b/>
                <w:color w:val="FF0000"/>
              </w:rPr>
              <w:t xml:space="preserve">Tips: </w:t>
            </w:r>
            <w:r w:rsidRPr="00C33E60">
              <w:rPr>
                <w:rFonts w:eastAsiaTheme="minorHAnsi" w:cs="Calibri"/>
                <w:color w:val="FF0000"/>
              </w:rPr>
              <w:t xml:space="preserve">The </w:t>
            </w:r>
            <w:r>
              <w:rPr>
                <w:rFonts w:eastAsiaTheme="minorHAnsi" w:cs="Calibri"/>
                <w:color w:val="FF0000"/>
              </w:rPr>
              <w:t xml:space="preserve">verification notification </w:t>
            </w:r>
            <w:r w:rsidRPr="00C33E60">
              <w:rPr>
                <w:rFonts w:eastAsiaTheme="minorHAnsi" w:cs="Calibri"/>
                <w:color w:val="FF0000"/>
              </w:rPr>
              <w:t xml:space="preserve">letter must include the following: </w:t>
            </w:r>
          </w:p>
          <w:p w14:paraId="5BA83931" w14:textId="77777777" w:rsidR="000A3B65" w:rsidRPr="00C33E60" w:rsidRDefault="000A3B65" w:rsidP="000A3B65">
            <w:pPr>
              <w:pStyle w:val="ListParagraph"/>
              <w:numPr>
                <w:ilvl w:val="0"/>
                <w:numId w:val="19"/>
              </w:numPr>
              <w:autoSpaceDE w:val="0"/>
              <w:autoSpaceDN w:val="0"/>
              <w:adjustRightInd w:val="0"/>
              <w:spacing w:after="70" w:line="240" w:lineRule="auto"/>
              <w:rPr>
                <w:rFonts w:asciiTheme="minorHAnsi" w:eastAsiaTheme="minorHAnsi" w:hAnsiTheme="minorHAnsi" w:cs="Calibri"/>
                <w:color w:val="FF0000"/>
              </w:rPr>
            </w:pPr>
            <w:r w:rsidRPr="00C33E60">
              <w:rPr>
                <w:rFonts w:asciiTheme="minorHAnsi" w:eastAsiaTheme="minorHAnsi" w:hAnsiTheme="minorHAnsi" w:cs="Calibri"/>
                <w:color w:val="FF0000"/>
              </w:rPr>
              <w:t xml:space="preserve">That the household was selected for verification; </w:t>
            </w:r>
          </w:p>
          <w:p w14:paraId="5FA70549" w14:textId="77777777" w:rsidR="000A3B65" w:rsidRDefault="000A3B65" w:rsidP="000A3B65">
            <w:pPr>
              <w:pStyle w:val="ListParagraph"/>
              <w:numPr>
                <w:ilvl w:val="0"/>
                <w:numId w:val="19"/>
              </w:numPr>
              <w:autoSpaceDE w:val="0"/>
              <w:autoSpaceDN w:val="0"/>
              <w:adjustRightInd w:val="0"/>
              <w:spacing w:after="70" w:line="240" w:lineRule="auto"/>
              <w:rPr>
                <w:rFonts w:asciiTheme="minorHAnsi" w:eastAsiaTheme="minorHAnsi" w:hAnsiTheme="minorHAnsi" w:cs="Calibri"/>
                <w:color w:val="FF0000"/>
              </w:rPr>
            </w:pPr>
            <w:r w:rsidRPr="00404D2B">
              <w:rPr>
                <w:rFonts w:asciiTheme="minorHAnsi" w:eastAsiaTheme="minorHAnsi" w:hAnsiTheme="minorHAnsi" w:cs="Calibri"/>
                <w:color w:val="FF0000"/>
              </w:rPr>
              <w:t xml:space="preserve">A modified Use of Information Statement as follows: </w:t>
            </w:r>
            <w:r w:rsidRPr="00487E2B">
              <w:rPr>
                <w:rFonts w:asciiTheme="minorHAnsi" w:eastAsiaTheme="minorHAnsi" w:hAnsiTheme="minorHAnsi" w:cs="Calibri"/>
                <w:i/>
                <w:color w:val="FF0000"/>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w:t>
            </w:r>
            <w:r w:rsidRPr="00404D2B">
              <w:rPr>
                <w:rFonts w:asciiTheme="minorHAnsi" w:eastAsiaTheme="minorHAnsi" w:hAnsiTheme="minorHAnsi" w:cs="Calibri"/>
                <w:color w:val="FF0000"/>
              </w:rPr>
              <w:t>;</w:t>
            </w:r>
            <w:r w:rsidRPr="00C33E60">
              <w:rPr>
                <w:rFonts w:asciiTheme="minorHAnsi" w:eastAsiaTheme="minorHAnsi" w:hAnsiTheme="minorHAnsi" w:cs="Calibri"/>
                <w:color w:val="FF0000"/>
              </w:rPr>
              <w:t xml:space="preserve"> </w:t>
            </w:r>
          </w:p>
          <w:p w14:paraId="25829E5C" w14:textId="77777777" w:rsidR="000A3B65" w:rsidRPr="00C33E60" w:rsidRDefault="000A3B65" w:rsidP="000A3B65">
            <w:pPr>
              <w:pStyle w:val="ListParagraph"/>
              <w:numPr>
                <w:ilvl w:val="0"/>
                <w:numId w:val="19"/>
              </w:numPr>
              <w:autoSpaceDE w:val="0"/>
              <w:autoSpaceDN w:val="0"/>
              <w:adjustRightInd w:val="0"/>
              <w:spacing w:after="70" w:line="240" w:lineRule="auto"/>
              <w:rPr>
                <w:rFonts w:asciiTheme="minorHAnsi" w:eastAsiaTheme="minorHAnsi" w:hAnsiTheme="minorHAnsi" w:cs="Calibri"/>
                <w:color w:val="FF0000"/>
              </w:rPr>
            </w:pPr>
            <w:r>
              <w:rPr>
                <w:rFonts w:asciiTheme="minorHAnsi" w:eastAsiaTheme="minorHAnsi" w:hAnsiTheme="minorHAnsi" w:cs="Calibri"/>
                <w:color w:val="FF0000"/>
              </w:rPr>
              <w:t>The full USDA non-discrimination statement</w:t>
            </w:r>
          </w:p>
          <w:p w14:paraId="1F01E4EC" w14:textId="77777777" w:rsidR="000A3B65" w:rsidRPr="00C33E60" w:rsidRDefault="000A3B65" w:rsidP="000A3B65">
            <w:pPr>
              <w:pStyle w:val="ListParagraph"/>
              <w:numPr>
                <w:ilvl w:val="0"/>
                <w:numId w:val="19"/>
              </w:numPr>
              <w:autoSpaceDE w:val="0"/>
              <w:autoSpaceDN w:val="0"/>
              <w:adjustRightInd w:val="0"/>
              <w:spacing w:after="70" w:line="240" w:lineRule="auto"/>
              <w:rPr>
                <w:rFonts w:asciiTheme="minorHAnsi" w:eastAsiaTheme="minorHAnsi" w:hAnsiTheme="minorHAnsi" w:cs="Calibri"/>
                <w:color w:val="FF0000"/>
              </w:rPr>
            </w:pPr>
            <w:r w:rsidRPr="00C33E60">
              <w:rPr>
                <w:rFonts w:asciiTheme="minorHAnsi" w:eastAsiaTheme="minorHAnsi" w:hAnsiTheme="minorHAnsi" w:cs="Calibri"/>
                <w:color w:val="FF0000"/>
              </w:rPr>
              <w:t xml:space="preserve">The types of acceptable information that may be provided to confirm current income, including pay stubs, award letters from assistance agencies for benefits such as social security or supplemental security income, and support payment decrees from courts; </w:t>
            </w:r>
          </w:p>
          <w:p w14:paraId="26B7FFBD" w14:textId="77777777" w:rsidR="000A3B65" w:rsidRPr="00C33E60" w:rsidRDefault="000A3B65" w:rsidP="000A3B65">
            <w:pPr>
              <w:pStyle w:val="ListParagraph"/>
              <w:numPr>
                <w:ilvl w:val="0"/>
                <w:numId w:val="19"/>
              </w:numPr>
              <w:autoSpaceDE w:val="0"/>
              <w:autoSpaceDN w:val="0"/>
              <w:adjustRightInd w:val="0"/>
              <w:spacing w:after="70" w:line="240" w:lineRule="auto"/>
              <w:rPr>
                <w:rFonts w:asciiTheme="minorHAnsi" w:eastAsiaTheme="minorHAnsi" w:hAnsiTheme="minorHAnsi" w:cs="Calibri"/>
                <w:color w:val="FF0000"/>
              </w:rPr>
            </w:pPr>
            <w:r w:rsidRPr="00C33E60">
              <w:rPr>
                <w:rFonts w:asciiTheme="minorHAnsi" w:eastAsiaTheme="minorHAnsi" w:hAnsiTheme="minorHAnsi" w:cs="Calibri"/>
                <w:color w:val="FF0000"/>
              </w:rPr>
              <w:t>That the household may provide proof that a child or any household member is receiving benefits under the Assistance Programs instead of providing income information or that a child is Other Source Categorically Eligible; that documentation of income or receipt of assistance may be provided for any point in time between the month prior to application and the time the household is required to provide income documentation</w:t>
            </w:r>
          </w:p>
          <w:p w14:paraId="7BDAAC81" w14:textId="77777777" w:rsidR="000A3B65" w:rsidRDefault="000A3B65" w:rsidP="000A3B65">
            <w:pPr>
              <w:pStyle w:val="ListParagraph"/>
              <w:numPr>
                <w:ilvl w:val="0"/>
                <w:numId w:val="19"/>
              </w:numPr>
              <w:autoSpaceDE w:val="0"/>
              <w:autoSpaceDN w:val="0"/>
              <w:adjustRightInd w:val="0"/>
              <w:spacing w:after="70" w:line="240" w:lineRule="auto"/>
              <w:rPr>
                <w:rFonts w:asciiTheme="minorHAnsi" w:eastAsiaTheme="minorHAnsi" w:hAnsiTheme="minorHAnsi" w:cs="Calibri"/>
                <w:color w:val="FF0000"/>
              </w:rPr>
            </w:pPr>
            <w:r w:rsidRPr="00C33E60">
              <w:rPr>
                <w:rFonts w:asciiTheme="minorHAnsi" w:eastAsiaTheme="minorHAnsi" w:hAnsiTheme="minorHAnsi" w:cs="Calibri"/>
                <w:color w:val="FF0000"/>
              </w:rPr>
              <w:t xml:space="preserve">That information must be provided </w:t>
            </w:r>
            <w:r>
              <w:rPr>
                <w:rFonts w:asciiTheme="minorHAnsi" w:eastAsiaTheme="minorHAnsi" w:hAnsiTheme="minorHAnsi" w:cs="Calibri"/>
                <w:color w:val="FF0000"/>
              </w:rPr>
              <w:t>by a date as specified by the SF</w:t>
            </w:r>
            <w:r w:rsidRPr="00C33E60">
              <w:rPr>
                <w:rFonts w:asciiTheme="minorHAnsi" w:eastAsiaTheme="minorHAnsi" w:hAnsiTheme="minorHAnsi" w:cs="Calibri"/>
                <w:color w:val="FF0000"/>
              </w:rPr>
              <w:t xml:space="preserve">A and that failure to do so will result in termination of benefits; </w:t>
            </w:r>
          </w:p>
          <w:p w14:paraId="0F18CF92" w14:textId="77777777" w:rsidR="000A3B65" w:rsidRPr="00C33E60" w:rsidRDefault="000A3B65" w:rsidP="000A3B65">
            <w:pPr>
              <w:pStyle w:val="ListParagraph"/>
              <w:numPr>
                <w:ilvl w:val="0"/>
                <w:numId w:val="19"/>
              </w:numPr>
              <w:autoSpaceDE w:val="0"/>
              <w:autoSpaceDN w:val="0"/>
              <w:adjustRightInd w:val="0"/>
              <w:spacing w:after="70" w:line="240" w:lineRule="auto"/>
              <w:rPr>
                <w:rFonts w:asciiTheme="minorHAnsi" w:eastAsiaTheme="minorHAnsi" w:hAnsiTheme="minorHAnsi" w:cs="Calibri"/>
                <w:color w:val="FF0000"/>
              </w:rPr>
            </w:pPr>
            <w:r>
              <w:rPr>
                <w:rFonts w:asciiTheme="minorHAnsi" w:eastAsiaTheme="minorHAnsi" w:hAnsiTheme="minorHAnsi" w:cs="Calibri"/>
                <w:color w:val="FF0000"/>
              </w:rPr>
              <w:t>D</w:t>
            </w:r>
            <w:r w:rsidRPr="00404D2B">
              <w:rPr>
                <w:rFonts w:asciiTheme="minorHAnsi" w:eastAsiaTheme="minorHAnsi" w:hAnsiTheme="minorHAnsi" w:cs="Calibri"/>
                <w:color w:val="FF0000"/>
              </w:rPr>
              <w:t>ocumentation of income or receipt of assistance may be provided from any point in time between the month prior to application and the time the household is required to provide income documentation;</w:t>
            </w:r>
          </w:p>
          <w:p w14:paraId="45DFCD82" w14:textId="77777777" w:rsidR="000A3B65" w:rsidRPr="00C33E60" w:rsidRDefault="000A3B65" w:rsidP="000A3B65">
            <w:pPr>
              <w:pStyle w:val="ListParagraph"/>
              <w:numPr>
                <w:ilvl w:val="0"/>
                <w:numId w:val="19"/>
              </w:numPr>
              <w:autoSpaceDE w:val="0"/>
              <w:autoSpaceDN w:val="0"/>
              <w:adjustRightInd w:val="0"/>
              <w:spacing w:after="70" w:line="240" w:lineRule="auto"/>
              <w:rPr>
                <w:rFonts w:asciiTheme="minorHAnsi" w:eastAsiaTheme="minorHAnsi" w:hAnsiTheme="minorHAnsi" w:cs="Calibri"/>
                <w:color w:val="FF0000"/>
              </w:rPr>
            </w:pPr>
            <w:r>
              <w:rPr>
                <w:rFonts w:asciiTheme="minorHAnsi" w:eastAsiaTheme="minorHAnsi" w:hAnsiTheme="minorHAnsi" w:cs="Calibri"/>
                <w:color w:val="FF0000"/>
              </w:rPr>
              <w:t>Name of an SFA</w:t>
            </w:r>
            <w:r w:rsidRPr="00C33E60">
              <w:rPr>
                <w:rFonts w:asciiTheme="minorHAnsi" w:eastAsiaTheme="minorHAnsi" w:hAnsiTheme="minorHAnsi" w:cs="Calibri"/>
                <w:color w:val="FF0000"/>
              </w:rPr>
              <w:t xml:space="preserve"> official who can answer questions and provide assistance; and </w:t>
            </w:r>
          </w:p>
          <w:p w14:paraId="35DBDA48" w14:textId="77777777" w:rsidR="000A3B65" w:rsidRPr="00404D2B" w:rsidRDefault="000A3B65" w:rsidP="000A3B65">
            <w:pPr>
              <w:pStyle w:val="ListParagraph"/>
              <w:numPr>
                <w:ilvl w:val="0"/>
                <w:numId w:val="19"/>
              </w:numPr>
              <w:autoSpaceDE w:val="0"/>
              <w:autoSpaceDN w:val="0"/>
              <w:adjustRightInd w:val="0"/>
              <w:spacing w:after="70" w:line="240" w:lineRule="auto"/>
              <w:rPr>
                <w:rFonts w:asciiTheme="minorHAnsi" w:eastAsiaTheme="minorHAnsi" w:hAnsiTheme="minorHAnsi" w:cs="Calibri"/>
                <w:color w:val="FF0000"/>
              </w:rPr>
            </w:pPr>
            <w:r w:rsidRPr="00404D2B">
              <w:rPr>
                <w:rFonts w:asciiTheme="minorHAnsi" w:eastAsiaTheme="minorHAnsi" w:hAnsiTheme="minorHAnsi" w:cs="Calibri"/>
                <w:color w:val="FF0000"/>
              </w:rPr>
              <w:t xml:space="preserve">A telephone number the household can call at no-cost for assistance. </w:t>
            </w:r>
          </w:p>
          <w:p w14:paraId="4E51BEC4" w14:textId="77777777" w:rsidR="000A3B65" w:rsidRPr="00404D2B" w:rsidRDefault="000A3B65" w:rsidP="000A3B65">
            <w:pPr>
              <w:pStyle w:val="ListParagraph"/>
              <w:numPr>
                <w:ilvl w:val="1"/>
                <w:numId w:val="19"/>
              </w:numPr>
              <w:autoSpaceDE w:val="0"/>
              <w:autoSpaceDN w:val="0"/>
              <w:adjustRightInd w:val="0"/>
              <w:spacing w:after="70" w:line="240" w:lineRule="auto"/>
              <w:rPr>
                <w:rFonts w:asciiTheme="minorHAnsi" w:eastAsiaTheme="minorHAnsi" w:hAnsiTheme="minorHAnsi" w:cs="Calibri"/>
                <w:color w:val="FF0000"/>
              </w:rPr>
            </w:pPr>
            <w:r>
              <w:rPr>
                <w:rFonts w:asciiTheme="minorHAnsi" w:eastAsiaTheme="minorHAnsi" w:hAnsiTheme="minorHAnsi" w:cs="Calibri"/>
                <w:color w:val="FF0000"/>
              </w:rPr>
              <w:t>The SF</w:t>
            </w:r>
            <w:r w:rsidRPr="00404D2B">
              <w:rPr>
                <w:rFonts w:asciiTheme="minorHAnsi" w:eastAsiaTheme="minorHAnsi" w:hAnsiTheme="minorHAnsi" w:cs="Calibri"/>
                <w:color w:val="FF0000"/>
              </w:rPr>
              <w:t xml:space="preserve">A may establish a toll-free number or allow the household to reverse the charges if any household in that LEA are outside the local calling area. </w:t>
            </w:r>
          </w:p>
          <w:p w14:paraId="31105167" w14:textId="77777777" w:rsidR="000A3B65" w:rsidRPr="00404D2B" w:rsidRDefault="000A3B65" w:rsidP="000A3B65">
            <w:pPr>
              <w:pStyle w:val="ListParagraph"/>
              <w:numPr>
                <w:ilvl w:val="1"/>
                <w:numId w:val="19"/>
              </w:numPr>
              <w:autoSpaceDE w:val="0"/>
              <w:autoSpaceDN w:val="0"/>
              <w:adjustRightInd w:val="0"/>
              <w:spacing w:after="70" w:line="240" w:lineRule="auto"/>
              <w:rPr>
                <w:rFonts w:asciiTheme="minorHAnsi" w:eastAsiaTheme="minorHAnsi" w:hAnsiTheme="minorHAnsi" w:cs="Calibri"/>
                <w:color w:val="FF0000"/>
              </w:rPr>
            </w:pPr>
            <w:r>
              <w:rPr>
                <w:rFonts w:asciiTheme="minorHAnsi" w:eastAsiaTheme="minorHAnsi" w:hAnsiTheme="minorHAnsi" w:cs="Calibri"/>
                <w:color w:val="FF0000"/>
              </w:rPr>
              <w:t>The SF</w:t>
            </w:r>
            <w:r w:rsidRPr="00404D2B">
              <w:rPr>
                <w:rFonts w:asciiTheme="minorHAnsi" w:eastAsiaTheme="minorHAnsi" w:hAnsiTheme="minorHAnsi" w:cs="Calibri"/>
                <w:color w:val="FF0000"/>
              </w:rPr>
              <w:t xml:space="preserve">A may also provide different telephone numbers for each local calling area within </w:t>
            </w:r>
            <w:r>
              <w:rPr>
                <w:rFonts w:asciiTheme="minorHAnsi" w:eastAsiaTheme="minorHAnsi" w:hAnsiTheme="minorHAnsi" w:cs="Calibri"/>
                <w:color w:val="FF0000"/>
              </w:rPr>
              <w:t>the SFA</w:t>
            </w:r>
          </w:p>
          <w:p w14:paraId="5A0F9AFB" w14:textId="77777777" w:rsidR="00FC1FF8" w:rsidRDefault="00FC1FF8" w:rsidP="00FC1FF8">
            <w:pPr>
              <w:spacing w:beforeLines="40" w:before="96" w:afterLines="40" w:after="96" w:line="240" w:lineRule="auto"/>
              <w:ind w:left="30"/>
              <w:rPr>
                <w:color w:val="FF0000"/>
              </w:rPr>
            </w:pPr>
            <w:r w:rsidRPr="00BE5C50">
              <w:rPr>
                <w:b/>
                <w:color w:val="FF0000"/>
              </w:rPr>
              <w:lastRenderedPageBreak/>
              <w:t>Resources:</w:t>
            </w:r>
            <w:r w:rsidRPr="00BE5C50">
              <w:rPr>
                <w:color w:val="FF0000"/>
              </w:rPr>
              <w:t xml:space="preserve"> </w:t>
            </w:r>
          </w:p>
          <w:p w14:paraId="23B982BA" w14:textId="19520C04" w:rsidR="00CF2C60" w:rsidRDefault="00FC1FF8" w:rsidP="00FC1FF8">
            <w:pPr>
              <w:spacing w:beforeLines="60" w:before="144" w:afterLines="60" w:after="144" w:line="240" w:lineRule="auto"/>
            </w:pPr>
            <w:r w:rsidRPr="00FC1FF8">
              <w:rPr>
                <w:color w:val="FF0000"/>
              </w:rPr>
              <w:t xml:space="preserve">Eligibility Manual: </w:t>
            </w:r>
            <w:hyperlink r:id="rId11" w:history="1">
              <w:r w:rsidR="00C67A68" w:rsidRPr="00730CE8">
                <w:rPr>
                  <w:rStyle w:val="Hyperlink"/>
                </w:rPr>
                <w:t>https://fns-prod.azureedge.us/sites/default/files/cn/SP36_CACFP15_SFSP11-2017a1.pdf</w:t>
              </w:r>
            </w:hyperlink>
            <w:r w:rsidR="00C67A68" w:rsidRPr="00C67A68">
              <w:rPr>
                <w:color w:val="FF0000"/>
              </w:rPr>
              <w:t>.</w:t>
            </w:r>
            <w:r w:rsidR="00C67A68">
              <w:t xml:space="preserve"> </w:t>
            </w:r>
          </w:p>
          <w:p w14:paraId="1ED8D07F" w14:textId="77777777" w:rsidR="00FC1FF8" w:rsidRPr="00FC1FF8" w:rsidRDefault="000A3B65" w:rsidP="00FC1FF8">
            <w:pPr>
              <w:spacing w:beforeLines="60" w:before="144" w:afterLines="60" w:after="144" w:line="240" w:lineRule="auto"/>
              <w:rPr>
                <w:rFonts w:cs="Calibri"/>
                <w:color w:val="FF0000"/>
              </w:rPr>
            </w:pPr>
            <w:r w:rsidRPr="000A3B65">
              <w:rPr>
                <w:color w:val="FF0000"/>
              </w:rPr>
              <w:t>School Nutrition verification notification template:</w:t>
            </w:r>
            <w:r>
              <w:t xml:space="preserve">  </w:t>
            </w:r>
            <w:hyperlink r:id="rId12" w:history="1">
              <w:r w:rsidRPr="00FF5816">
                <w:rPr>
                  <w:rStyle w:val="Hyperlink"/>
                </w:rPr>
                <w:t>https://www.cde.state.co.us/nutrition/verificationnotifi</w:t>
              </w:r>
              <w:r w:rsidRPr="00FF5816">
                <w:rPr>
                  <w:rStyle w:val="Hyperlink"/>
                </w:rPr>
                <w:t>c</w:t>
              </w:r>
              <w:r w:rsidRPr="00FF5816">
                <w:rPr>
                  <w:rStyle w:val="Hyperlink"/>
                </w:rPr>
                <w:t>ationselectionverification</w:t>
              </w:r>
            </w:hyperlink>
            <w:r>
              <w:t xml:space="preserve"> </w:t>
            </w:r>
            <w:r w:rsidR="00FC1FF8">
              <w:t xml:space="preserve"> </w:t>
            </w:r>
          </w:p>
        </w:tc>
      </w:tr>
      <w:tr w:rsidR="00DE3DB3" w:rsidRPr="00BE5C50" w14:paraId="7D7508D9" w14:textId="77777777" w:rsidTr="00047182">
        <w:trPr>
          <w:trHeight w:val="767"/>
        </w:trPr>
        <w:tc>
          <w:tcPr>
            <w:tcW w:w="443" w:type="pct"/>
          </w:tcPr>
          <w:p w14:paraId="260A6E45" w14:textId="77777777" w:rsidR="00DE3DB3" w:rsidRPr="00BE5C50" w:rsidRDefault="00A84CB0" w:rsidP="00C93C95">
            <w:pPr>
              <w:spacing w:beforeLines="60" w:before="144" w:afterLines="60" w:after="144" w:line="240" w:lineRule="auto"/>
              <w:ind w:left="30"/>
            </w:pPr>
            <w:r>
              <w:lastRenderedPageBreak/>
              <w:t>21</w:t>
            </w:r>
            <w:r w:rsidR="00C93C95">
              <w:t>2</w:t>
            </w:r>
            <w:r w:rsidR="00DE3DB3" w:rsidRPr="00BE5C50">
              <w:t>.</w:t>
            </w:r>
          </w:p>
        </w:tc>
        <w:tc>
          <w:tcPr>
            <w:tcW w:w="4557" w:type="pct"/>
            <w:vAlign w:val="center"/>
          </w:tcPr>
          <w:p w14:paraId="7935063C" w14:textId="77777777" w:rsidR="00DE3DB3" w:rsidRPr="00BE5C50" w:rsidRDefault="00DE3DB3" w:rsidP="00047182">
            <w:pPr>
              <w:spacing w:beforeLines="60" w:before="144" w:afterLines="60" w:after="144" w:line="240" w:lineRule="auto"/>
              <w:ind w:left="29"/>
              <w:rPr>
                <w:rFonts w:cs="Calibri"/>
                <w:color w:val="000000"/>
              </w:rPr>
            </w:pPr>
            <w:r w:rsidRPr="00BE5C50">
              <w:rPr>
                <w:rFonts w:cs="Calibri"/>
                <w:color w:val="000000"/>
              </w:rPr>
              <w:t>Did the SFA meet the follow-up requirements if the household failed to respond to the request for verification?</w:t>
            </w:r>
          </w:p>
          <w:p w14:paraId="023D1C58" w14:textId="77777777" w:rsidR="00657B1F" w:rsidRPr="000A3B65" w:rsidRDefault="000A3B65" w:rsidP="000A3B65">
            <w:pPr>
              <w:spacing w:beforeLines="60" w:before="144" w:afterLines="60" w:after="144" w:line="240" w:lineRule="auto"/>
              <w:rPr>
                <w:color w:val="FF0000"/>
              </w:rPr>
            </w:pPr>
            <w:r w:rsidRPr="00C33E60">
              <w:rPr>
                <w:b/>
                <w:color w:val="FF0000"/>
              </w:rPr>
              <w:t>Tips:</w:t>
            </w:r>
            <w:r>
              <w:rPr>
                <w:color w:val="FF0000"/>
              </w:rPr>
              <w:t xml:space="preserve"> The SFA</w:t>
            </w:r>
            <w:r w:rsidRPr="00C33E60">
              <w:rPr>
                <w:color w:val="FF0000"/>
              </w:rPr>
              <w:t xml:space="preserve"> must make at least one follow-up attempt to contact the household when the household does not adequately respond to the request for verification. The follow-up attem</w:t>
            </w:r>
            <w:r>
              <w:rPr>
                <w:color w:val="FF0000"/>
              </w:rPr>
              <w:t>pt may be in writing (postal mail or e</w:t>
            </w:r>
            <w:r w:rsidRPr="00C33E60">
              <w:rPr>
                <w:color w:val="FF0000"/>
              </w:rPr>
              <w:t>mail) or by telephon</w:t>
            </w:r>
            <w:r>
              <w:rPr>
                <w:color w:val="FF0000"/>
              </w:rPr>
              <w:t>e and the SF</w:t>
            </w:r>
            <w:r w:rsidRPr="00C33E60">
              <w:rPr>
                <w:color w:val="FF0000"/>
              </w:rPr>
              <w:t xml:space="preserve">A must document that a contact was attempted. </w:t>
            </w:r>
          </w:p>
        </w:tc>
      </w:tr>
      <w:tr w:rsidR="00DE3DB3" w:rsidRPr="00BE5C50" w14:paraId="64805CFA" w14:textId="77777777" w:rsidTr="00047182">
        <w:trPr>
          <w:trHeight w:val="857"/>
        </w:trPr>
        <w:tc>
          <w:tcPr>
            <w:tcW w:w="443" w:type="pct"/>
          </w:tcPr>
          <w:p w14:paraId="0DE16579" w14:textId="77777777" w:rsidR="00DE3DB3" w:rsidRPr="00BE5C50" w:rsidRDefault="00DE3DB3" w:rsidP="00C93C95">
            <w:pPr>
              <w:spacing w:beforeLines="60" w:before="144" w:afterLines="60" w:after="144" w:line="240" w:lineRule="auto"/>
              <w:ind w:left="30"/>
            </w:pPr>
            <w:r w:rsidRPr="00BE5C50">
              <w:t>21</w:t>
            </w:r>
            <w:r w:rsidR="00C93C95">
              <w:t>3</w:t>
            </w:r>
            <w:r w:rsidRPr="00BE5C50">
              <w:t>.</w:t>
            </w:r>
          </w:p>
        </w:tc>
        <w:tc>
          <w:tcPr>
            <w:tcW w:w="4557" w:type="pct"/>
            <w:vAlign w:val="center"/>
          </w:tcPr>
          <w:p w14:paraId="1AFE8815" w14:textId="77777777" w:rsidR="00DE3DB3" w:rsidRPr="00BE5C50" w:rsidRDefault="00DE3DB3" w:rsidP="00047182">
            <w:pPr>
              <w:spacing w:beforeLines="60" w:before="144" w:afterLines="60" w:after="144" w:line="240" w:lineRule="auto"/>
              <w:ind w:left="30"/>
              <w:rPr>
                <w:rFonts w:cs="Calibri"/>
                <w:color w:val="000000"/>
              </w:rPr>
            </w:pPr>
            <w:r w:rsidRPr="00BE5C50">
              <w:rPr>
                <w:rFonts w:cs="Calibri"/>
                <w:color w:val="000000"/>
              </w:rPr>
              <w:t>If applicable, did the SFA’s notice of adverse action contain all required information, including notification of appeal rights?</w:t>
            </w:r>
          </w:p>
          <w:p w14:paraId="31B75F27" w14:textId="77777777" w:rsidR="000A3B65" w:rsidRPr="00C33E60" w:rsidRDefault="000A3B65" w:rsidP="000A3B65">
            <w:pPr>
              <w:autoSpaceDE w:val="0"/>
              <w:autoSpaceDN w:val="0"/>
              <w:adjustRightInd w:val="0"/>
              <w:spacing w:after="72" w:line="240" w:lineRule="auto"/>
              <w:rPr>
                <w:color w:val="FF0000"/>
              </w:rPr>
            </w:pPr>
            <w:r w:rsidRPr="00C33E60">
              <w:rPr>
                <w:rFonts w:eastAsiaTheme="minorHAnsi" w:cs="Calibri"/>
                <w:b/>
                <w:color w:val="FF0000"/>
              </w:rPr>
              <w:t>Tips:</w:t>
            </w:r>
            <w:r w:rsidRPr="00C33E60">
              <w:rPr>
                <w:rFonts w:eastAsiaTheme="minorHAnsi" w:cs="Calibri"/>
                <w:color w:val="FF0000"/>
              </w:rPr>
              <w:t xml:space="preserve"> </w:t>
            </w:r>
            <w:r w:rsidRPr="00C33E60">
              <w:rPr>
                <w:color w:val="FF0000"/>
              </w:rPr>
              <w:t xml:space="preserve">All households </w:t>
            </w:r>
            <w:r>
              <w:rPr>
                <w:color w:val="FF0000"/>
              </w:rPr>
              <w:t xml:space="preserve">in which </w:t>
            </w:r>
            <w:r w:rsidRPr="00C33E60">
              <w:rPr>
                <w:color w:val="FF0000"/>
              </w:rPr>
              <w:t>benefits are to be reduced or terminated must be given 10 calendar days’ written advance notice of the change. The first day of the advance notice period is the day the notice is sent. The notice of adverse action may be sent via the postal service or to the e-mail address o</w:t>
            </w:r>
            <w:r>
              <w:rPr>
                <w:color w:val="FF0000"/>
              </w:rPr>
              <w:t>f the parent or guardian. The SF</w:t>
            </w:r>
            <w:r w:rsidRPr="00C33E60">
              <w:rPr>
                <w:color w:val="FF0000"/>
              </w:rPr>
              <w:t xml:space="preserve">A cannot notify the household of adverse action by phone. </w:t>
            </w:r>
          </w:p>
          <w:p w14:paraId="62CA269E" w14:textId="77777777" w:rsidR="000A3B65" w:rsidRPr="00C33E60" w:rsidRDefault="000A3B65" w:rsidP="000A3B65">
            <w:pPr>
              <w:autoSpaceDE w:val="0"/>
              <w:autoSpaceDN w:val="0"/>
              <w:adjustRightInd w:val="0"/>
              <w:spacing w:after="72" w:line="240" w:lineRule="auto"/>
              <w:rPr>
                <w:color w:val="FF0000"/>
              </w:rPr>
            </w:pPr>
            <w:r w:rsidRPr="00C33E60">
              <w:rPr>
                <w:color w:val="FF0000"/>
              </w:rPr>
              <w:t xml:space="preserve">The notice must advise the household of the following: </w:t>
            </w:r>
          </w:p>
          <w:p w14:paraId="0038783C" w14:textId="77777777" w:rsidR="000A3B65" w:rsidRPr="00C33E60" w:rsidRDefault="000A3B65" w:rsidP="000A3B65">
            <w:pPr>
              <w:autoSpaceDE w:val="0"/>
              <w:autoSpaceDN w:val="0"/>
              <w:adjustRightInd w:val="0"/>
              <w:spacing w:after="72" w:line="240" w:lineRule="auto"/>
              <w:ind w:left="720"/>
              <w:rPr>
                <w:color w:val="FF0000"/>
              </w:rPr>
            </w:pPr>
            <w:r w:rsidRPr="00C33E60">
              <w:rPr>
                <w:color w:val="FF0000"/>
              </w:rPr>
              <w:sym w:font="Symbol" w:char="F0B7"/>
            </w:r>
            <w:r w:rsidRPr="00C33E60">
              <w:rPr>
                <w:color w:val="FF0000"/>
              </w:rPr>
              <w:t xml:space="preserve"> Change in benefits; </w:t>
            </w:r>
          </w:p>
          <w:p w14:paraId="11693A71" w14:textId="77777777" w:rsidR="000A3B65" w:rsidRPr="00C33E60" w:rsidRDefault="000A3B65" w:rsidP="000A3B65">
            <w:pPr>
              <w:autoSpaceDE w:val="0"/>
              <w:autoSpaceDN w:val="0"/>
              <w:adjustRightInd w:val="0"/>
              <w:spacing w:after="72" w:line="240" w:lineRule="auto"/>
              <w:ind w:left="720"/>
              <w:rPr>
                <w:color w:val="FF0000"/>
              </w:rPr>
            </w:pPr>
            <w:r w:rsidRPr="00C33E60">
              <w:rPr>
                <w:color w:val="FF0000"/>
              </w:rPr>
              <w:sym w:font="Symbol" w:char="F0B7"/>
            </w:r>
            <w:r w:rsidRPr="00C33E60">
              <w:rPr>
                <w:color w:val="FF0000"/>
              </w:rPr>
              <w:t xml:space="preserve"> Reasons for the change; </w:t>
            </w:r>
          </w:p>
          <w:p w14:paraId="0CF3ADB7" w14:textId="77777777" w:rsidR="000A3B65" w:rsidRPr="00C33E60" w:rsidRDefault="000A3B65" w:rsidP="000A3B65">
            <w:pPr>
              <w:autoSpaceDE w:val="0"/>
              <w:autoSpaceDN w:val="0"/>
              <w:adjustRightInd w:val="0"/>
              <w:spacing w:after="72" w:line="240" w:lineRule="auto"/>
              <w:ind w:left="720"/>
              <w:rPr>
                <w:color w:val="FF0000"/>
              </w:rPr>
            </w:pPr>
            <w:r w:rsidRPr="00C33E60">
              <w:rPr>
                <w:color w:val="FF0000"/>
              </w:rPr>
              <w:sym w:font="Symbol" w:char="F0B7"/>
            </w:r>
            <w:r w:rsidRPr="00C33E60">
              <w:rPr>
                <w:color w:val="FF0000"/>
              </w:rPr>
              <w:t xml:space="preserve"> An appeal must be filed within the 10 calendar days advance notice period to ensure continued benefits while awaiting a hearing and decision; </w:t>
            </w:r>
          </w:p>
          <w:p w14:paraId="7B5BEAD9" w14:textId="77777777" w:rsidR="000A3B65" w:rsidRPr="00C33E60" w:rsidRDefault="000A3B65" w:rsidP="000A3B65">
            <w:pPr>
              <w:autoSpaceDE w:val="0"/>
              <w:autoSpaceDN w:val="0"/>
              <w:adjustRightInd w:val="0"/>
              <w:spacing w:after="72" w:line="240" w:lineRule="auto"/>
              <w:ind w:left="720"/>
              <w:rPr>
                <w:color w:val="FF0000"/>
              </w:rPr>
            </w:pPr>
            <w:r w:rsidRPr="00C33E60">
              <w:rPr>
                <w:color w:val="FF0000"/>
              </w:rPr>
              <w:sym w:font="Symbol" w:char="F0B7"/>
            </w:r>
            <w:r w:rsidRPr="00C33E60">
              <w:rPr>
                <w:color w:val="FF0000"/>
              </w:rPr>
              <w:t xml:space="preserve"> Instructions on how to appeal; </w:t>
            </w:r>
          </w:p>
          <w:p w14:paraId="104D8106" w14:textId="77777777" w:rsidR="000A3B65" w:rsidRPr="00C33E60" w:rsidRDefault="000A3B65" w:rsidP="000A3B65">
            <w:pPr>
              <w:autoSpaceDE w:val="0"/>
              <w:autoSpaceDN w:val="0"/>
              <w:adjustRightInd w:val="0"/>
              <w:spacing w:after="72" w:line="240" w:lineRule="auto"/>
              <w:ind w:left="720"/>
              <w:rPr>
                <w:color w:val="FF0000"/>
              </w:rPr>
            </w:pPr>
            <w:r w:rsidRPr="00C33E60">
              <w:rPr>
                <w:color w:val="FF0000"/>
              </w:rPr>
              <w:sym w:font="Symbol" w:char="F0B7"/>
            </w:r>
            <w:r w:rsidRPr="00C33E60">
              <w:rPr>
                <w:color w:val="FF0000"/>
              </w:rPr>
              <w:t xml:space="preserve"> The household may reapply for benefits at any t</w:t>
            </w:r>
            <w:r>
              <w:rPr>
                <w:color w:val="FF0000"/>
              </w:rPr>
              <w:t>ime during the school year;</w:t>
            </w:r>
          </w:p>
          <w:p w14:paraId="085B8858" w14:textId="77777777" w:rsidR="00251FC4" w:rsidRPr="000A3B65" w:rsidRDefault="000A3B65" w:rsidP="000A3B65">
            <w:pPr>
              <w:spacing w:beforeLines="60" w:before="144" w:afterLines="60" w:after="144" w:line="240" w:lineRule="auto"/>
              <w:rPr>
                <w:rFonts w:cs="Calibri"/>
                <w:b/>
                <w:color w:val="FF0000"/>
              </w:rPr>
            </w:pPr>
            <w:r w:rsidRPr="000A3B65">
              <w:rPr>
                <w:rFonts w:cs="Calibri"/>
                <w:b/>
                <w:color w:val="FF0000"/>
              </w:rPr>
              <w:t xml:space="preserve">Resources: </w:t>
            </w:r>
          </w:p>
          <w:p w14:paraId="3A8A3E2F" w14:textId="77777777" w:rsidR="000A3B65" w:rsidRPr="000A3B65" w:rsidRDefault="000A3B65" w:rsidP="000A3B65">
            <w:pPr>
              <w:spacing w:beforeLines="60" w:before="144" w:afterLines="60" w:after="144" w:line="240" w:lineRule="auto"/>
              <w:rPr>
                <w:rFonts w:cs="Calibri"/>
                <w:b/>
                <w:color w:val="FF0000"/>
              </w:rPr>
            </w:pPr>
            <w:r>
              <w:rPr>
                <w:rFonts w:cs="Calibri"/>
                <w:color w:val="FF0000"/>
              </w:rPr>
              <w:t xml:space="preserve">School Nutrition verification results letter: </w:t>
            </w:r>
            <w:r>
              <w:t xml:space="preserve"> </w:t>
            </w:r>
            <w:hyperlink r:id="rId13" w:history="1">
              <w:r w:rsidRPr="00FF5816">
                <w:rPr>
                  <w:rStyle w:val="Hyperlink"/>
                  <w:rFonts w:cs="Calibri"/>
                </w:rPr>
                <w:t>https://www.cde.state.co.us/nutrition/verificationletterofverificationresults</w:t>
              </w:r>
            </w:hyperlink>
            <w:r>
              <w:rPr>
                <w:rFonts w:cs="Calibri"/>
                <w:color w:val="FF0000"/>
              </w:rPr>
              <w:t xml:space="preserve"> </w:t>
            </w:r>
          </w:p>
        </w:tc>
      </w:tr>
      <w:tr w:rsidR="00DE3DB3" w:rsidRPr="00BE5C50" w14:paraId="69B9FC5E" w14:textId="77777777" w:rsidTr="000A3B65">
        <w:trPr>
          <w:trHeight w:val="620"/>
        </w:trPr>
        <w:tc>
          <w:tcPr>
            <w:tcW w:w="443" w:type="pct"/>
          </w:tcPr>
          <w:p w14:paraId="2B7BBCBC" w14:textId="77777777" w:rsidR="00DE3DB3" w:rsidRPr="00BE5C50" w:rsidRDefault="00A84CB0" w:rsidP="00C93C95">
            <w:pPr>
              <w:spacing w:beforeLines="60" w:before="144" w:afterLines="60" w:after="144" w:line="240" w:lineRule="auto"/>
              <w:ind w:left="30"/>
            </w:pPr>
            <w:r>
              <w:t>21</w:t>
            </w:r>
            <w:r w:rsidR="00C93C95">
              <w:t>4</w:t>
            </w:r>
            <w:r w:rsidR="00DE3DB3" w:rsidRPr="00BE5C50">
              <w:t>.</w:t>
            </w:r>
          </w:p>
        </w:tc>
        <w:tc>
          <w:tcPr>
            <w:tcW w:w="4557" w:type="pct"/>
            <w:vAlign w:val="center"/>
          </w:tcPr>
          <w:p w14:paraId="450450F0" w14:textId="77777777" w:rsidR="00DE3DB3" w:rsidRPr="00BE5C50" w:rsidRDefault="00DE3DB3" w:rsidP="00047182">
            <w:pPr>
              <w:spacing w:beforeLines="60" w:before="144" w:afterLines="60" w:after="144" w:line="240" w:lineRule="auto"/>
              <w:ind w:left="30"/>
              <w:rPr>
                <w:rFonts w:cs="Calibri"/>
                <w:color w:val="000000"/>
              </w:rPr>
            </w:pPr>
            <w:r w:rsidRPr="00BE5C50">
              <w:rPr>
                <w:rFonts w:cs="Calibri"/>
                <w:color w:val="000000"/>
              </w:rPr>
              <w:t xml:space="preserve">If a student’s eligibility changed due to verification, </w:t>
            </w:r>
          </w:p>
          <w:p w14:paraId="51A1DC75" w14:textId="77777777" w:rsidR="00DE3DB3" w:rsidRPr="00BE5C50" w:rsidRDefault="00DE3DB3" w:rsidP="00047182">
            <w:pPr>
              <w:pStyle w:val="ListParagraph"/>
              <w:numPr>
                <w:ilvl w:val="0"/>
                <w:numId w:val="2"/>
              </w:numPr>
              <w:tabs>
                <w:tab w:val="left" w:pos="46"/>
              </w:tabs>
              <w:spacing w:beforeLines="60" w:before="144" w:afterLines="60" w:after="144" w:line="240" w:lineRule="auto"/>
              <w:ind w:left="30"/>
              <w:rPr>
                <w:rFonts w:asciiTheme="minorHAnsi" w:hAnsiTheme="minorHAnsi" w:cs="Calibri"/>
                <w:color w:val="000000"/>
              </w:rPr>
            </w:pPr>
            <w:r w:rsidRPr="00BE5C50">
              <w:rPr>
                <w:rFonts w:asciiTheme="minorHAnsi" w:hAnsiTheme="minorHAnsi" w:cs="Calibri"/>
                <w:color w:val="000000"/>
              </w:rPr>
              <w:t xml:space="preserve">a. </w:t>
            </w:r>
            <w:r w:rsidR="00782308" w:rsidRPr="00BE5C50">
              <w:rPr>
                <w:rFonts w:asciiTheme="minorHAnsi" w:hAnsiTheme="minorHAnsi" w:cs="Calibri"/>
                <w:color w:val="000000"/>
              </w:rPr>
              <w:t xml:space="preserve">   </w:t>
            </w:r>
            <w:r w:rsidRPr="00BE5C50">
              <w:rPr>
                <w:rFonts w:asciiTheme="minorHAnsi" w:hAnsiTheme="minorHAnsi" w:cs="Calibri"/>
                <w:color w:val="000000"/>
              </w:rPr>
              <w:t>Did the SFA make updates to the eligibility status to benefit issuance list?</w:t>
            </w:r>
          </w:p>
          <w:p w14:paraId="4993431A" w14:textId="77777777" w:rsidR="00DE3DB3" w:rsidRPr="00BE5C50" w:rsidRDefault="00DE3DB3" w:rsidP="00782308">
            <w:pPr>
              <w:pStyle w:val="ListParagraph"/>
              <w:numPr>
                <w:ilvl w:val="0"/>
                <w:numId w:val="2"/>
              </w:numPr>
              <w:tabs>
                <w:tab w:val="left" w:pos="46"/>
              </w:tabs>
              <w:spacing w:beforeLines="60" w:before="144" w:afterLines="60" w:after="144" w:line="240" w:lineRule="auto"/>
              <w:rPr>
                <w:rFonts w:asciiTheme="minorHAnsi" w:hAnsiTheme="minorHAnsi" w:cs="Calibri"/>
                <w:color w:val="000000"/>
              </w:rPr>
            </w:pPr>
            <w:r w:rsidRPr="00BE5C50">
              <w:rPr>
                <w:rFonts w:asciiTheme="minorHAnsi" w:hAnsiTheme="minorHAnsi" w:cs="Calibri"/>
                <w:color w:val="000000"/>
              </w:rPr>
              <w:t>Were benefits increased no later than 3 calendar days and decreased no later than 10 calendar days from the final decision?</w:t>
            </w:r>
          </w:p>
          <w:p w14:paraId="31822B0A" w14:textId="77777777" w:rsidR="00251FC4" w:rsidRPr="000A3B65" w:rsidRDefault="000A3B65" w:rsidP="000A3B65">
            <w:pPr>
              <w:spacing w:beforeLines="60" w:before="144" w:afterLines="60" w:after="144" w:line="240" w:lineRule="auto"/>
              <w:rPr>
                <w:color w:val="FF0000"/>
              </w:rPr>
            </w:pPr>
            <w:r w:rsidRPr="000A3B65">
              <w:rPr>
                <w:b/>
                <w:color w:val="FF0000"/>
              </w:rPr>
              <w:t xml:space="preserve">Tips: </w:t>
            </w:r>
            <w:r w:rsidRPr="000A3B65">
              <w:rPr>
                <w:color w:val="FF0000"/>
              </w:rPr>
              <w:t>If verification results in a change of status this must be changed in the benefit issuance system and the point of sale system. Within the point of sale system, eligibility must be updated no later than 3 operating days for an increase in benefits and no earlier than 10 operating days for a decrease in status.</w:t>
            </w:r>
          </w:p>
        </w:tc>
      </w:tr>
      <w:tr w:rsidR="00DE3DB3" w:rsidRPr="00BE5C50" w14:paraId="3E0B23C9" w14:textId="77777777" w:rsidTr="00047182">
        <w:trPr>
          <w:trHeight w:val="1070"/>
        </w:trPr>
        <w:tc>
          <w:tcPr>
            <w:tcW w:w="443" w:type="pct"/>
          </w:tcPr>
          <w:p w14:paraId="1F1384E8" w14:textId="77777777" w:rsidR="00DE3DB3" w:rsidRPr="00BE5C50" w:rsidRDefault="00DE3DB3" w:rsidP="00A84CB0">
            <w:pPr>
              <w:spacing w:beforeLines="60" w:before="144" w:afterLines="60" w:after="144" w:line="240" w:lineRule="auto"/>
              <w:ind w:left="30"/>
            </w:pPr>
            <w:r w:rsidRPr="00BE5C50">
              <w:lastRenderedPageBreak/>
              <w:t>21</w:t>
            </w:r>
            <w:r w:rsidR="00C93C95">
              <w:t>5</w:t>
            </w:r>
            <w:r w:rsidRPr="00BE5C50">
              <w:t>.</w:t>
            </w:r>
          </w:p>
        </w:tc>
        <w:tc>
          <w:tcPr>
            <w:tcW w:w="4557" w:type="pct"/>
            <w:vAlign w:val="center"/>
          </w:tcPr>
          <w:p w14:paraId="4ADE7B31" w14:textId="77777777" w:rsidR="00DE3DB3" w:rsidRPr="00BE5C50" w:rsidRDefault="00DE3DB3" w:rsidP="00047182">
            <w:pPr>
              <w:spacing w:beforeLines="60" w:before="144" w:afterLines="60" w:after="144" w:line="240" w:lineRule="auto"/>
              <w:ind w:left="30"/>
              <w:rPr>
                <w:rFonts w:cs="Calibri"/>
                <w:color w:val="000000"/>
              </w:rPr>
            </w:pPr>
            <w:r w:rsidRPr="00BE5C50">
              <w:rPr>
                <w:rFonts w:cs="Calibri"/>
                <w:color w:val="000000"/>
              </w:rPr>
              <w:t>a. Did the SFA complete verification by November 15?</w:t>
            </w:r>
          </w:p>
          <w:p w14:paraId="5428E882" w14:textId="77777777" w:rsidR="00DE3DB3" w:rsidRPr="00BE5C50" w:rsidRDefault="00DE3DB3" w:rsidP="00047182">
            <w:pPr>
              <w:spacing w:beforeLines="60" w:before="144" w:afterLines="60" w:after="144" w:line="240" w:lineRule="auto"/>
              <w:ind w:left="30"/>
              <w:rPr>
                <w:rFonts w:cs="Calibri"/>
                <w:color w:val="000000"/>
              </w:rPr>
            </w:pPr>
            <w:r w:rsidRPr="00BE5C50">
              <w:rPr>
                <w:rFonts w:cs="Calibri"/>
                <w:color w:val="000000"/>
              </w:rPr>
              <w:t>b. If not, did the SFA get SA approval for an extension until December 15?</w:t>
            </w:r>
          </w:p>
          <w:p w14:paraId="406C97AC" w14:textId="77777777" w:rsidR="000A3B65" w:rsidRPr="00C33E60" w:rsidRDefault="000A3B65" w:rsidP="000A3B65">
            <w:pPr>
              <w:spacing w:beforeLines="60" w:before="144" w:afterLines="60" w:after="144" w:line="240" w:lineRule="auto"/>
              <w:rPr>
                <w:color w:val="FF0000"/>
              </w:rPr>
            </w:pPr>
            <w:r w:rsidRPr="00C33E60">
              <w:rPr>
                <w:b/>
                <w:color w:val="FF0000"/>
              </w:rPr>
              <w:t>Tips:</w:t>
            </w:r>
            <w:r w:rsidRPr="00C33E60">
              <w:rPr>
                <w:color w:val="FF0000"/>
              </w:rPr>
              <w:t xml:space="preserve"> Verification is required to be completed by November 15th. Verification is considered complete when:</w:t>
            </w:r>
          </w:p>
          <w:p w14:paraId="21037029" w14:textId="77777777" w:rsidR="000A3B65" w:rsidRPr="00FE2C40" w:rsidRDefault="000A3B65" w:rsidP="000A3B65">
            <w:pPr>
              <w:pStyle w:val="ListParagraph"/>
              <w:numPr>
                <w:ilvl w:val="0"/>
                <w:numId w:val="18"/>
              </w:numPr>
              <w:spacing w:beforeLines="60" w:before="144" w:afterLines="60" w:after="144" w:line="240" w:lineRule="auto"/>
              <w:rPr>
                <w:color w:val="FF0000"/>
              </w:rPr>
            </w:pPr>
            <w:r w:rsidRPr="00FE2C40">
              <w:rPr>
                <w:color w:val="FF0000"/>
              </w:rPr>
              <w:t>The household submits either adequate written evidence or collateral contact corroboration of income or categorical eligibility: verification is considered complete for this household.</w:t>
            </w:r>
          </w:p>
          <w:p w14:paraId="1BF2A419" w14:textId="77777777" w:rsidR="000A3B65" w:rsidRPr="00FE2C40" w:rsidRDefault="000A3B65" w:rsidP="000A3B65">
            <w:pPr>
              <w:pStyle w:val="ListParagraph"/>
              <w:numPr>
                <w:ilvl w:val="0"/>
                <w:numId w:val="18"/>
              </w:numPr>
              <w:spacing w:beforeLines="60" w:before="144" w:afterLines="60" w:after="144" w:line="240" w:lineRule="auto"/>
              <w:rPr>
                <w:color w:val="FF0000"/>
              </w:rPr>
            </w:pPr>
            <w:r w:rsidRPr="00FE2C40">
              <w:rPr>
                <w:color w:val="FF0000"/>
              </w:rPr>
              <w:t>The household submits either adequate written evidence or collateral contact corroboration</w:t>
            </w:r>
            <w:r>
              <w:rPr>
                <w:color w:val="FF0000"/>
              </w:rPr>
              <w:t xml:space="preserve"> of income which indicates the student(s) </w:t>
            </w:r>
            <w:r w:rsidRPr="00FE2C40">
              <w:rPr>
                <w:color w:val="FF0000"/>
              </w:rPr>
              <w:t>should receive either a greater or lesser level of benefits: verification is considered complete for this household when the notice of adverse action is sent or household is notified that its benefits will be increased or decreased.</w:t>
            </w:r>
          </w:p>
          <w:p w14:paraId="468E0655" w14:textId="77777777" w:rsidR="000A3B65" w:rsidRDefault="000A3B65" w:rsidP="000A3B65">
            <w:pPr>
              <w:pStyle w:val="ListParagraph"/>
              <w:numPr>
                <w:ilvl w:val="0"/>
                <w:numId w:val="18"/>
              </w:numPr>
              <w:spacing w:beforeLines="60" w:before="144" w:afterLines="60" w:after="144" w:line="240" w:lineRule="auto"/>
              <w:rPr>
                <w:color w:val="FF0000"/>
              </w:rPr>
            </w:pPr>
            <w:r w:rsidRPr="00FE2C40">
              <w:rPr>
                <w:color w:val="FF0000"/>
              </w:rPr>
              <w:t>The household indicates, verbally or in writing, that it no longer wishes to receive free or reduced price benefits: verification is considered complete when the notice of adverse action is sent.</w:t>
            </w:r>
          </w:p>
          <w:p w14:paraId="5195CE02" w14:textId="77777777" w:rsidR="000A3B65" w:rsidRPr="00FE2C40" w:rsidRDefault="000A3B65" w:rsidP="000A3B65">
            <w:pPr>
              <w:pStyle w:val="ListParagraph"/>
              <w:numPr>
                <w:ilvl w:val="0"/>
                <w:numId w:val="18"/>
              </w:numPr>
              <w:spacing w:beforeLines="60" w:before="144" w:afterLines="60" w:after="144" w:line="240" w:lineRule="auto"/>
              <w:rPr>
                <w:color w:val="FF0000"/>
              </w:rPr>
            </w:pPr>
            <w:r>
              <w:rPr>
                <w:color w:val="FF0000"/>
              </w:rPr>
              <w:t xml:space="preserve">The household is directly certified. </w:t>
            </w:r>
          </w:p>
          <w:p w14:paraId="7B0D087A" w14:textId="77777777" w:rsidR="00782308" w:rsidRPr="000A3B65" w:rsidRDefault="000A3B65" w:rsidP="000A3B65">
            <w:pPr>
              <w:pStyle w:val="ListParagraph"/>
              <w:numPr>
                <w:ilvl w:val="0"/>
                <w:numId w:val="18"/>
              </w:numPr>
              <w:spacing w:beforeLines="60" w:before="144" w:afterLines="60" w:after="144" w:line="240" w:lineRule="auto"/>
              <w:rPr>
                <w:color w:val="FF0000"/>
              </w:rPr>
            </w:pPr>
            <w:r w:rsidRPr="00FE2C40">
              <w:rPr>
                <w:color w:val="FF0000"/>
              </w:rPr>
              <w:t>The application provided case numbers and it is determined that no household member is receiving benefits from an Assistance Program: verification is considered complete when the notice of adverse action is sent.</w:t>
            </w:r>
          </w:p>
        </w:tc>
      </w:tr>
    </w:tbl>
    <w:p w14:paraId="4C68AC69" w14:textId="77777777" w:rsidR="00DE3DB3" w:rsidRPr="00BE5C50" w:rsidRDefault="00DE3DB3"/>
    <w:p w14:paraId="66AB228A" w14:textId="77777777" w:rsidR="00795829" w:rsidRPr="000A3B65" w:rsidRDefault="009B2BBE">
      <w:pPr>
        <w:rPr>
          <w:b/>
          <w:u w:val="single"/>
        </w:rPr>
      </w:pPr>
      <w:r w:rsidRPr="000A3B65">
        <w:rPr>
          <w:b/>
          <w:u w:val="single"/>
        </w:rPr>
        <w:t xml:space="preserve">Resources: </w:t>
      </w:r>
    </w:p>
    <w:p w14:paraId="4E5905A3" w14:textId="0EDFAAD6" w:rsidR="00DE3DB3" w:rsidRDefault="00795829">
      <w:r w:rsidRPr="000A3B65">
        <w:rPr>
          <w:rStyle w:val="Hyperlink"/>
          <w:color w:val="auto"/>
          <w:u w:val="none"/>
        </w:rPr>
        <w:t>Eligibility Manual</w:t>
      </w:r>
      <w:r w:rsidR="00782308" w:rsidRPr="000A3B65">
        <w:rPr>
          <w:rStyle w:val="Hyperlink"/>
          <w:color w:val="auto"/>
          <w:u w:val="none"/>
        </w:rPr>
        <w:t>:</w:t>
      </w:r>
      <w:r w:rsidRPr="000A3B65">
        <w:rPr>
          <w:rStyle w:val="Hyperlink"/>
          <w:b/>
          <w:color w:val="auto"/>
          <w:u w:val="none"/>
        </w:rPr>
        <w:t xml:space="preserve"> </w:t>
      </w:r>
      <w:hyperlink r:id="rId14" w:history="1">
        <w:r w:rsidR="00C67A68" w:rsidRPr="00730CE8">
          <w:rPr>
            <w:rStyle w:val="Hyperlink"/>
          </w:rPr>
          <w:t>https://fns-prod.azureedge.us/sites/default/files/cn/SP36_CACFP15_SFSP11-2017a1.pdf</w:t>
        </w:r>
      </w:hyperlink>
      <w:r w:rsidR="00C67A68">
        <w:t xml:space="preserve"> </w:t>
      </w:r>
    </w:p>
    <w:p w14:paraId="483A2192" w14:textId="77777777" w:rsidR="000A3B65" w:rsidRPr="00BE5C50" w:rsidRDefault="000A3B65">
      <w:r>
        <w:t xml:space="preserve">School meal eligibility webpage: </w:t>
      </w:r>
      <w:hyperlink r:id="rId15" w:history="1">
        <w:r>
          <w:rPr>
            <w:rStyle w:val="Hyperlink"/>
          </w:rPr>
          <w:t>https://www.cde.state.co.us/nutrition/schoolmealeligibility</w:t>
        </w:r>
      </w:hyperlink>
    </w:p>
    <w:sectPr w:rsidR="000A3B65" w:rsidRPr="00BE5C5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B316" w14:textId="77777777" w:rsidR="005324A7" w:rsidRDefault="005324A7" w:rsidP="00606D15">
      <w:pPr>
        <w:spacing w:after="0" w:line="240" w:lineRule="auto"/>
      </w:pPr>
      <w:r>
        <w:separator/>
      </w:r>
    </w:p>
  </w:endnote>
  <w:endnote w:type="continuationSeparator" w:id="0">
    <w:p w14:paraId="35E741CA" w14:textId="77777777" w:rsidR="005324A7" w:rsidRDefault="005324A7" w:rsidP="0060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8EAA" w14:textId="14CFAA4B" w:rsidR="00BE5C50" w:rsidRDefault="00C67A68" w:rsidP="00BE5C50">
    <w:pPr>
      <w:pStyle w:val="Footer"/>
      <w:jc w:val="center"/>
    </w:pPr>
    <w:r>
      <w:t>September 2022</w:t>
    </w:r>
    <w:r w:rsidR="00BE5C50">
      <w:tab/>
      <w:t xml:space="preserve"> This institution is an equal opportunity provider.</w:t>
    </w:r>
    <w:r w:rsidR="00BE5C50">
      <w:tab/>
      <w:t xml:space="preserve"> </w:t>
    </w:r>
    <w:sdt>
      <w:sdtPr>
        <w:id w:val="1729720513"/>
        <w:docPartObj>
          <w:docPartGallery w:val="Page Numbers (Bottom of Page)"/>
          <w:docPartUnique/>
        </w:docPartObj>
      </w:sdtPr>
      <w:sdtEndPr>
        <w:rPr>
          <w:noProof/>
        </w:rPr>
      </w:sdtEndPr>
      <w:sdtContent>
        <w:r w:rsidR="00BE5C50">
          <w:fldChar w:fldCharType="begin"/>
        </w:r>
        <w:r w:rsidR="00BE5C50">
          <w:instrText xml:space="preserve"> PAGE   \* MERGEFORMAT </w:instrText>
        </w:r>
        <w:r w:rsidR="00BE5C50">
          <w:fldChar w:fldCharType="separate"/>
        </w:r>
        <w:r w:rsidR="000A3B65">
          <w:rPr>
            <w:noProof/>
          </w:rPr>
          <w:t>3</w:t>
        </w:r>
        <w:r w:rsidR="00BE5C50">
          <w:rPr>
            <w:noProof/>
          </w:rPr>
          <w:fldChar w:fldCharType="end"/>
        </w:r>
      </w:sdtContent>
    </w:sdt>
  </w:p>
  <w:p w14:paraId="1EA10865" w14:textId="77777777" w:rsidR="00606D15" w:rsidRDefault="00606D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B255" w14:textId="77777777" w:rsidR="005324A7" w:rsidRDefault="005324A7" w:rsidP="00606D15">
      <w:pPr>
        <w:spacing w:after="0" w:line="240" w:lineRule="auto"/>
      </w:pPr>
      <w:r>
        <w:separator/>
      </w:r>
    </w:p>
  </w:footnote>
  <w:footnote w:type="continuationSeparator" w:id="0">
    <w:p w14:paraId="40806DA0" w14:textId="77777777" w:rsidR="005324A7" w:rsidRDefault="005324A7" w:rsidP="0060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D3E3" w14:textId="77777777" w:rsidR="00606D15" w:rsidRPr="00606D15" w:rsidRDefault="00606D15" w:rsidP="00606D15">
    <w:pPr>
      <w:pStyle w:val="Header"/>
      <w:jc w:val="center"/>
      <w:rPr>
        <w:b/>
      </w:rPr>
    </w:pPr>
    <w:r>
      <w:rPr>
        <w:b/>
      </w:rPr>
      <w:t>USDA Administrative Review: Verification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3E6A"/>
    <w:multiLevelType w:val="hybridMultilevel"/>
    <w:tmpl w:val="8446DB20"/>
    <w:lvl w:ilvl="0" w:tplc="3E7C895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F07CB"/>
    <w:multiLevelType w:val="hybridMultilevel"/>
    <w:tmpl w:val="919C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00B37"/>
    <w:multiLevelType w:val="hybridMultilevel"/>
    <w:tmpl w:val="F4B45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A4387"/>
    <w:multiLevelType w:val="hybridMultilevel"/>
    <w:tmpl w:val="6338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F4DFD"/>
    <w:multiLevelType w:val="hybridMultilevel"/>
    <w:tmpl w:val="62909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12E70"/>
    <w:multiLevelType w:val="hybridMultilevel"/>
    <w:tmpl w:val="6D360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36F48"/>
    <w:multiLevelType w:val="hybridMultilevel"/>
    <w:tmpl w:val="EEA6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A7061"/>
    <w:multiLevelType w:val="hybridMultilevel"/>
    <w:tmpl w:val="59D0E07C"/>
    <w:lvl w:ilvl="0" w:tplc="3E7C895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71324"/>
    <w:multiLevelType w:val="hybridMultilevel"/>
    <w:tmpl w:val="50EE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03F69"/>
    <w:multiLevelType w:val="hybridMultilevel"/>
    <w:tmpl w:val="E086261A"/>
    <w:lvl w:ilvl="0" w:tplc="3E7C895C">
      <w:start w:val="1"/>
      <w:numFmt w:val="bullet"/>
      <w:lvlText w:val=""/>
      <w:lvlJc w:val="left"/>
      <w:pPr>
        <w:ind w:left="749" w:hanging="360"/>
      </w:pPr>
      <w:rPr>
        <w:rFonts w:ascii="Symbol" w:hAnsi="Symbol" w:hint="default"/>
        <w:color w:val="FF000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 w15:restartNumberingAfterBreak="0">
    <w:nsid w:val="4DE22C98"/>
    <w:multiLevelType w:val="hybridMultilevel"/>
    <w:tmpl w:val="0E6830EA"/>
    <w:lvl w:ilvl="0" w:tplc="F7622A48">
      <w:start w:val="2"/>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01DF1"/>
    <w:multiLevelType w:val="hybridMultilevel"/>
    <w:tmpl w:val="9B882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F52E0"/>
    <w:multiLevelType w:val="hybridMultilevel"/>
    <w:tmpl w:val="4D72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F534E"/>
    <w:multiLevelType w:val="hybridMultilevel"/>
    <w:tmpl w:val="6226C648"/>
    <w:lvl w:ilvl="0" w:tplc="3E7C895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87976"/>
    <w:multiLevelType w:val="hybridMultilevel"/>
    <w:tmpl w:val="025CD03E"/>
    <w:lvl w:ilvl="0" w:tplc="3E7C895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04E2E"/>
    <w:multiLevelType w:val="hybridMultilevel"/>
    <w:tmpl w:val="B896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F63F3"/>
    <w:multiLevelType w:val="hybridMultilevel"/>
    <w:tmpl w:val="3EF6F520"/>
    <w:lvl w:ilvl="0" w:tplc="F7622A48">
      <w:start w:val="2"/>
      <w:numFmt w:val="bullet"/>
      <w:lvlText w:val="-"/>
      <w:lvlJc w:val="left"/>
      <w:pPr>
        <w:ind w:left="720" w:hanging="360"/>
      </w:pPr>
      <w:rPr>
        <w:rFonts w:ascii="Calibri" w:eastAsiaTheme="minorEastAsia"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D2C8C"/>
    <w:multiLevelType w:val="hybridMultilevel"/>
    <w:tmpl w:val="81E4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F0F1D"/>
    <w:multiLevelType w:val="hybridMultilevel"/>
    <w:tmpl w:val="AAA2AB9E"/>
    <w:lvl w:ilvl="0" w:tplc="9356C86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16cid:durableId="590969730">
    <w:abstractNumId w:val="4"/>
  </w:num>
  <w:num w:numId="2" w16cid:durableId="714430448">
    <w:abstractNumId w:val="18"/>
  </w:num>
  <w:num w:numId="3" w16cid:durableId="962268035">
    <w:abstractNumId w:val="16"/>
  </w:num>
  <w:num w:numId="4" w16cid:durableId="72747001">
    <w:abstractNumId w:val="10"/>
  </w:num>
  <w:num w:numId="5" w16cid:durableId="1116949898">
    <w:abstractNumId w:val="5"/>
  </w:num>
  <w:num w:numId="6" w16cid:durableId="704713689">
    <w:abstractNumId w:val="17"/>
  </w:num>
  <w:num w:numId="7" w16cid:durableId="2038582153">
    <w:abstractNumId w:val="15"/>
  </w:num>
  <w:num w:numId="8" w16cid:durableId="902449338">
    <w:abstractNumId w:val="8"/>
  </w:num>
  <w:num w:numId="9" w16cid:durableId="19429306">
    <w:abstractNumId w:val="3"/>
  </w:num>
  <w:num w:numId="10" w16cid:durableId="1041787107">
    <w:abstractNumId w:val="2"/>
  </w:num>
  <w:num w:numId="11" w16cid:durableId="1625844616">
    <w:abstractNumId w:val="0"/>
  </w:num>
  <w:num w:numId="12" w16cid:durableId="1812206393">
    <w:abstractNumId w:val="7"/>
  </w:num>
  <w:num w:numId="13" w16cid:durableId="980573485">
    <w:abstractNumId w:val="9"/>
  </w:num>
  <w:num w:numId="14" w16cid:durableId="1838300864">
    <w:abstractNumId w:val="13"/>
  </w:num>
  <w:num w:numId="15" w16cid:durableId="694385005">
    <w:abstractNumId w:val="14"/>
  </w:num>
  <w:num w:numId="16" w16cid:durableId="431053648">
    <w:abstractNumId w:val="1"/>
  </w:num>
  <w:num w:numId="17" w16cid:durableId="1890603242">
    <w:abstractNumId w:val="12"/>
  </w:num>
  <w:num w:numId="18" w16cid:durableId="1657494068">
    <w:abstractNumId w:val="6"/>
  </w:num>
  <w:num w:numId="19" w16cid:durableId="483089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15"/>
    <w:rsid w:val="000A3B65"/>
    <w:rsid w:val="000C10A0"/>
    <w:rsid w:val="000E2917"/>
    <w:rsid w:val="00123ED9"/>
    <w:rsid w:val="001A16BB"/>
    <w:rsid w:val="001C2341"/>
    <w:rsid w:val="00251FC4"/>
    <w:rsid w:val="002A0FDE"/>
    <w:rsid w:val="003869FA"/>
    <w:rsid w:val="00513928"/>
    <w:rsid w:val="005324A7"/>
    <w:rsid w:val="00606D15"/>
    <w:rsid w:val="006147D7"/>
    <w:rsid w:val="006162DF"/>
    <w:rsid w:val="00635D7D"/>
    <w:rsid w:val="00657B1F"/>
    <w:rsid w:val="00754B9D"/>
    <w:rsid w:val="007577F5"/>
    <w:rsid w:val="0077251A"/>
    <w:rsid w:val="00782308"/>
    <w:rsid w:val="00795829"/>
    <w:rsid w:val="007D78B3"/>
    <w:rsid w:val="008F31D4"/>
    <w:rsid w:val="00975C18"/>
    <w:rsid w:val="009B2BBE"/>
    <w:rsid w:val="00A84CB0"/>
    <w:rsid w:val="00B24FA2"/>
    <w:rsid w:val="00BE5C50"/>
    <w:rsid w:val="00C67A68"/>
    <w:rsid w:val="00C93C95"/>
    <w:rsid w:val="00CF2C60"/>
    <w:rsid w:val="00DE3DB3"/>
    <w:rsid w:val="00F42AF0"/>
    <w:rsid w:val="00F43922"/>
    <w:rsid w:val="00FC1FF8"/>
    <w:rsid w:val="00F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F8BE"/>
  <w15:docId w15:val="{B69F7512-FDD9-4F4A-A8D2-171141E8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D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15"/>
  </w:style>
  <w:style w:type="paragraph" w:styleId="Footer">
    <w:name w:val="footer"/>
    <w:basedOn w:val="Normal"/>
    <w:link w:val="FooterChar"/>
    <w:uiPriority w:val="99"/>
    <w:unhideWhenUsed/>
    <w:rsid w:val="0060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15"/>
  </w:style>
  <w:style w:type="table" w:customStyle="1" w:styleId="TableGrid1">
    <w:name w:val="Table Grid1"/>
    <w:basedOn w:val="TableNormal"/>
    <w:next w:val="TableGrid"/>
    <w:uiPriority w:val="59"/>
    <w:rsid w:val="00DE3D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E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DB3"/>
    <w:pPr>
      <w:ind w:left="720"/>
      <w:contextualSpacing/>
    </w:pPr>
    <w:rPr>
      <w:rFonts w:ascii="Calibri" w:eastAsia="Calibri" w:hAnsi="Calibri" w:cs="Times New Roman"/>
    </w:rPr>
  </w:style>
  <w:style w:type="character" w:styleId="Hyperlink">
    <w:name w:val="Hyperlink"/>
    <w:basedOn w:val="DefaultParagraphFont"/>
    <w:unhideWhenUsed/>
    <w:rsid w:val="009B2BBE"/>
    <w:rPr>
      <w:color w:val="0000FF" w:themeColor="hyperlink"/>
      <w:u w:val="single"/>
    </w:rPr>
  </w:style>
  <w:style w:type="character" w:styleId="UnresolvedMention">
    <w:name w:val="Unresolved Mention"/>
    <w:basedOn w:val="DefaultParagraphFont"/>
    <w:uiPriority w:val="99"/>
    <w:semiHidden/>
    <w:unhideWhenUsed/>
    <w:rsid w:val="00C67A68"/>
    <w:rPr>
      <w:color w:val="605E5C"/>
      <w:shd w:val="clear" w:color="auto" w:fill="E1DFDD"/>
    </w:rPr>
  </w:style>
  <w:style w:type="character" w:styleId="FollowedHyperlink">
    <w:name w:val="FollowedHyperlink"/>
    <w:basedOn w:val="DefaultParagraphFont"/>
    <w:uiPriority w:val="99"/>
    <w:semiHidden/>
    <w:unhideWhenUsed/>
    <w:rsid w:val="00C67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us/sites/default/files/cn/SP36_CACFP15_SFSP11-2017a1.pdf" TargetMode="External"/><Relationship Id="rId13" Type="http://schemas.openxmlformats.org/officeDocument/2006/relationships/hyperlink" Target="https://www.cde.state.co.us/nutrition/verificationletterofverificationresul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state.co.us/nutrition/schoolmealeligibility#verification" TargetMode="External"/><Relationship Id="rId12" Type="http://schemas.openxmlformats.org/officeDocument/2006/relationships/hyperlink" Target="https://www.cde.state.co.us/nutrition/verificationnotificationselectionverific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ns-prod.azureedge.us/sites/default/files/cn/SP36_CACFP15_SFSP11-2017a1.pdf" TargetMode="External"/><Relationship Id="rId5" Type="http://schemas.openxmlformats.org/officeDocument/2006/relationships/footnotes" Target="footnotes.xml"/><Relationship Id="rId15" Type="http://schemas.openxmlformats.org/officeDocument/2006/relationships/hyperlink" Target="https://www.cde.state.co.us/nutrition/schoolmealeligibility" TargetMode="External"/><Relationship Id="rId10" Type="http://schemas.openxmlformats.org/officeDocument/2006/relationships/hyperlink" Target="https://www.cde.state.co.us/nutrition/verificationerrorpronecha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state.co.us/nutrition/schoolmealeligibility" TargetMode="External"/><Relationship Id="rId14" Type="http://schemas.openxmlformats.org/officeDocument/2006/relationships/hyperlink" Target="https://fns-prod.azureedge.us/sites/default/files/cn/SP36_CACFP15_SFSP11-2017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Brehan</dc:creator>
  <cp:lastModifiedBy>Burnham, Rachael</cp:lastModifiedBy>
  <cp:revision>4</cp:revision>
  <dcterms:created xsi:type="dcterms:W3CDTF">2019-07-31T18:14:00Z</dcterms:created>
  <dcterms:modified xsi:type="dcterms:W3CDTF">2022-10-03T22:24:00Z</dcterms:modified>
</cp:coreProperties>
</file>