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pPr w:leftFromText="180" w:rightFromText="180" w:vertAnchor="text" w:tblpY="-119"/>
        <w:tblW w:w="5003" w:type="pct"/>
        <w:tblLook w:val="04A0" w:firstRow="1" w:lastRow="0" w:firstColumn="1" w:lastColumn="0" w:noHBand="0" w:noVBand="1"/>
      </w:tblPr>
      <w:tblGrid>
        <w:gridCol w:w="767"/>
        <w:gridCol w:w="8589"/>
      </w:tblGrid>
      <w:tr w:rsidR="00D71EA8" w:rsidRPr="009732F4" w14:paraId="1AC315C6" w14:textId="77777777" w:rsidTr="00D71EA8">
        <w:trPr>
          <w:trHeight w:val="512"/>
        </w:trPr>
        <w:tc>
          <w:tcPr>
            <w:tcW w:w="5000" w:type="pct"/>
            <w:gridSpan w:val="2"/>
            <w:shd w:val="pct15" w:color="auto" w:fill="auto"/>
            <w:vAlign w:val="center"/>
          </w:tcPr>
          <w:p w14:paraId="0C9DBF5D" w14:textId="77777777" w:rsidR="00D71EA8" w:rsidRPr="009732F4" w:rsidRDefault="00D71EA8" w:rsidP="00D71EA8">
            <w:pPr>
              <w:spacing w:beforeLines="60" w:before="144" w:afterLines="60" w:after="144"/>
              <w:jc w:val="center"/>
            </w:pPr>
            <w:r>
              <w:rPr>
                <w:b/>
              </w:rPr>
              <w:t>Off-Site Question</w:t>
            </w:r>
          </w:p>
        </w:tc>
      </w:tr>
      <w:tr w:rsidR="00D71EA8" w:rsidRPr="009732F4" w14:paraId="3090B7DD" w14:textId="77777777" w:rsidTr="003D41BE">
        <w:trPr>
          <w:trHeight w:val="3287"/>
        </w:trPr>
        <w:tc>
          <w:tcPr>
            <w:tcW w:w="410" w:type="pct"/>
            <w:shd w:val="pct15" w:color="auto" w:fill="auto"/>
          </w:tcPr>
          <w:p w14:paraId="49270F3E" w14:textId="77777777" w:rsidR="00D71EA8" w:rsidRPr="009732F4" w:rsidRDefault="00D71EA8" w:rsidP="00D71EA8">
            <w:pPr>
              <w:spacing w:beforeLines="60" w:before="144" w:afterLines="60" w:after="144"/>
            </w:pPr>
            <w:r w:rsidRPr="009732F4">
              <w:t>900.</w:t>
            </w:r>
          </w:p>
        </w:tc>
        <w:tc>
          <w:tcPr>
            <w:tcW w:w="4590" w:type="pct"/>
            <w:vAlign w:val="center"/>
          </w:tcPr>
          <w:p w14:paraId="7A808DD8" w14:textId="77777777" w:rsidR="00CC641D" w:rsidRDefault="00CC641D" w:rsidP="00CC641D">
            <w:pPr>
              <w:spacing w:beforeLines="60" w:before="144" w:afterLines="60" w:after="144"/>
            </w:pPr>
            <w:r>
              <w:t>a. Was the on-site monitoring of breakfast completed prior to February 1st?</w:t>
            </w:r>
          </w:p>
          <w:p w14:paraId="30CE8CE2" w14:textId="77777777" w:rsidR="00CC641D" w:rsidRDefault="00CC641D" w:rsidP="00CC641D">
            <w:pPr>
              <w:spacing w:beforeLines="60" w:before="144" w:afterLines="60" w:after="144"/>
            </w:pPr>
            <w:r>
              <w:t>b. Was the on-site monitoring of lunch completed prior to February 1st?</w:t>
            </w:r>
          </w:p>
          <w:p w14:paraId="7EFF85DA" w14:textId="77777777" w:rsidR="00CC641D" w:rsidRDefault="00CC641D" w:rsidP="00CC641D">
            <w:pPr>
              <w:spacing w:beforeLines="60" w:before="144" w:afterLines="60" w:after="144"/>
            </w:pPr>
            <w:r>
              <w:t>c. How does the SFA ensure that all schools are meeting program requirements?  For example, list in the comments, how and when the monitoring is conducted?</w:t>
            </w:r>
          </w:p>
          <w:p w14:paraId="2BBEEE8A" w14:textId="3A8EBE16" w:rsidR="00D71EA8" w:rsidRDefault="00D71EA8" w:rsidP="00D71EA8">
            <w:pPr>
              <w:spacing w:beforeLines="60" w:before="144" w:afterLines="60" w:after="144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Tips: </w:t>
            </w:r>
            <w:r w:rsidR="00141151" w:rsidRPr="005542E7">
              <w:rPr>
                <w:color w:val="FF0000"/>
              </w:rPr>
              <w:t>SFA</w:t>
            </w:r>
            <w:r w:rsidR="00141151">
              <w:rPr>
                <w:color w:val="FF0000"/>
              </w:rPr>
              <w:t>s</w:t>
            </w:r>
            <w:r w:rsidR="00141151" w:rsidRPr="005542E7">
              <w:rPr>
                <w:color w:val="FF0000"/>
              </w:rPr>
              <w:t xml:space="preserve"> with more than one </w:t>
            </w:r>
            <w:r w:rsidR="00141151">
              <w:rPr>
                <w:color w:val="FF0000"/>
              </w:rPr>
              <w:t>school</w:t>
            </w:r>
            <w:r w:rsidR="00141151" w:rsidRPr="005542E7">
              <w:rPr>
                <w:color w:val="FF0000"/>
              </w:rPr>
              <w:t xml:space="preserve"> must conduct at least one on-site review of </w:t>
            </w:r>
            <w:r w:rsidR="00141151">
              <w:rPr>
                <w:color w:val="FF0000"/>
              </w:rPr>
              <w:t xml:space="preserve">all schools operating </w:t>
            </w:r>
            <w:r w:rsidR="00141151" w:rsidRPr="005542E7">
              <w:rPr>
                <w:color w:val="FF0000"/>
              </w:rPr>
              <w:t xml:space="preserve">lunch </w:t>
            </w:r>
            <w:r w:rsidR="00141151">
              <w:rPr>
                <w:color w:val="FF0000"/>
              </w:rPr>
              <w:t xml:space="preserve">and 50% of schools operating breakfast, with each school operating breakfast to be monitored at least once every two years. On-site monitoring reviews must be completed before February 1 of each year and must include a review of counting and claiming systems and of </w:t>
            </w:r>
            <w:r w:rsidR="00141151" w:rsidRPr="003D0725">
              <w:rPr>
                <w:color w:val="FF0000"/>
              </w:rPr>
              <w:t>general areas of review that are easily observable, which could include, but is not limited to,</w:t>
            </w:r>
            <w:r w:rsidR="00141151">
              <w:rPr>
                <w:color w:val="FF0000"/>
              </w:rPr>
              <w:t xml:space="preserve"> the availability of free potable water, proper food safety practices, and compliance with Civil Rights. </w:t>
            </w:r>
            <w:r w:rsidR="00141151" w:rsidRPr="005542E7">
              <w:rPr>
                <w:color w:val="FF0000"/>
              </w:rPr>
              <w:t xml:space="preserve"> The USDA template contains the minimum requirements for the on-site</w:t>
            </w:r>
            <w:r w:rsidR="00141151">
              <w:rPr>
                <w:color w:val="FF0000"/>
              </w:rPr>
              <w:t xml:space="preserve"> claim</w:t>
            </w:r>
            <w:r w:rsidR="00141151" w:rsidRPr="005542E7">
              <w:rPr>
                <w:color w:val="FF0000"/>
              </w:rPr>
              <w:t xml:space="preserve"> review.</w:t>
            </w:r>
          </w:p>
          <w:p w14:paraId="56D1DECD" w14:textId="77777777" w:rsidR="00D71EA8" w:rsidRPr="003D41BE" w:rsidRDefault="00D71EA8" w:rsidP="00D71EA8">
            <w:pPr>
              <w:spacing w:beforeLines="60" w:before="144" w:afterLines="60" w:after="144"/>
              <w:rPr>
                <w:color w:val="5C6670"/>
                <w:kern w:val="24"/>
              </w:rPr>
            </w:pPr>
            <w:r w:rsidRPr="003D41BE">
              <w:rPr>
                <w:b/>
                <w:color w:val="FF0000"/>
              </w:rPr>
              <w:t>Resources:</w:t>
            </w:r>
            <w:r w:rsidRPr="003D41BE">
              <w:rPr>
                <w:color w:val="5C6670"/>
                <w:kern w:val="24"/>
              </w:rPr>
              <w:t xml:space="preserve"> </w:t>
            </w:r>
          </w:p>
          <w:p w14:paraId="4C5D40EE" w14:textId="6CE153A6" w:rsidR="00D71EA8" w:rsidRPr="00813C48" w:rsidRDefault="00813C48" w:rsidP="003D41BE">
            <w:pPr>
              <w:pStyle w:val="ListParagraph"/>
              <w:numPr>
                <w:ilvl w:val="0"/>
                <w:numId w:val="4"/>
              </w:numPr>
              <w:spacing w:beforeLines="60" w:before="144" w:afterLines="60" w:after="144"/>
              <w:rPr>
                <w:rFonts w:asciiTheme="minorHAnsi" w:hAnsiTheme="minorHAnsi" w:cstheme="minorHAnsi"/>
                <w:color w:val="FF0000"/>
              </w:rPr>
            </w:pPr>
            <w:r w:rsidRPr="00813C4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On-Site monitoring template: </w:t>
            </w:r>
            <w:hyperlink r:id="rId7" w:history="1">
              <w:r w:rsidRPr="00813C4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https://www.cde.state.co.us/nutrition/administrativereviewonsitereviewchecklist</w:t>
              </w:r>
            </w:hyperlink>
            <w:r w:rsidRPr="00813C48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3AEA651D" w14:textId="77777777" w:rsidR="00A80822" w:rsidRDefault="00A80822" w:rsidP="00B70371"/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808"/>
        <w:gridCol w:w="8525"/>
      </w:tblGrid>
      <w:tr w:rsidR="001131F1" w:rsidRPr="001131F1" w14:paraId="26583772" w14:textId="77777777" w:rsidTr="000739F6">
        <w:trPr>
          <w:trHeight w:val="611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D35DC7B" w14:textId="77777777" w:rsidR="001131F1" w:rsidRPr="001131F1" w:rsidRDefault="001131F1" w:rsidP="000739F6">
            <w:pPr>
              <w:spacing w:beforeLines="60" w:before="144" w:afterLines="60" w:after="144"/>
              <w:jc w:val="center"/>
              <w:rPr>
                <w:b/>
              </w:rPr>
            </w:pPr>
            <w:r w:rsidRPr="001131F1">
              <w:rPr>
                <w:b/>
              </w:rPr>
              <w:t>On-Site Questions</w:t>
            </w:r>
          </w:p>
        </w:tc>
      </w:tr>
      <w:tr w:rsidR="007B05F6" w:rsidRPr="001131F1" w14:paraId="2A90D9D2" w14:textId="77777777" w:rsidTr="007B05F6">
        <w:trPr>
          <w:trHeight w:val="548"/>
        </w:trPr>
        <w:tc>
          <w:tcPr>
            <w:tcW w:w="5000" w:type="pct"/>
            <w:gridSpan w:val="2"/>
          </w:tcPr>
          <w:p w14:paraId="2153E54F" w14:textId="73ECDB88" w:rsidR="007B05F6" w:rsidRPr="001131F1" w:rsidRDefault="007B05F6" w:rsidP="000739F6">
            <w:pPr>
              <w:spacing w:beforeLines="60" w:before="144" w:afterLines="60" w:after="144"/>
            </w:pPr>
            <w:r>
              <w:t>School Level Questions</w:t>
            </w:r>
            <w:r w:rsidR="0003145D">
              <w:t xml:space="preserve">  </w:t>
            </w:r>
          </w:p>
        </w:tc>
      </w:tr>
      <w:tr w:rsidR="001131F1" w:rsidRPr="001131F1" w14:paraId="5FC52E66" w14:textId="77777777" w:rsidTr="000739F6">
        <w:trPr>
          <w:trHeight w:val="1178"/>
        </w:trPr>
        <w:tc>
          <w:tcPr>
            <w:tcW w:w="433" w:type="pct"/>
          </w:tcPr>
          <w:p w14:paraId="12012A21" w14:textId="77777777" w:rsidR="001131F1" w:rsidRPr="001131F1" w:rsidRDefault="001131F1" w:rsidP="000739F6">
            <w:pPr>
              <w:spacing w:beforeLines="60" w:before="144" w:afterLines="60" w:after="144"/>
              <w:ind w:left="30"/>
            </w:pPr>
            <w:r w:rsidRPr="001131F1">
              <w:t>901.</w:t>
            </w:r>
          </w:p>
          <w:p w14:paraId="51B9E97D" w14:textId="77777777" w:rsidR="001131F1" w:rsidRPr="001131F1" w:rsidRDefault="001131F1" w:rsidP="000739F6">
            <w:pPr>
              <w:spacing w:beforeLines="60" w:before="144" w:afterLines="60" w:after="144"/>
            </w:pPr>
          </w:p>
        </w:tc>
        <w:tc>
          <w:tcPr>
            <w:tcW w:w="4567" w:type="pct"/>
            <w:vAlign w:val="center"/>
          </w:tcPr>
          <w:p w14:paraId="643F2E69" w14:textId="77777777" w:rsidR="001131F1" w:rsidRDefault="001131F1" w:rsidP="000739F6">
            <w:pPr>
              <w:spacing w:beforeLines="60" w:before="144" w:afterLines="60" w:after="144"/>
            </w:pPr>
            <w:r w:rsidRPr="001131F1">
              <w:t>Was the on-site review of the meal counting and claiming procedure completed prior to February 1?</w:t>
            </w:r>
            <w:r w:rsidR="008F1D0E">
              <w:t xml:space="preserve"> </w:t>
            </w:r>
            <w:r w:rsidRPr="001131F1">
              <w:t>If NO, was an extension requested and approved by the State agency?</w:t>
            </w:r>
          </w:p>
          <w:p w14:paraId="66E44F5A" w14:textId="77777777" w:rsidR="006B3229" w:rsidRPr="006B3229" w:rsidRDefault="006B3229" w:rsidP="000739F6">
            <w:pPr>
              <w:spacing w:beforeLines="60" w:before="144" w:afterLines="60" w:after="144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Tips: </w:t>
            </w:r>
            <w:r>
              <w:rPr>
                <w:color w:val="FF0000"/>
              </w:rPr>
              <w:t>If the SFA is unable to meet the February 1 deadline, they must contact CDE to seek approval.</w:t>
            </w:r>
          </w:p>
        </w:tc>
      </w:tr>
    </w:tbl>
    <w:tbl>
      <w:tblPr>
        <w:tblStyle w:val="TableGrid1"/>
        <w:tblW w:w="4991" w:type="pct"/>
        <w:tblLook w:val="04A0" w:firstRow="1" w:lastRow="0" w:firstColumn="1" w:lastColumn="0" w:noHBand="0" w:noVBand="1"/>
      </w:tblPr>
      <w:tblGrid>
        <w:gridCol w:w="808"/>
        <w:gridCol w:w="8525"/>
      </w:tblGrid>
      <w:tr w:rsidR="001131F1" w:rsidRPr="001131F1" w14:paraId="49DE929E" w14:textId="77777777" w:rsidTr="000739F6">
        <w:trPr>
          <w:trHeight w:val="1530"/>
        </w:trPr>
        <w:tc>
          <w:tcPr>
            <w:tcW w:w="433" w:type="pct"/>
            <w:tcBorders>
              <w:top w:val="nil"/>
            </w:tcBorders>
          </w:tcPr>
          <w:p w14:paraId="2A91DED1" w14:textId="77777777" w:rsidR="001131F1" w:rsidRPr="001131F1" w:rsidRDefault="001131F1" w:rsidP="000739F6">
            <w:pPr>
              <w:spacing w:beforeLines="60" w:before="144" w:afterLines="60" w:after="144"/>
              <w:ind w:left="30"/>
            </w:pPr>
            <w:r w:rsidRPr="001131F1">
              <w:t>902.</w:t>
            </w:r>
          </w:p>
        </w:tc>
        <w:tc>
          <w:tcPr>
            <w:tcW w:w="4567" w:type="pct"/>
            <w:tcBorders>
              <w:top w:val="nil"/>
            </w:tcBorders>
            <w:vAlign w:val="center"/>
          </w:tcPr>
          <w:p w14:paraId="391DB0A6" w14:textId="77777777" w:rsidR="001131F1" w:rsidRPr="001131F1" w:rsidRDefault="001131F1" w:rsidP="008F1D0E">
            <w:pPr>
              <w:pStyle w:val="NoSpacing"/>
            </w:pPr>
            <w:r w:rsidRPr="001131F1">
              <w:t xml:space="preserve">a. Was corrective action of the meal counting and claiming procedure required? </w:t>
            </w:r>
          </w:p>
          <w:p w14:paraId="430E970A" w14:textId="77777777" w:rsidR="001131F1" w:rsidRPr="001131F1" w:rsidRDefault="001131F1" w:rsidP="008F1D0E">
            <w:pPr>
              <w:pStyle w:val="NoSpacing"/>
            </w:pPr>
            <w:r w:rsidRPr="001131F1">
              <w:t>b. If YES, was corrective action sufficient?</w:t>
            </w:r>
          </w:p>
          <w:p w14:paraId="21C52018" w14:textId="77777777" w:rsidR="006B3229" w:rsidRDefault="001131F1" w:rsidP="008F1D0E">
            <w:pPr>
              <w:pStyle w:val="NoSpacing"/>
            </w:pPr>
            <w:r w:rsidRPr="001131F1">
              <w:t>c. Was a follow-up review conducted within 45 days to ensure that the school implemented corrective action?</w:t>
            </w:r>
          </w:p>
          <w:p w14:paraId="226CFACF" w14:textId="77777777" w:rsidR="006B3229" w:rsidRPr="006B3229" w:rsidRDefault="006B3229" w:rsidP="000739F6">
            <w:pPr>
              <w:spacing w:beforeLines="60" w:before="144" w:afterLines="60" w:after="144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Tips: </w:t>
            </w:r>
            <w:r w:rsidR="00FB0D96" w:rsidRPr="00F91601">
              <w:rPr>
                <w:rFonts w:eastAsia="Times New Roman" w:cs="Times New Roman"/>
                <w:color w:val="FF0000"/>
              </w:rPr>
              <w:t>If the review discloses problems with a school's meal counting and claiming procedures, the SFA must ensure that the school implements corrective action, and within 45 days of the review, conduct a follow-up on-site review to determine that the corrective action resolved the problems.</w:t>
            </w:r>
          </w:p>
        </w:tc>
      </w:tr>
    </w:tbl>
    <w:tbl>
      <w:tblPr>
        <w:tblStyle w:val="TableGrid2"/>
        <w:tblW w:w="4991" w:type="pct"/>
        <w:tblLook w:val="04A0" w:firstRow="1" w:lastRow="0" w:firstColumn="1" w:lastColumn="0" w:noHBand="0" w:noVBand="1"/>
      </w:tblPr>
      <w:tblGrid>
        <w:gridCol w:w="808"/>
        <w:gridCol w:w="8525"/>
      </w:tblGrid>
      <w:tr w:rsidR="001131F1" w:rsidRPr="001131F1" w14:paraId="456D8123" w14:textId="77777777" w:rsidTr="000739F6">
        <w:trPr>
          <w:trHeight w:val="747"/>
        </w:trPr>
        <w:tc>
          <w:tcPr>
            <w:tcW w:w="433" w:type="pct"/>
            <w:tcBorders>
              <w:top w:val="nil"/>
            </w:tcBorders>
          </w:tcPr>
          <w:p w14:paraId="7AAB92CF" w14:textId="77777777" w:rsidR="001131F1" w:rsidRPr="001131F1" w:rsidRDefault="001131F1" w:rsidP="000739F6">
            <w:pPr>
              <w:spacing w:beforeLines="60" w:before="144" w:afterLines="60" w:after="144"/>
              <w:ind w:left="30"/>
            </w:pPr>
            <w:r w:rsidRPr="001131F1">
              <w:t>903.</w:t>
            </w:r>
          </w:p>
        </w:tc>
        <w:tc>
          <w:tcPr>
            <w:tcW w:w="4567" w:type="pct"/>
            <w:tcBorders>
              <w:top w:val="nil"/>
            </w:tcBorders>
            <w:vAlign w:val="center"/>
          </w:tcPr>
          <w:p w14:paraId="232C001E" w14:textId="77777777" w:rsidR="001131F1" w:rsidRDefault="001131F1" w:rsidP="000739F6">
            <w:pPr>
              <w:spacing w:beforeLines="60" w:before="144" w:afterLines="60" w:after="144"/>
            </w:pPr>
            <w:r w:rsidRPr="001131F1">
              <w:t>Does documentation indicate that corrective action was successful?</w:t>
            </w:r>
          </w:p>
          <w:p w14:paraId="6A0D4E8C" w14:textId="77777777" w:rsidR="00EC2AFC" w:rsidRDefault="00EC2AFC" w:rsidP="000739F6">
            <w:pPr>
              <w:spacing w:beforeLines="60" w:before="144" w:afterLines="60" w:after="144"/>
              <w:rPr>
                <w:color w:val="FF0000"/>
              </w:rPr>
            </w:pPr>
            <w:r>
              <w:rPr>
                <w:b/>
                <w:color w:val="FF0000"/>
              </w:rPr>
              <w:t xml:space="preserve">Tips: </w:t>
            </w:r>
            <w:r w:rsidR="00193A22">
              <w:rPr>
                <w:color w:val="FF0000"/>
              </w:rPr>
              <w:t xml:space="preserve">Documentation of corrective action must clearly show that issues with meal counting and claiming procedures have been resolved.  </w:t>
            </w:r>
          </w:p>
          <w:p w14:paraId="1B8B2DEC" w14:textId="77777777" w:rsidR="00CA00FC" w:rsidRPr="00EC2AFC" w:rsidRDefault="00CA00FC" w:rsidP="000739F6">
            <w:pPr>
              <w:spacing w:beforeLines="60" w:before="144" w:afterLines="60" w:after="144"/>
              <w:rPr>
                <w:color w:val="FF0000"/>
              </w:rPr>
            </w:pPr>
          </w:p>
        </w:tc>
      </w:tr>
      <w:tr w:rsidR="00C537DF" w:rsidRPr="005542E7" w14:paraId="32652DB3" w14:textId="77777777" w:rsidTr="00C537DF">
        <w:trPr>
          <w:trHeight w:val="747"/>
        </w:trPr>
        <w:tc>
          <w:tcPr>
            <w:tcW w:w="433" w:type="pct"/>
          </w:tcPr>
          <w:p w14:paraId="150003B8" w14:textId="77777777" w:rsidR="00C537DF" w:rsidRPr="005542E7" w:rsidRDefault="00C537DF" w:rsidP="000F7B6B">
            <w:pPr>
              <w:spacing w:beforeLines="60" w:before="144" w:afterLines="60" w:after="144"/>
              <w:ind w:left="30"/>
            </w:pPr>
            <w:r>
              <w:lastRenderedPageBreak/>
              <w:t>904.</w:t>
            </w:r>
          </w:p>
        </w:tc>
        <w:tc>
          <w:tcPr>
            <w:tcW w:w="4567" w:type="pct"/>
          </w:tcPr>
          <w:p w14:paraId="3C9B61D1" w14:textId="77777777" w:rsidR="00C537DF" w:rsidRDefault="00C537DF" w:rsidP="000F7B6B">
            <w:pPr>
              <w:spacing w:beforeLines="60" w:before="144" w:afterLines="60" w:after="144"/>
            </w:pPr>
            <w:r w:rsidRPr="00AE7BCD">
              <w:t xml:space="preserve">Was corrective action in the general areas of review that are readily observable required? </w:t>
            </w:r>
          </w:p>
          <w:p w14:paraId="30045CB4" w14:textId="77777777" w:rsidR="00C537DF" w:rsidRPr="00391F0A" w:rsidRDefault="00C537DF" w:rsidP="00C537DF">
            <w:pPr>
              <w:spacing w:beforeLines="60" w:before="144" w:afterLines="60" w:after="144"/>
              <w:rPr>
                <w:color w:val="FF0000"/>
              </w:rPr>
            </w:pPr>
            <w:r w:rsidRPr="005542E7">
              <w:rPr>
                <w:b/>
                <w:color w:val="FF0000"/>
              </w:rPr>
              <w:t>Tips:</w:t>
            </w:r>
            <w:r w:rsidR="00141151" w:rsidRPr="00F91601">
              <w:rPr>
                <w:rFonts w:eastAsia="Times New Roman" w:cs="Times New Roman"/>
                <w:color w:val="FF0000"/>
              </w:rPr>
              <w:t xml:space="preserve"> If the review discloses problems </w:t>
            </w:r>
            <w:r w:rsidR="00141151">
              <w:rPr>
                <w:rFonts w:eastAsia="Times New Roman" w:cs="Times New Roman"/>
                <w:color w:val="FF0000"/>
              </w:rPr>
              <w:t>in any general areas of review</w:t>
            </w:r>
            <w:r w:rsidR="00141151" w:rsidRPr="00F91601">
              <w:rPr>
                <w:rFonts w:eastAsia="Times New Roman" w:cs="Times New Roman"/>
                <w:color w:val="FF0000"/>
              </w:rPr>
              <w:t>, the SFA must ensure that the school implements corrective action</w:t>
            </w:r>
            <w:r w:rsidR="00141151">
              <w:rPr>
                <w:rFonts w:eastAsia="Times New Roman" w:cs="Times New Roman"/>
                <w:color w:val="FF0000"/>
              </w:rPr>
              <w:t xml:space="preserve"> and</w:t>
            </w:r>
            <w:r w:rsidR="00141151" w:rsidRPr="00F91601">
              <w:rPr>
                <w:rFonts w:eastAsia="Times New Roman" w:cs="Times New Roman"/>
                <w:color w:val="FF0000"/>
              </w:rPr>
              <w:t xml:space="preserve"> conduct</w:t>
            </w:r>
            <w:r w:rsidR="00141151">
              <w:rPr>
                <w:rFonts w:eastAsia="Times New Roman" w:cs="Times New Roman"/>
                <w:color w:val="FF0000"/>
              </w:rPr>
              <w:t>s</w:t>
            </w:r>
            <w:r w:rsidR="00141151" w:rsidRPr="00F91601">
              <w:rPr>
                <w:rFonts w:eastAsia="Times New Roman" w:cs="Times New Roman"/>
                <w:color w:val="FF0000"/>
              </w:rPr>
              <w:t xml:space="preserve"> a follow-up on-site review to determine that the corrective action resolved the problems.</w:t>
            </w:r>
          </w:p>
        </w:tc>
      </w:tr>
    </w:tbl>
    <w:p w14:paraId="6E96EA5D" w14:textId="77777777" w:rsidR="008F1D0E" w:rsidRDefault="008F1D0E" w:rsidP="008F1D0E">
      <w:pPr>
        <w:jc w:val="center"/>
      </w:pPr>
    </w:p>
    <w:p w14:paraId="2EA9F6C9" w14:textId="77777777" w:rsidR="00A80822" w:rsidRDefault="00A80822" w:rsidP="008F1D0E">
      <w:pPr>
        <w:jc w:val="center"/>
      </w:pPr>
    </w:p>
    <w:sectPr w:rsidR="00A808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397B" w14:textId="77777777" w:rsidR="006B3229" w:rsidRDefault="006B3229" w:rsidP="00A80822">
      <w:pPr>
        <w:spacing w:after="0" w:line="240" w:lineRule="auto"/>
      </w:pPr>
      <w:r>
        <w:separator/>
      </w:r>
    </w:p>
  </w:endnote>
  <w:endnote w:type="continuationSeparator" w:id="0">
    <w:p w14:paraId="655A6598" w14:textId="77777777" w:rsidR="006B3229" w:rsidRDefault="006B3229" w:rsidP="00A8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1E39" w14:textId="3734035F" w:rsidR="006B3229" w:rsidRPr="00AC2482" w:rsidRDefault="00AC2482" w:rsidP="00986EEE">
    <w:pPr>
      <w:autoSpaceDE w:val="0"/>
      <w:autoSpaceDN w:val="0"/>
      <w:adjustRightInd w:val="0"/>
      <w:spacing w:after="0" w:line="240" w:lineRule="auto"/>
      <w:rPr>
        <w:rFonts w:cs="Arial"/>
      </w:rPr>
    </w:pPr>
    <w:r w:rsidRPr="00AC2482">
      <w:tab/>
    </w:r>
    <w:r w:rsidRPr="00AC2482">
      <w:tab/>
    </w:r>
    <w:r w:rsidR="00AF0845">
      <w:tab/>
    </w:r>
    <w:r w:rsidR="00986EEE" w:rsidRPr="00AC2482">
      <w:rPr>
        <w:rFonts w:cs="Arial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4061" w14:textId="77777777" w:rsidR="006B3229" w:rsidRDefault="006B3229" w:rsidP="00A80822">
      <w:pPr>
        <w:spacing w:after="0" w:line="240" w:lineRule="auto"/>
      </w:pPr>
      <w:r>
        <w:separator/>
      </w:r>
    </w:p>
  </w:footnote>
  <w:footnote w:type="continuationSeparator" w:id="0">
    <w:p w14:paraId="156E146A" w14:textId="77777777" w:rsidR="006B3229" w:rsidRDefault="006B3229" w:rsidP="00A8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FC57" w14:textId="77777777" w:rsidR="006B3229" w:rsidRPr="00A80822" w:rsidRDefault="006B3229" w:rsidP="00A80822">
    <w:pPr>
      <w:pStyle w:val="Header"/>
      <w:jc w:val="center"/>
      <w:rPr>
        <w:b/>
      </w:rPr>
    </w:pPr>
    <w:r>
      <w:rPr>
        <w:b/>
      </w:rPr>
      <w:t>USDA Administrative Review: SFA On-Site Monitoring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6777"/>
    <w:multiLevelType w:val="hybridMultilevel"/>
    <w:tmpl w:val="2A58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F6217"/>
    <w:multiLevelType w:val="hybridMultilevel"/>
    <w:tmpl w:val="CD3A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A4D70"/>
    <w:multiLevelType w:val="hybridMultilevel"/>
    <w:tmpl w:val="61AEAA26"/>
    <w:lvl w:ilvl="0" w:tplc="215668D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74FF2C1B"/>
    <w:multiLevelType w:val="hybridMultilevel"/>
    <w:tmpl w:val="A2BC7A2C"/>
    <w:lvl w:ilvl="0" w:tplc="48346D4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2CEE1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E7E68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1CE9E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AD0E2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D3E1B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3C54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AE0473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D0A63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FC249E"/>
    <w:multiLevelType w:val="hybridMultilevel"/>
    <w:tmpl w:val="3B128014"/>
    <w:lvl w:ilvl="0" w:tplc="E530F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658267">
    <w:abstractNumId w:val="3"/>
  </w:num>
  <w:num w:numId="2" w16cid:durableId="1452895411">
    <w:abstractNumId w:val="0"/>
  </w:num>
  <w:num w:numId="3" w16cid:durableId="1243946821">
    <w:abstractNumId w:val="2"/>
  </w:num>
  <w:num w:numId="4" w16cid:durableId="93522443">
    <w:abstractNumId w:val="1"/>
  </w:num>
  <w:num w:numId="5" w16cid:durableId="513303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22"/>
    <w:rsid w:val="0003145D"/>
    <w:rsid w:val="000739F6"/>
    <w:rsid w:val="001131F1"/>
    <w:rsid w:val="00141151"/>
    <w:rsid w:val="00193A22"/>
    <w:rsid w:val="00287512"/>
    <w:rsid w:val="002E699F"/>
    <w:rsid w:val="00391F0A"/>
    <w:rsid w:val="003D41BE"/>
    <w:rsid w:val="003E3A1A"/>
    <w:rsid w:val="003F75B5"/>
    <w:rsid w:val="00567FF6"/>
    <w:rsid w:val="005F7A4A"/>
    <w:rsid w:val="006B3229"/>
    <w:rsid w:val="006D215B"/>
    <w:rsid w:val="007B05F6"/>
    <w:rsid w:val="00813C48"/>
    <w:rsid w:val="008F1D0E"/>
    <w:rsid w:val="00986EEE"/>
    <w:rsid w:val="00A80822"/>
    <w:rsid w:val="00AC2482"/>
    <w:rsid w:val="00AF0845"/>
    <w:rsid w:val="00B70371"/>
    <w:rsid w:val="00C537DF"/>
    <w:rsid w:val="00CA00FC"/>
    <w:rsid w:val="00CA3915"/>
    <w:rsid w:val="00CB2834"/>
    <w:rsid w:val="00CC641D"/>
    <w:rsid w:val="00CD21AB"/>
    <w:rsid w:val="00CF4183"/>
    <w:rsid w:val="00D71EA8"/>
    <w:rsid w:val="00EA3ABB"/>
    <w:rsid w:val="00EC2AFC"/>
    <w:rsid w:val="00F00CFB"/>
    <w:rsid w:val="00F43922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E1F8A2"/>
  <w15:docId w15:val="{92A7A710-27E6-41B5-A259-CDD5AB06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F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22"/>
  </w:style>
  <w:style w:type="paragraph" w:styleId="Footer">
    <w:name w:val="footer"/>
    <w:basedOn w:val="Normal"/>
    <w:link w:val="FooterChar"/>
    <w:uiPriority w:val="99"/>
    <w:unhideWhenUsed/>
    <w:rsid w:val="00A8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22"/>
  </w:style>
  <w:style w:type="table" w:customStyle="1" w:styleId="TableGrid4">
    <w:name w:val="Table Grid4"/>
    <w:basedOn w:val="TableNormal"/>
    <w:next w:val="TableGrid"/>
    <w:uiPriority w:val="59"/>
    <w:rsid w:val="001131F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1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1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13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A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3A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A1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EA8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F1D0E"/>
    <w:pPr>
      <w:spacing w:after="0" w:line="240" w:lineRule="auto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D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43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nutrition/administrativereviewonsitereviewcheck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Riley, Brehan</dc:creator>
  <cp:lastModifiedBy>Burnham, Rachael</cp:lastModifiedBy>
  <cp:revision>7</cp:revision>
  <cp:lastPrinted>2015-06-24T22:21:00Z</cp:lastPrinted>
  <dcterms:created xsi:type="dcterms:W3CDTF">2018-07-20T18:01:00Z</dcterms:created>
  <dcterms:modified xsi:type="dcterms:W3CDTF">2023-10-03T20:11:00Z</dcterms:modified>
</cp:coreProperties>
</file>