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7D" w:rsidRPr="00BF2E2B" w:rsidRDefault="00BF2E2B" w:rsidP="00080607">
      <w:pPr>
        <w:pBdr>
          <w:top w:val="single" w:sz="4" w:space="1" w:color="auto"/>
          <w:bottom w:val="single" w:sz="4" w:space="1" w:color="auto"/>
        </w:pBdr>
        <w:shd w:val="clear" w:color="auto" w:fill="000000" w:themeFill="text1"/>
        <w:jc w:val="center"/>
        <w:rPr>
          <w:b/>
        </w:rPr>
      </w:pPr>
      <w:bookmarkStart w:id="0" w:name="_GoBack"/>
      <w:bookmarkEnd w:id="0"/>
      <w:r w:rsidRPr="00BF2E2B">
        <w:rPr>
          <w:b/>
        </w:rPr>
        <w:t xml:space="preserve">Needs Assessment </w:t>
      </w:r>
      <w:proofErr w:type="spellStart"/>
      <w:r w:rsidRPr="00BF2E2B">
        <w:rPr>
          <w:b/>
        </w:rPr>
        <w:t>Notecatcher</w:t>
      </w:r>
      <w:proofErr w:type="spellEnd"/>
    </w:p>
    <w:p w:rsidR="00BF2E2B" w:rsidRDefault="00BF2E2B"/>
    <w:p w:rsidR="00BF2E2B" w:rsidRDefault="00BF2E2B"/>
    <w:p w:rsidR="00BF2E2B" w:rsidRPr="00080607" w:rsidRDefault="00080607">
      <w:pPr>
        <w:rPr>
          <w:i/>
        </w:rPr>
      </w:pPr>
      <w:r w:rsidRPr="00080607">
        <w:rPr>
          <w:i/>
        </w:rPr>
        <w:t>From the Draft Schoolwide Rubric</w:t>
      </w:r>
    </w:p>
    <w:p w:rsidR="00BF2E2B" w:rsidRDefault="00BF2E2B"/>
    <w:tbl>
      <w:tblPr>
        <w:tblStyle w:val="TableGrid"/>
        <w:tblW w:w="0" w:type="auto"/>
        <w:tblLook w:val="04A0" w:firstRow="1" w:lastRow="0" w:firstColumn="1" w:lastColumn="0" w:noHBand="0" w:noVBand="1"/>
      </w:tblPr>
      <w:tblGrid>
        <w:gridCol w:w="3189"/>
        <w:gridCol w:w="3188"/>
        <w:gridCol w:w="3199"/>
      </w:tblGrid>
      <w:tr w:rsidR="00BF2E2B" w:rsidTr="00BF2E2B">
        <w:tc>
          <w:tcPr>
            <w:tcW w:w="9576" w:type="dxa"/>
            <w:gridSpan w:val="3"/>
            <w:shd w:val="clear" w:color="auto" w:fill="D9D9D9" w:themeFill="background1" w:themeFillShade="D9"/>
          </w:tcPr>
          <w:p w:rsidR="00BF2E2B" w:rsidRDefault="00BF2E2B" w:rsidP="006253B9">
            <w:pPr>
              <w:rPr>
                <w:b/>
              </w:rPr>
            </w:pPr>
            <w:r w:rsidRPr="00266396">
              <w:rPr>
                <w:b/>
              </w:rPr>
              <w:t>3. Comprehensive Needs Assessment</w:t>
            </w:r>
          </w:p>
        </w:tc>
      </w:tr>
      <w:tr w:rsidR="00BF2E2B" w:rsidTr="00BF2E2B">
        <w:tc>
          <w:tcPr>
            <w:tcW w:w="9576" w:type="dxa"/>
            <w:gridSpan w:val="3"/>
          </w:tcPr>
          <w:p w:rsidR="00BF2E2B" w:rsidRPr="00FF6BCF" w:rsidRDefault="00BF2E2B" w:rsidP="00BF2E2B">
            <w:pPr>
              <w:pStyle w:val="ListParagraph"/>
              <w:numPr>
                <w:ilvl w:val="0"/>
                <w:numId w:val="1"/>
              </w:numPr>
              <w:rPr>
                <w:b/>
              </w:rPr>
            </w:pPr>
            <w:r w:rsidRPr="00FF6BCF">
              <w:t xml:space="preserve">Provide the outcomes of the school’s comprehensive needs assessment, as well as a description of the data sources used in the process. Findings should include detailed analysis of all student subgroups; an examination of student, teacher, school and community strengths and needs; and </w:t>
            </w:r>
            <w:proofErr w:type="gramStart"/>
            <w:r w:rsidRPr="00FF6BCF">
              <w:t>a summary priorities</w:t>
            </w:r>
            <w:proofErr w:type="gramEnd"/>
            <w:r w:rsidRPr="00FF6BCF">
              <w:t xml:space="preserve"> that will be addressed in the schoolwide plan.</w:t>
            </w:r>
          </w:p>
        </w:tc>
      </w:tr>
      <w:tr w:rsidR="00BF2E2B" w:rsidTr="00BF2E2B">
        <w:tc>
          <w:tcPr>
            <w:tcW w:w="9576" w:type="dxa"/>
            <w:gridSpan w:val="3"/>
          </w:tcPr>
          <w:p w:rsidR="00BF2E2B" w:rsidRPr="00FF6BCF" w:rsidRDefault="00BF2E2B" w:rsidP="00BF2E2B">
            <w:pPr>
              <w:pStyle w:val="ListParagraph"/>
              <w:numPr>
                <w:ilvl w:val="0"/>
                <w:numId w:val="1"/>
              </w:numPr>
            </w:pPr>
            <w:r w:rsidRPr="00FF6BCF">
              <w:rPr>
                <w:rFonts w:asciiTheme="minorHAnsi" w:hAnsiTheme="minorHAnsi" w:cs="NewCenturySchlbk-Roman"/>
              </w:rPr>
              <w:t>An eligible school operating a schoolwide program shall develop a comprehensive plan that is based on a comprehensive needs assessment of the entire school that takes into account information on the academic achievement of children in relation to the challenging State academic standards, particularly the needs of those children who are failing, or are at-risk of failing, to meet the challenging Sate academic standards and any other factors as determined by the local educational agency. [1008(b)(7)]</w:t>
            </w:r>
          </w:p>
        </w:tc>
      </w:tr>
      <w:tr w:rsidR="00BF2E2B" w:rsidTr="00BF2E2B">
        <w:tc>
          <w:tcPr>
            <w:tcW w:w="3189" w:type="dxa"/>
          </w:tcPr>
          <w:p w:rsidR="00BF2E2B" w:rsidRPr="00EA1EDA" w:rsidRDefault="00BF2E2B" w:rsidP="006253B9">
            <w:pPr>
              <w:rPr>
                <w:b/>
              </w:rPr>
            </w:pPr>
            <w:r>
              <w:rPr>
                <w:b/>
              </w:rPr>
              <w:t>Meets Expectations</w:t>
            </w:r>
          </w:p>
        </w:tc>
        <w:tc>
          <w:tcPr>
            <w:tcW w:w="3188" w:type="dxa"/>
          </w:tcPr>
          <w:p w:rsidR="00BF2E2B" w:rsidRPr="00EA1EDA" w:rsidRDefault="00BF2E2B" w:rsidP="006253B9">
            <w:pPr>
              <w:rPr>
                <w:b/>
              </w:rPr>
            </w:pPr>
            <w:r w:rsidRPr="00EA1EDA">
              <w:rPr>
                <w:b/>
              </w:rPr>
              <w:t>Developing</w:t>
            </w:r>
          </w:p>
        </w:tc>
        <w:tc>
          <w:tcPr>
            <w:tcW w:w="3199" w:type="dxa"/>
          </w:tcPr>
          <w:p w:rsidR="00BF2E2B" w:rsidRPr="00EA1EDA" w:rsidRDefault="00BF2E2B" w:rsidP="006253B9">
            <w:pPr>
              <w:rPr>
                <w:b/>
              </w:rPr>
            </w:pPr>
            <w:r>
              <w:rPr>
                <w:b/>
              </w:rPr>
              <w:t>Does Not Meet Expectations</w:t>
            </w:r>
          </w:p>
        </w:tc>
      </w:tr>
      <w:tr w:rsidR="00BF2E2B" w:rsidTr="00BF2E2B">
        <w:tc>
          <w:tcPr>
            <w:tcW w:w="3189" w:type="dxa"/>
          </w:tcPr>
          <w:p w:rsidR="00BF2E2B" w:rsidRPr="00A831FB" w:rsidRDefault="00BF2E2B" w:rsidP="006253B9">
            <w:pPr>
              <w:rPr>
                <w:sz w:val="20"/>
                <w:szCs w:val="20"/>
              </w:rPr>
            </w:pPr>
            <w:r w:rsidRPr="00A831FB">
              <w:rPr>
                <w:sz w:val="20"/>
                <w:szCs w:val="20"/>
              </w:rPr>
              <w:t>Includes a variety of data, including performance</w:t>
            </w:r>
            <w:r>
              <w:rPr>
                <w:sz w:val="20"/>
                <w:szCs w:val="20"/>
              </w:rPr>
              <w:t xml:space="preserve"> (e.g., local and state student assessment data)</w:t>
            </w:r>
            <w:r w:rsidRPr="00A831FB">
              <w:rPr>
                <w:sz w:val="20"/>
                <w:szCs w:val="20"/>
              </w:rPr>
              <w:t xml:space="preserve"> and non-performance </w:t>
            </w:r>
            <w:r>
              <w:rPr>
                <w:sz w:val="20"/>
                <w:szCs w:val="20"/>
              </w:rPr>
              <w:t xml:space="preserve">student </w:t>
            </w:r>
            <w:r w:rsidRPr="00A831FB">
              <w:rPr>
                <w:sz w:val="20"/>
                <w:szCs w:val="20"/>
              </w:rPr>
              <w:t>data</w:t>
            </w:r>
            <w:r>
              <w:rPr>
                <w:sz w:val="20"/>
                <w:szCs w:val="20"/>
              </w:rPr>
              <w:t xml:space="preserve"> (e.g., student attendance)</w:t>
            </w:r>
            <w:r w:rsidRPr="00A831FB">
              <w:rPr>
                <w:sz w:val="20"/>
                <w:szCs w:val="20"/>
              </w:rPr>
              <w:t xml:space="preserve">, </w:t>
            </w:r>
            <w:r>
              <w:rPr>
                <w:sz w:val="20"/>
                <w:szCs w:val="20"/>
              </w:rPr>
              <w:t xml:space="preserve">and process data about the schools system (e.g., diagnostic review) </w:t>
            </w:r>
            <w:r w:rsidRPr="00A831FB">
              <w:rPr>
                <w:sz w:val="20"/>
                <w:szCs w:val="20"/>
              </w:rPr>
              <w:t>and perception data, gathered from several sources.</w:t>
            </w:r>
          </w:p>
        </w:tc>
        <w:tc>
          <w:tcPr>
            <w:tcW w:w="3188" w:type="dxa"/>
          </w:tcPr>
          <w:p w:rsidR="00BF2E2B" w:rsidRPr="00A831FB" w:rsidRDefault="00BF2E2B" w:rsidP="006253B9">
            <w:pPr>
              <w:rPr>
                <w:sz w:val="20"/>
                <w:szCs w:val="20"/>
              </w:rPr>
            </w:pPr>
            <w:r w:rsidRPr="00A831FB">
              <w:rPr>
                <w:sz w:val="20"/>
                <w:szCs w:val="20"/>
              </w:rPr>
              <w:t>Includes performance and/or non-performance data gathered from a limited number of sources.</w:t>
            </w:r>
          </w:p>
        </w:tc>
        <w:tc>
          <w:tcPr>
            <w:tcW w:w="3199" w:type="dxa"/>
          </w:tcPr>
          <w:p w:rsidR="00BF2E2B" w:rsidRPr="00A831FB" w:rsidRDefault="00BF2E2B" w:rsidP="006253B9">
            <w:pPr>
              <w:rPr>
                <w:sz w:val="20"/>
                <w:szCs w:val="20"/>
              </w:rPr>
            </w:pPr>
            <w:r>
              <w:rPr>
                <w:sz w:val="20"/>
                <w:szCs w:val="20"/>
              </w:rPr>
              <w:t>D</w:t>
            </w:r>
            <w:r w:rsidRPr="00A831FB">
              <w:rPr>
                <w:sz w:val="20"/>
                <w:szCs w:val="20"/>
              </w:rPr>
              <w:t xml:space="preserve">ata gathered </w:t>
            </w:r>
            <w:r>
              <w:rPr>
                <w:sz w:val="20"/>
                <w:szCs w:val="20"/>
              </w:rPr>
              <w:t>is limited so that it is difficult to gain an accurate picture of the school’s needs.</w:t>
            </w:r>
          </w:p>
        </w:tc>
      </w:tr>
      <w:tr w:rsidR="00BF2E2B" w:rsidTr="00BF2E2B">
        <w:tc>
          <w:tcPr>
            <w:tcW w:w="3189" w:type="dxa"/>
          </w:tcPr>
          <w:p w:rsidR="00BF2E2B" w:rsidRPr="00A831FB" w:rsidRDefault="00BF2E2B" w:rsidP="006253B9">
            <w:pPr>
              <w:rPr>
                <w:sz w:val="20"/>
                <w:szCs w:val="20"/>
              </w:rPr>
            </w:pPr>
            <w:r>
              <w:rPr>
                <w:sz w:val="20"/>
                <w:szCs w:val="20"/>
              </w:rPr>
              <w:t>Includes detailed analysis of performance and non-performance data for each student subgroup identified in 1111(c</w:t>
            </w:r>
            <w:proofErr w:type="gramStart"/>
            <w:r>
              <w:rPr>
                <w:sz w:val="20"/>
                <w:szCs w:val="20"/>
              </w:rPr>
              <w:t>)(</w:t>
            </w:r>
            <w:proofErr w:type="gramEnd"/>
            <w:r>
              <w:rPr>
                <w:sz w:val="20"/>
                <w:szCs w:val="20"/>
              </w:rPr>
              <w:t>2) of ESSA (economically disadvantaged students, students from major racial and ethnic groups, children with disabilities, and English learners).</w:t>
            </w:r>
          </w:p>
        </w:tc>
        <w:tc>
          <w:tcPr>
            <w:tcW w:w="3188" w:type="dxa"/>
          </w:tcPr>
          <w:p w:rsidR="00BF2E2B" w:rsidRPr="00A831FB" w:rsidRDefault="00BF2E2B" w:rsidP="006253B9">
            <w:pPr>
              <w:rPr>
                <w:sz w:val="20"/>
                <w:szCs w:val="20"/>
              </w:rPr>
            </w:pPr>
            <w:r>
              <w:rPr>
                <w:sz w:val="20"/>
                <w:szCs w:val="20"/>
              </w:rPr>
              <w:t>Includes detailed analysis of performance or non-performance data for one or more student subgroups identified in 1111(c</w:t>
            </w:r>
            <w:proofErr w:type="gramStart"/>
            <w:r>
              <w:rPr>
                <w:sz w:val="20"/>
                <w:szCs w:val="20"/>
              </w:rPr>
              <w:t>)(</w:t>
            </w:r>
            <w:proofErr w:type="gramEnd"/>
            <w:r>
              <w:rPr>
                <w:sz w:val="20"/>
                <w:szCs w:val="20"/>
              </w:rPr>
              <w:t>2) of ESSA.</w:t>
            </w:r>
          </w:p>
        </w:tc>
        <w:tc>
          <w:tcPr>
            <w:tcW w:w="3199" w:type="dxa"/>
          </w:tcPr>
          <w:p w:rsidR="00BF2E2B" w:rsidRPr="00A831FB" w:rsidRDefault="00BF2E2B" w:rsidP="006253B9">
            <w:pPr>
              <w:rPr>
                <w:sz w:val="20"/>
                <w:szCs w:val="20"/>
              </w:rPr>
            </w:pPr>
            <w:r>
              <w:rPr>
                <w:sz w:val="20"/>
                <w:szCs w:val="20"/>
              </w:rPr>
              <w:t>Includes analysis of the student body as whole or broken up by grade spans and content areas, but not in-depth analysis of data for each student subgroup identified in 1111(c)(2).</w:t>
            </w:r>
          </w:p>
        </w:tc>
      </w:tr>
      <w:tr w:rsidR="00BF2E2B" w:rsidTr="00BF2E2B">
        <w:tc>
          <w:tcPr>
            <w:tcW w:w="3189" w:type="dxa"/>
          </w:tcPr>
          <w:p w:rsidR="00BF2E2B" w:rsidRPr="00A831FB" w:rsidRDefault="00BF2E2B" w:rsidP="006253B9">
            <w:pPr>
              <w:rPr>
                <w:sz w:val="20"/>
                <w:szCs w:val="20"/>
              </w:rPr>
            </w:pPr>
            <w:r w:rsidRPr="00A831FB">
              <w:rPr>
                <w:sz w:val="20"/>
                <w:szCs w:val="20"/>
              </w:rPr>
              <w:t>Examines student, teacher, school and community strengths and needs.</w:t>
            </w:r>
          </w:p>
        </w:tc>
        <w:tc>
          <w:tcPr>
            <w:tcW w:w="3188" w:type="dxa"/>
          </w:tcPr>
          <w:p w:rsidR="00BF2E2B" w:rsidRPr="00A831FB" w:rsidRDefault="00BF2E2B" w:rsidP="006253B9">
            <w:pPr>
              <w:rPr>
                <w:sz w:val="20"/>
                <w:szCs w:val="20"/>
              </w:rPr>
            </w:pPr>
            <w:r w:rsidRPr="00A831FB">
              <w:rPr>
                <w:sz w:val="20"/>
                <w:szCs w:val="20"/>
              </w:rPr>
              <w:t>Examines student strengths and needs.</w:t>
            </w:r>
          </w:p>
        </w:tc>
        <w:tc>
          <w:tcPr>
            <w:tcW w:w="3199" w:type="dxa"/>
          </w:tcPr>
          <w:p w:rsidR="00BF2E2B" w:rsidRPr="00A831FB" w:rsidRDefault="00BF2E2B" w:rsidP="006253B9">
            <w:pPr>
              <w:rPr>
                <w:sz w:val="20"/>
                <w:szCs w:val="20"/>
              </w:rPr>
            </w:pPr>
            <w:r w:rsidRPr="00A831FB">
              <w:rPr>
                <w:sz w:val="20"/>
                <w:szCs w:val="20"/>
              </w:rPr>
              <w:t>Examines student deficits.</w:t>
            </w:r>
          </w:p>
        </w:tc>
      </w:tr>
      <w:tr w:rsidR="00BF2E2B" w:rsidTr="00BF2E2B">
        <w:tc>
          <w:tcPr>
            <w:tcW w:w="3189" w:type="dxa"/>
          </w:tcPr>
          <w:p w:rsidR="00BF2E2B" w:rsidRPr="00190B57" w:rsidRDefault="00BF2E2B" w:rsidP="006253B9">
            <w:pPr>
              <w:rPr>
                <w:sz w:val="20"/>
                <w:szCs w:val="20"/>
              </w:rPr>
            </w:pPr>
            <w:r w:rsidRPr="00190B57">
              <w:rPr>
                <w:sz w:val="20"/>
                <w:szCs w:val="20"/>
              </w:rPr>
              <w:t>School administrators identify a manageable number of priorities</w:t>
            </w:r>
            <w:r>
              <w:rPr>
                <w:sz w:val="20"/>
                <w:szCs w:val="20"/>
              </w:rPr>
              <w:t>, at the right level of magnitude and aligned with the needs assessment,</w:t>
            </w:r>
            <w:r w:rsidRPr="00190B57">
              <w:rPr>
                <w:sz w:val="20"/>
                <w:szCs w:val="20"/>
              </w:rPr>
              <w:t xml:space="preserve"> for school improvement.</w:t>
            </w:r>
            <w:r>
              <w:rPr>
                <w:sz w:val="20"/>
                <w:szCs w:val="20"/>
              </w:rPr>
              <w:t xml:space="preserve">  </w:t>
            </w:r>
          </w:p>
        </w:tc>
        <w:tc>
          <w:tcPr>
            <w:tcW w:w="3188" w:type="dxa"/>
          </w:tcPr>
          <w:p w:rsidR="00BF2E2B" w:rsidRPr="00190B57" w:rsidRDefault="00BF2E2B" w:rsidP="006253B9">
            <w:pPr>
              <w:rPr>
                <w:sz w:val="20"/>
                <w:szCs w:val="20"/>
              </w:rPr>
            </w:pPr>
            <w:r w:rsidRPr="00190B57">
              <w:rPr>
                <w:sz w:val="20"/>
                <w:szCs w:val="20"/>
              </w:rPr>
              <w:t>School administrators may be taking on too many or too few priorities</w:t>
            </w:r>
            <w:r>
              <w:rPr>
                <w:sz w:val="20"/>
                <w:szCs w:val="20"/>
              </w:rPr>
              <w:t>, or priorities may not be at the right level of magnitude,</w:t>
            </w:r>
            <w:r w:rsidRPr="00190B57">
              <w:rPr>
                <w:sz w:val="20"/>
                <w:szCs w:val="20"/>
              </w:rPr>
              <w:t xml:space="preserve"> to produ</w:t>
            </w:r>
            <w:r>
              <w:rPr>
                <w:sz w:val="20"/>
                <w:szCs w:val="20"/>
              </w:rPr>
              <w:t>ce positive, measurable results.</w:t>
            </w:r>
          </w:p>
        </w:tc>
        <w:tc>
          <w:tcPr>
            <w:tcW w:w="3199" w:type="dxa"/>
          </w:tcPr>
          <w:p w:rsidR="00BF2E2B" w:rsidRPr="00190B57" w:rsidRDefault="00BF2E2B" w:rsidP="006253B9">
            <w:pPr>
              <w:rPr>
                <w:sz w:val="20"/>
                <w:szCs w:val="20"/>
              </w:rPr>
            </w:pPr>
            <w:r w:rsidRPr="00190B57">
              <w:rPr>
                <w:sz w:val="20"/>
                <w:szCs w:val="20"/>
              </w:rPr>
              <w:t>School administrators have not clearly and transparently identified and communicated the school’s priorities.</w:t>
            </w:r>
          </w:p>
        </w:tc>
      </w:tr>
    </w:tbl>
    <w:p w:rsidR="00BF2E2B" w:rsidRDefault="00BF2E2B"/>
    <w:p w:rsidR="002819A8" w:rsidRDefault="002819A8">
      <w:pPr>
        <w:spacing w:after="200" w:line="276" w:lineRule="auto"/>
      </w:pPr>
      <w:r>
        <w:br w:type="page"/>
      </w:r>
    </w:p>
    <w:p w:rsidR="00181A86" w:rsidRDefault="00181A86" w:rsidP="00181A86">
      <w:pPr>
        <w:jc w:val="center"/>
        <w:rPr>
          <w:b/>
        </w:rPr>
      </w:pPr>
      <w:r>
        <w:rPr>
          <w:b/>
        </w:rPr>
        <w:lastRenderedPageBreak/>
        <w:t>Stakeholder Involvement in Needs Assessment</w:t>
      </w:r>
    </w:p>
    <w:tbl>
      <w:tblPr>
        <w:tblStyle w:val="TableGrid"/>
        <w:tblW w:w="0" w:type="auto"/>
        <w:tblLook w:val="04A0" w:firstRow="1" w:lastRow="0" w:firstColumn="1" w:lastColumn="0" w:noHBand="0" w:noVBand="1"/>
      </w:tblPr>
      <w:tblGrid>
        <w:gridCol w:w="4788"/>
        <w:gridCol w:w="4788"/>
      </w:tblGrid>
      <w:tr w:rsidR="00933C1B" w:rsidTr="00933C1B">
        <w:tc>
          <w:tcPr>
            <w:tcW w:w="4788" w:type="dxa"/>
            <w:shd w:val="clear" w:color="auto" w:fill="BFBFBF" w:themeFill="background1" w:themeFillShade="BF"/>
          </w:tcPr>
          <w:p w:rsidR="00933C1B" w:rsidRDefault="00933C1B" w:rsidP="00181A86">
            <w:pPr>
              <w:jc w:val="center"/>
              <w:rPr>
                <w:b/>
              </w:rPr>
            </w:pPr>
            <w:r>
              <w:rPr>
                <w:b/>
              </w:rPr>
              <w:t>Stakeholder Groups</w:t>
            </w:r>
          </w:p>
        </w:tc>
        <w:tc>
          <w:tcPr>
            <w:tcW w:w="4788" w:type="dxa"/>
            <w:shd w:val="clear" w:color="auto" w:fill="BFBFBF" w:themeFill="background1" w:themeFillShade="BF"/>
          </w:tcPr>
          <w:p w:rsidR="00933C1B" w:rsidRDefault="00933C1B" w:rsidP="00181A86">
            <w:pPr>
              <w:jc w:val="center"/>
              <w:rPr>
                <w:b/>
              </w:rPr>
            </w:pPr>
            <w:r>
              <w:rPr>
                <w:b/>
              </w:rPr>
              <w:t>Where in the Needs Assessment Process</w:t>
            </w:r>
          </w:p>
        </w:tc>
      </w:tr>
      <w:tr w:rsidR="00933C1B" w:rsidTr="00933C1B">
        <w:tc>
          <w:tcPr>
            <w:tcW w:w="4788" w:type="dxa"/>
          </w:tcPr>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p w:rsidR="00933C1B" w:rsidRDefault="00933C1B" w:rsidP="00181A86">
            <w:pPr>
              <w:jc w:val="center"/>
              <w:rPr>
                <w:b/>
              </w:rPr>
            </w:pPr>
          </w:p>
        </w:tc>
        <w:tc>
          <w:tcPr>
            <w:tcW w:w="4788" w:type="dxa"/>
          </w:tcPr>
          <w:p w:rsidR="00933C1B" w:rsidRDefault="00933C1B" w:rsidP="00181A86">
            <w:pPr>
              <w:jc w:val="center"/>
              <w:rPr>
                <w:b/>
              </w:rPr>
            </w:pPr>
          </w:p>
        </w:tc>
      </w:tr>
    </w:tbl>
    <w:p w:rsidR="00FC3AF0" w:rsidRDefault="00FC3AF0" w:rsidP="00181A86">
      <w:pPr>
        <w:jc w:val="center"/>
        <w:rPr>
          <w:b/>
        </w:rPr>
      </w:pPr>
    </w:p>
    <w:p w:rsidR="00181A86" w:rsidRDefault="00181A86" w:rsidP="00181A86">
      <w:pPr>
        <w:jc w:val="center"/>
        <w:rPr>
          <w:b/>
        </w:rPr>
      </w:pPr>
    </w:p>
    <w:p w:rsidR="002819A8" w:rsidRPr="00181A86" w:rsidRDefault="002819A8" w:rsidP="00181A86">
      <w:pPr>
        <w:jc w:val="center"/>
        <w:rPr>
          <w:b/>
        </w:rPr>
      </w:pPr>
      <w:r w:rsidRPr="00181A86">
        <w:rPr>
          <w:b/>
        </w:rPr>
        <w:t>Data Inventory</w:t>
      </w:r>
    </w:p>
    <w:tbl>
      <w:tblPr>
        <w:tblStyle w:val="TableGrid"/>
        <w:tblW w:w="0" w:type="auto"/>
        <w:tblLook w:val="04A0" w:firstRow="1" w:lastRow="0" w:firstColumn="1" w:lastColumn="0" w:noHBand="0" w:noVBand="1"/>
      </w:tblPr>
      <w:tblGrid>
        <w:gridCol w:w="1915"/>
        <w:gridCol w:w="1915"/>
        <w:gridCol w:w="1915"/>
        <w:gridCol w:w="1915"/>
        <w:gridCol w:w="1916"/>
      </w:tblGrid>
      <w:tr w:rsidR="002819A8" w:rsidTr="002819A8">
        <w:tc>
          <w:tcPr>
            <w:tcW w:w="1915" w:type="dxa"/>
            <w:shd w:val="clear" w:color="auto" w:fill="BFBFBF" w:themeFill="background1" w:themeFillShade="BF"/>
          </w:tcPr>
          <w:p w:rsidR="002819A8" w:rsidRPr="002819A8" w:rsidRDefault="002819A8" w:rsidP="002819A8">
            <w:pPr>
              <w:jc w:val="center"/>
              <w:rPr>
                <w:b/>
              </w:rPr>
            </w:pPr>
            <w:r>
              <w:rPr>
                <w:b/>
              </w:rPr>
              <w:t>Performance Data</w:t>
            </w:r>
          </w:p>
        </w:tc>
        <w:tc>
          <w:tcPr>
            <w:tcW w:w="1915" w:type="dxa"/>
            <w:shd w:val="clear" w:color="auto" w:fill="BFBFBF" w:themeFill="background1" w:themeFillShade="BF"/>
          </w:tcPr>
          <w:p w:rsidR="002819A8" w:rsidRPr="002819A8" w:rsidRDefault="002819A8" w:rsidP="002819A8">
            <w:pPr>
              <w:jc w:val="center"/>
              <w:rPr>
                <w:b/>
              </w:rPr>
            </w:pPr>
            <w:r>
              <w:rPr>
                <w:b/>
              </w:rPr>
              <w:t>Demographic Data</w:t>
            </w:r>
          </w:p>
        </w:tc>
        <w:tc>
          <w:tcPr>
            <w:tcW w:w="1915" w:type="dxa"/>
            <w:shd w:val="clear" w:color="auto" w:fill="BFBFBF" w:themeFill="background1" w:themeFillShade="BF"/>
          </w:tcPr>
          <w:p w:rsidR="002819A8" w:rsidRPr="002819A8" w:rsidRDefault="002819A8" w:rsidP="002819A8">
            <w:pPr>
              <w:jc w:val="center"/>
              <w:rPr>
                <w:b/>
              </w:rPr>
            </w:pPr>
            <w:r>
              <w:rPr>
                <w:b/>
              </w:rPr>
              <w:t>Process Data</w:t>
            </w:r>
          </w:p>
        </w:tc>
        <w:tc>
          <w:tcPr>
            <w:tcW w:w="1915" w:type="dxa"/>
            <w:shd w:val="clear" w:color="auto" w:fill="BFBFBF" w:themeFill="background1" w:themeFillShade="BF"/>
          </w:tcPr>
          <w:p w:rsidR="002819A8" w:rsidRPr="002819A8" w:rsidRDefault="002819A8" w:rsidP="002819A8">
            <w:pPr>
              <w:jc w:val="center"/>
              <w:rPr>
                <w:b/>
              </w:rPr>
            </w:pPr>
            <w:r>
              <w:rPr>
                <w:b/>
              </w:rPr>
              <w:t>Perception Data</w:t>
            </w:r>
          </w:p>
        </w:tc>
        <w:tc>
          <w:tcPr>
            <w:tcW w:w="1916" w:type="dxa"/>
            <w:shd w:val="clear" w:color="auto" w:fill="BFBFBF" w:themeFill="background1" w:themeFillShade="BF"/>
          </w:tcPr>
          <w:p w:rsidR="002819A8" w:rsidRPr="002819A8" w:rsidRDefault="002819A8" w:rsidP="002819A8">
            <w:pPr>
              <w:jc w:val="center"/>
              <w:rPr>
                <w:b/>
              </w:rPr>
            </w:pPr>
            <w:r>
              <w:rPr>
                <w:b/>
              </w:rPr>
              <w:t>Performance Summary</w:t>
            </w:r>
          </w:p>
        </w:tc>
      </w:tr>
      <w:tr w:rsidR="002819A8" w:rsidTr="002819A8">
        <w:tc>
          <w:tcPr>
            <w:tcW w:w="1915" w:type="dxa"/>
          </w:tcPr>
          <w:p w:rsidR="002819A8" w:rsidRDefault="002819A8"/>
          <w:p w:rsidR="002819A8" w:rsidRDefault="002819A8"/>
          <w:p w:rsidR="002819A8" w:rsidRDefault="002819A8"/>
          <w:p w:rsidR="002819A8" w:rsidRDefault="002819A8"/>
          <w:p w:rsidR="002819A8" w:rsidRDefault="002819A8"/>
          <w:p w:rsidR="002819A8" w:rsidRDefault="002819A8"/>
          <w:p w:rsidR="002819A8" w:rsidRDefault="002819A8"/>
          <w:p w:rsidR="00933C1B" w:rsidRDefault="00933C1B"/>
          <w:p w:rsidR="00933C1B" w:rsidRDefault="00933C1B"/>
          <w:p w:rsidR="002819A8" w:rsidRDefault="002819A8"/>
          <w:p w:rsidR="002819A8" w:rsidRDefault="002819A8"/>
          <w:p w:rsidR="00181A86" w:rsidRDefault="00181A86"/>
          <w:p w:rsidR="00181A86" w:rsidRDefault="00181A86"/>
          <w:p w:rsidR="00181A86" w:rsidRDefault="00181A86"/>
          <w:p w:rsidR="00933C1B" w:rsidRDefault="00933C1B"/>
          <w:p w:rsidR="002819A8" w:rsidRDefault="002819A8"/>
        </w:tc>
        <w:tc>
          <w:tcPr>
            <w:tcW w:w="1915" w:type="dxa"/>
          </w:tcPr>
          <w:p w:rsidR="002819A8" w:rsidRDefault="002819A8"/>
        </w:tc>
        <w:tc>
          <w:tcPr>
            <w:tcW w:w="1915" w:type="dxa"/>
          </w:tcPr>
          <w:p w:rsidR="002819A8" w:rsidRDefault="002819A8"/>
        </w:tc>
        <w:tc>
          <w:tcPr>
            <w:tcW w:w="1915" w:type="dxa"/>
          </w:tcPr>
          <w:p w:rsidR="002819A8" w:rsidRDefault="002819A8"/>
        </w:tc>
        <w:tc>
          <w:tcPr>
            <w:tcW w:w="1916" w:type="dxa"/>
          </w:tcPr>
          <w:p w:rsidR="002819A8" w:rsidRDefault="002819A8"/>
        </w:tc>
      </w:tr>
      <w:tr w:rsidR="00FC3AF0" w:rsidTr="002819A8">
        <w:tc>
          <w:tcPr>
            <w:tcW w:w="1915" w:type="dxa"/>
          </w:tcPr>
          <w:p w:rsidR="00FC3AF0" w:rsidRDefault="00FC3AF0"/>
          <w:p w:rsidR="00FC3AF0" w:rsidRDefault="00FC3AF0"/>
        </w:tc>
        <w:tc>
          <w:tcPr>
            <w:tcW w:w="1915" w:type="dxa"/>
          </w:tcPr>
          <w:p w:rsidR="00FC3AF0" w:rsidRDefault="00FC3AF0"/>
        </w:tc>
        <w:tc>
          <w:tcPr>
            <w:tcW w:w="1915" w:type="dxa"/>
          </w:tcPr>
          <w:p w:rsidR="00FC3AF0" w:rsidRDefault="00FC3AF0"/>
        </w:tc>
        <w:tc>
          <w:tcPr>
            <w:tcW w:w="1915" w:type="dxa"/>
          </w:tcPr>
          <w:p w:rsidR="00FC3AF0" w:rsidRDefault="00FC3AF0"/>
        </w:tc>
        <w:tc>
          <w:tcPr>
            <w:tcW w:w="1916" w:type="dxa"/>
          </w:tcPr>
          <w:p w:rsidR="00FC3AF0" w:rsidRDefault="00FC3AF0"/>
        </w:tc>
      </w:tr>
    </w:tbl>
    <w:p w:rsidR="002819A8" w:rsidRDefault="002819A8"/>
    <w:sectPr w:rsidR="002819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3E" w:rsidRDefault="00B92F3E" w:rsidP="00933C1B">
      <w:r>
        <w:separator/>
      </w:r>
    </w:p>
  </w:endnote>
  <w:endnote w:type="continuationSeparator" w:id="0">
    <w:p w:rsidR="00B92F3E" w:rsidRDefault="00B92F3E" w:rsidP="0093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1B" w:rsidRPr="00933C1B" w:rsidRDefault="00933C1B" w:rsidP="00933C1B">
    <w:pPr>
      <w:pStyle w:val="Footer"/>
      <w:tabs>
        <w:tab w:val="clear" w:pos="4680"/>
        <w:tab w:val="center" w:pos="0"/>
      </w:tabs>
      <w:rPr>
        <w:sz w:val="18"/>
        <w:szCs w:val="18"/>
      </w:rPr>
    </w:pPr>
    <w:r w:rsidRPr="00933C1B">
      <w:rPr>
        <w:sz w:val="18"/>
        <w:szCs w:val="18"/>
      </w:rPr>
      <w:t>Needs Assessment Session – Connect for Success</w:t>
    </w:r>
    <w:r w:rsidRPr="00933C1B">
      <w:rPr>
        <w:sz w:val="18"/>
        <w:szCs w:val="18"/>
      </w:rPr>
      <w:tab/>
      <w:t>January 21,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3E" w:rsidRDefault="00B92F3E" w:rsidP="00933C1B">
      <w:r>
        <w:separator/>
      </w:r>
    </w:p>
  </w:footnote>
  <w:footnote w:type="continuationSeparator" w:id="0">
    <w:p w:rsidR="00B92F3E" w:rsidRDefault="00B92F3E" w:rsidP="00933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1B" w:rsidRDefault="00933C1B">
    <w:pPr>
      <w:pStyle w:val="Header"/>
    </w:pPr>
    <w:r>
      <w:rPr>
        <w:noProof/>
      </w:rPr>
      <w:drawing>
        <wp:inline distT="0" distB="0" distL="0" distR="0">
          <wp:extent cx="1233541" cy="224963"/>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541" cy="2249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B7CF5"/>
    <w:multiLevelType w:val="hybridMultilevel"/>
    <w:tmpl w:val="53CA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2B"/>
    <w:rsid w:val="00080607"/>
    <w:rsid w:val="000D4969"/>
    <w:rsid w:val="00181A86"/>
    <w:rsid w:val="002819A8"/>
    <w:rsid w:val="00933C1B"/>
    <w:rsid w:val="00B92F3E"/>
    <w:rsid w:val="00BB77C1"/>
    <w:rsid w:val="00BF2E2B"/>
    <w:rsid w:val="00D40A78"/>
    <w:rsid w:val="00E83E4A"/>
    <w:rsid w:val="00F92EFD"/>
    <w:rsid w:val="00FC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2B"/>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E2B"/>
    <w:pPr>
      <w:ind w:left="720"/>
      <w:contextualSpacing/>
    </w:pPr>
  </w:style>
  <w:style w:type="table" w:styleId="TableGrid">
    <w:name w:val="Table Grid"/>
    <w:basedOn w:val="TableNormal"/>
    <w:uiPriority w:val="59"/>
    <w:rsid w:val="00BF2E2B"/>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3C1B"/>
    <w:pPr>
      <w:tabs>
        <w:tab w:val="center" w:pos="4680"/>
        <w:tab w:val="right" w:pos="9360"/>
      </w:tabs>
    </w:pPr>
  </w:style>
  <w:style w:type="character" w:customStyle="1" w:styleId="HeaderChar">
    <w:name w:val="Header Char"/>
    <w:basedOn w:val="DefaultParagraphFont"/>
    <w:link w:val="Header"/>
    <w:uiPriority w:val="99"/>
    <w:rsid w:val="00933C1B"/>
    <w:rPr>
      <w:rFonts w:ascii="Calibri" w:eastAsiaTheme="minorEastAsia" w:hAnsi="Calibri"/>
      <w:szCs w:val="24"/>
    </w:rPr>
  </w:style>
  <w:style w:type="paragraph" w:styleId="Footer">
    <w:name w:val="footer"/>
    <w:basedOn w:val="Normal"/>
    <w:link w:val="FooterChar"/>
    <w:uiPriority w:val="99"/>
    <w:unhideWhenUsed/>
    <w:rsid w:val="00933C1B"/>
    <w:pPr>
      <w:tabs>
        <w:tab w:val="center" w:pos="4680"/>
        <w:tab w:val="right" w:pos="9360"/>
      </w:tabs>
    </w:pPr>
  </w:style>
  <w:style w:type="character" w:customStyle="1" w:styleId="FooterChar">
    <w:name w:val="Footer Char"/>
    <w:basedOn w:val="DefaultParagraphFont"/>
    <w:link w:val="Footer"/>
    <w:uiPriority w:val="99"/>
    <w:rsid w:val="00933C1B"/>
    <w:rPr>
      <w:rFonts w:ascii="Calibri" w:eastAsiaTheme="minorEastAsia" w:hAnsi="Calibri"/>
      <w:szCs w:val="24"/>
    </w:rPr>
  </w:style>
  <w:style w:type="paragraph" w:styleId="BalloonText">
    <w:name w:val="Balloon Text"/>
    <w:basedOn w:val="Normal"/>
    <w:link w:val="BalloonTextChar"/>
    <w:uiPriority w:val="99"/>
    <w:semiHidden/>
    <w:unhideWhenUsed/>
    <w:rsid w:val="00933C1B"/>
    <w:rPr>
      <w:rFonts w:ascii="Tahoma" w:hAnsi="Tahoma" w:cs="Tahoma"/>
      <w:sz w:val="16"/>
      <w:szCs w:val="16"/>
    </w:rPr>
  </w:style>
  <w:style w:type="character" w:customStyle="1" w:styleId="BalloonTextChar">
    <w:name w:val="Balloon Text Char"/>
    <w:basedOn w:val="DefaultParagraphFont"/>
    <w:link w:val="BalloonText"/>
    <w:uiPriority w:val="99"/>
    <w:semiHidden/>
    <w:rsid w:val="00933C1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2B"/>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E2B"/>
    <w:pPr>
      <w:ind w:left="720"/>
      <w:contextualSpacing/>
    </w:pPr>
  </w:style>
  <w:style w:type="table" w:styleId="TableGrid">
    <w:name w:val="Table Grid"/>
    <w:basedOn w:val="TableNormal"/>
    <w:uiPriority w:val="59"/>
    <w:rsid w:val="00BF2E2B"/>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3C1B"/>
    <w:pPr>
      <w:tabs>
        <w:tab w:val="center" w:pos="4680"/>
        <w:tab w:val="right" w:pos="9360"/>
      </w:tabs>
    </w:pPr>
  </w:style>
  <w:style w:type="character" w:customStyle="1" w:styleId="HeaderChar">
    <w:name w:val="Header Char"/>
    <w:basedOn w:val="DefaultParagraphFont"/>
    <w:link w:val="Header"/>
    <w:uiPriority w:val="99"/>
    <w:rsid w:val="00933C1B"/>
    <w:rPr>
      <w:rFonts w:ascii="Calibri" w:eastAsiaTheme="minorEastAsia" w:hAnsi="Calibri"/>
      <w:szCs w:val="24"/>
    </w:rPr>
  </w:style>
  <w:style w:type="paragraph" w:styleId="Footer">
    <w:name w:val="footer"/>
    <w:basedOn w:val="Normal"/>
    <w:link w:val="FooterChar"/>
    <w:uiPriority w:val="99"/>
    <w:unhideWhenUsed/>
    <w:rsid w:val="00933C1B"/>
    <w:pPr>
      <w:tabs>
        <w:tab w:val="center" w:pos="4680"/>
        <w:tab w:val="right" w:pos="9360"/>
      </w:tabs>
    </w:pPr>
  </w:style>
  <w:style w:type="character" w:customStyle="1" w:styleId="FooterChar">
    <w:name w:val="Footer Char"/>
    <w:basedOn w:val="DefaultParagraphFont"/>
    <w:link w:val="Footer"/>
    <w:uiPriority w:val="99"/>
    <w:rsid w:val="00933C1B"/>
    <w:rPr>
      <w:rFonts w:ascii="Calibri" w:eastAsiaTheme="minorEastAsia" w:hAnsi="Calibri"/>
      <w:szCs w:val="24"/>
    </w:rPr>
  </w:style>
  <w:style w:type="paragraph" w:styleId="BalloonText">
    <w:name w:val="Balloon Text"/>
    <w:basedOn w:val="Normal"/>
    <w:link w:val="BalloonTextChar"/>
    <w:uiPriority w:val="99"/>
    <w:semiHidden/>
    <w:unhideWhenUsed/>
    <w:rsid w:val="00933C1B"/>
    <w:rPr>
      <w:rFonts w:ascii="Tahoma" w:hAnsi="Tahoma" w:cs="Tahoma"/>
      <w:sz w:val="16"/>
      <w:szCs w:val="16"/>
    </w:rPr>
  </w:style>
  <w:style w:type="character" w:customStyle="1" w:styleId="BalloonTextChar">
    <w:name w:val="Balloon Text Char"/>
    <w:basedOn w:val="DefaultParagraphFont"/>
    <w:link w:val="BalloonText"/>
    <w:uiPriority w:val="99"/>
    <w:semiHidden/>
    <w:rsid w:val="00933C1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Medler, Lisa</dc:creator>
  <cp:lastModifiedBy>Cohen, Sarah</cp:lastModifiedBy>
  <cp:revision>2</cp:revision>
  <cp:lastPrinted>2016-01-20T23:04:00Z</cp:lastPrinted>
  <dcterms:created xsi:type="dcterms:W3CDTF">2016-01-21T02:28:00Z</dcterms:created>
  <dcterms:modified xsi:type="dcterms:W3CDTF">2016-01-21T02:28:00Z</dcterms:modified>
</cp:coreProperties>
</file>