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CA93A" w14:textId="63AC640C" w:rsidR="007925A3" w:rsidRPr="001F3A55" w:rsidRDefault="00BF5C06" w:rsidP="00C15F13">
      <w:pPr>
        <w:pStyle w:val="Page01-Side-bar-navy"/>
        <w:rPr>
          <w:b/>
          <w:bCs/>
          <w:color w:val="939393"/>
          <w:sz w:val="56"/>
          <w:szCs w:val="72"/>
        </w:rPr>
      </w:pPr>
      <w:r w:rsidRPr="001F3A55">
        <w:rPr>
          <w:b/>
          <w:bCs/>
          <w:color w:val="939393"/>
          <w:sz w:val="56"/>
          <w:szCs w:val="72"/>
        </w:rPr>
        <w:t>What’s New to EASI 202</w:t>
      </w:r>
      <w:r w:rsidR="00EC4B3A" w:rsidRPr="001F3A55">
        <w:rPr>
          <w:b/>
          <w:bCs/>
          <w:color w:val="939393"/>
          <w:sz w:val="56"/>
          <w:szCs w:val="72"/>
        </w:rPr>
        <w:t>4</w:t>
      </w:r>
      <w:r w:rsidRPr="001F3A55">
        <w:rPr>
          <w:b/>
          <w:bCs/>
          <w:color w:val="939393"/>
          <w:sz w:val="56"/>
          <w:szCs w:val="72"/>
        </w:rPr>
        <w:t>?</w:t>
      </w:r>
    </w:p>
    <w:p w14:paraId="67ECA93B" w14:textId="2DB56E6F" w:rsidR="007925A3" w:rsidRPr="00A95EF7" w:rsidRDefault="00BF5C06">
      <w:pPr>
        <w:pStyle w:val="Heading1"/>
        <w:spacing w:before="0"/>
        <w:rPr>
          <w:b/>
          <w:bCs/>
          <w:color w:val="auto"/>
          <w:sz w:val="38"/>
          <w:szCs w:val="44"/>
        </w:rPr>
      </w:pPr>
      <w:r w:rsidRPr="00A95EF7">
        <w:rPr>
          <w:b/>
          <w:bCs/>
          <w:color w:val="auto"/>
          <w:sz w:val="38"/>
          <w:szCs w:val="44"/>
        </w:rPr>
        <w:t>Empowering Action for School Improvement</w:t>
      </w:r>
    </w:p>
    <w:p w14:paraId="67ECA93C" w14:textId="77777777" w:rsidR="007925A3" w:rsidRDefault="007925A3"/>
    <w:p w14:paraId="67ECA93D" w14:textId="77777777" w:rsidR="007925A3" w:rsidRDefault="007925A3"/>
    <w:p w14:paraId="67ECA940" w14:textId="77777777" w:rsidR="007925A3" w:rsidRDefault="00BF5C06">
      <w:pPr>
        <w:pStyle w:val="Heading2"/>
        <w:spacing w:before="0"/>
        <w:rPr>
          <w:rFonts w:eastAsia="Calibri" w:cs="Calibri"/>
          <w:color w:val="000000"/>
        </w:rPr>
      </w:pPr>
      <w:r>
        <w:rPr>
          <w:color w:val="000000"/>
        </w:rPr>
        <w:t>Overview</w:t>
      </w:r>
    </w:p>
    <w:p w14:paraId="67ECA941" w14:textId="444F1AA8" w:rsidR="007925A3" w:rsidRDefault="00BF5C06">
      <w:r>
        <w:t>The Empowering Action for School Improvement (EASI) grant is entering Cohort</w:t>
      </w:r>
      <w:r w:rsidR="00EC4B3A">
        <w:t xml:space="preserve"> 8</w:t>
      </w:r>
      <w:r>
        <w:t xml:space="preserve"> in 202</w:t>
      </w:r>
      <w:r w:rsidR="00EC4B3A">
        <w:t>4</w:t>
      </w:r>
      <w:r>
        <w:t xml:space="preserve"> and has approximately $1</w:t>
      </w:r>
      <w:r w:rsidR="00EC4B3A">
        <w:t>6</w:t>
      </w:r>
      <w:r w:rsidR="00C15F13">
        <w:t>.5</w:t>
      </w:r>
      <w:r>
        <w:t xml:space="preserve"> million in funds available to eligible schools and districts. Each grant cycle, changes are made to improve the support, application process, and routes and services offered to eligible districts and schools. The following sections highlight the grant timeline and key changes and improvements made to the EASI grant since the previous grant cycle.</w:t>
      </w:r>
    </w:p>
    <w:p w14:paraId="67ECA942" w14:textId="77777777" w:rsidR="007925A3" w:rsidRDefault="007925A3"/>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90"/>
        <w:gridCol w:w="4110"/>
      </w:tblGrid>
      <w:tr w:rsidR="00DE3412" w14:paraId="67ECA944" w14:textId="77777777" w:rsidTr="0034462A">
        <w:trPr>
          <w:trHeight w:val="420"/>
        </w:trPr>
        <w:tc>
          <w:tcPr>
            <w:tcW w:w="10800" w:type="dxa"/>
            <w:gridSpan w:val="2"/>
            <w:shd w:val="clear" w:color="auto" w:fill="CCCCCC"/>
            <w:tcMar>
              <w:top w:w="100" w:type="dxa"/>
              <w:left w:w="100" w:type="dxa"/>
              <w:bottom w:w="100" w:type="dxa"/>
              <w:right w:w="100" w:type="dxa"/>
            </w:tcMar>
          </w:tcPr>
          <w:p w14:paraId="67ECA943" w14:textId="6DE08B06" w:rsidR="00DE3412" w:rsidRDefault="00DE3412">
            <w:pPr>
              <w:widowControl w:val="0"/>
              <w:pBdr>
                <w:top w:val="nil"/>
                <w:left w:val="nil"/>
                <w:bottom w:val="nil"/>
                <w:right w:val="nil"/>
                <w:between w:val="nil"/>
              </w:pBdr>
              <w:jc w:val="center"/>
              <w:rPr>
                <w:b/>
                <w:sz w:val="24"/>
                <w:szCs w:val="24"/>
              </w:rPr>
            </w:pPr>
            <w:r>
              <w:rPr>
                <w:b/>
                <w:sz w:val="24"/>
                <w:szCs w:val="24"/>
              </w:rPr>
              <w:t>Grant Timeline</w:t>
            </w:r>
          </w:p>
        </w:tc>
      </w:tr>
      <w:tr w:rsidR="007925A3" w14:paraId="67ECA947" w14:textId="77777777" w:rsidTr="00132E83">
        <w:tc>
          <w:tcPr>
            <w:tcW w:w="6690" w:type="dxa"/>
            <w:shd w:val="clear" w:color="auto" w:fill="auto"/>
            <w:tcMar>
              <w:top w:w="100" w:type="dxa"/>
              <w:left w:w="100" w:type="dxa"/>
              <w:bottom w:w="100" w:type="dxa"/>
              <w:right w:w="100" w:type="dxa"/>
            </w:tcMar>
          </w:tcPr>
          <w:p w14:paraId="67ECA945" w14:textId="77777777" w:rsidR="007925A3" w:rsidRDefault="00BF5C06">
            <w:pPr>
              <w:widowControl w:val="0"/>
              <w:pBdr>
                <w:top w:val="nil"/>
                <w:left w:val="nil"/>
                <w:bottom w:val="nil"/>
                <w:right w:val="nil"/>
                <w:between w:val="nil"/>
              </w:pBdr>
            </w:pPr>
            <w:r>
              <w:t>EASI Grant Application opens</w:t>
            </w:r>
          </w:p>
        </w:tc>
        <w:tc>
          <w:tcPr>
            <w:tcW w:w="4110" w:type="dxa"/>
            <w:shd w:val="clear" w:color="auto" w:fill="auto"/>
            <w:tcMar>
              <w:top w:w="100" w:type="dxa"/>
              <w:left w:w="100" w:type="dxa"/>
              <w:bottom w:w="100" w:type="dxa"/>
              <w:right w:w="100" w:type="dxa"/>
            </w:tcMar>
          </w:tcPr>
          <w:p w14:paraId="67ECA946" w14:textId="69E17DF0" w:rsidR="007925A3" w:rsidRDefault="00EC4B3A">
            <w:pPr>
              <w:widowControl w:val="0"/>
              <w:pBdr>
                <w:top w:val="nil"/>
                <w:left w:val="nil"/>
                <w:bottom w:val="nil"/>
                <w:right w:val="nil"/>
                <w:between w:val="nil"/>
              </w:pBdr>
              <w:jc w:val="center"/>
            </w:pPr>
            <w:r w:rsidRPr="00C15F13">
              <w:t>Late September 2024</w:t>
            </w:r>
          </w:p>
        </w:tc>
      </w:tr>
      <w:tr w:rsidR="007925A3" w14:paraId="67ECA94A" w14:textId="77777777" w:rsidTr="00132E83">
        <w:tc>
          <w:tcPr>
            <w:tcW w:w="6690" w:type="dxa"/>
            <w:shd w:val="clear" w:color="auto" w:fill="auto"/>
            <w:tcMar>
              <w:top w:w="100" w:type="dxa"/>
              <w:left w:w="100" w:type="dxa"/>
              <w:bottom w:w="100" w:type="dxa"/>
              <w:right w:w="100" w:type="dxa"/>
            </w:tcMar>
          </w:tcPr>
          <w:p w14:paraId="67ECA948" w14:textId="5D87F5B9" w:rsidR="007925A3" w:rsidRDefault="00C15F13">
            <w:pPr>
              <w:widowControl w:val="0"/>
              <w:pBdr>
                <w:top w:val="nil"/>
                <w:left w:val="nil"/>
                <w:bottom w:val="nil"/>
                <w:right w:val="nil"/>
                <w:between w:val="nil"/>
              </w:pBdr>
            </w:pPr>
            <w:r>
              <w:t>EASI Kick-Off</w:t>
            </w:r>
          </w:p>
        </w:tc>
        <w:tc>
          <w:tcPr>
            <w:tcW w:w="4110" w:type="dxa"/>
            <w:shd w:val="clear" w:color="auto" w:fill="auto"/>
            <w:tcMar>
              <w:top w:w="100" w:type="dxa"/>
              <w:left w:w="100" w:type="dxa"/>
              <w:bottom w:w="100" w:type="dxa"/>
              <w:right w:w="100" w:type="dxa"/>
            </w:tcMar>
          </w:tcPr>
          <w:p w14:paraId="67ECA949" w14:textId="0CC143F3" w:rsidR="007925A3" w:rsidRDefault="00BF5C06">
            <w:pPr>
              <w:widowControl w:val="0"/>
              <w:pBdr>
                <w:top w:val="nil"/>
                <w:left w:val="nil"/>
                <w:bottom w:val="nil"/>
                <w:right w:val="nil"/>
                <w:between w:val="nil"/>
              </w:pBdr>
              <w:jc w:val="center"/>
            </w:pPr>
            <w:r w:rsidRPr="00C15F13">
              <w:t xml:space="preserve">October </w:t>
            </w:r>
            <w:r w:rsidR="00EC4B3A" w:rsidRPr="00C15F13">
              <w:t>16</w:t>
            </w:r>
            <w:r w:rsidRPr="00C15F13">
              <w:t>, 202</w:t>
            </w:r>
            <w:r w:rsidR="00EC4B3A" w:rsidRPr="00C15F13">
              <w:t>4</w:t>
            </w:r>
            <w:r w:rsidRPr="00C15F13">
              <w:t xml:space="preserve">- </w:t>
            </w:r>
            <w:r w:rsidR="00283FF0">
              <w:t>2:30-4:00pm</w:t>
            </w:r>
          </w:p>
        </w:tc>
      </w:tr>
      <w:tr w:rsidR="007925A3" w14:paraId="67ECA94D" w14:textId="77777777" w:rsidTr="00132E83">
        <w:tc>
          <w:tcPr>
            <w:tcW w:w="6690" w:type="dxa"/>
            <w:shd w:val="clear" w:color="auto" w:fill="auto"/>
            <w:tcMar>
              <w:top w:w="100" w:type="dxa"/>
              <w:left w:w="100" w:type="dxa"/>
              <w:bottom w:w="100" w:type="dxa"/>
              <w:right w:w="100" w:type="dxa"/>
            </w:tcMar>
          </w:tcPr>
          <w:p w14:paraId="67ECA94B" w14:textId="219CD9AD" w:rsidR="007925A3" w:rsidRDefault="00BF5C06">
            <w:pPr>
              <w:widowControl w:val="0"/>
              <w:pBdr>
                <w:top w:val="nil"/>
                <w:left w:val="nil"/>
                <w:bottom w:val="nil"/>
                <w:right w:val="nil"/>
                <w:between w:val="nil"/>
              </w:pBdr>
            </w:pPr>
            <w:r>
              <w:t xml:space="preserve">EASI Office Hours- In depth support and details for those interested in COMTSS and District Designed </w:t>
            </w:r>
            <w:r w:rsidR="00267E53">
              <w:t xml:space="preserve">&amp; </w:t>
            </w:r>
            <w:r>
              <w:t>Led routes</w:t>
            </w:r>
          </w:p>
        </w:tc>
        <w:tc>
          <w:tcPr>
            <w:tcW w:w="4110" w:type="dxa"/>
            <w:shd w:val="clear" w:color="auto" w:fill="auto"/>
            <w:tcMar>
              <w:top w:w="100" w:type="dxa"/>
              <w:left w:w="100" w:type="dxa"/>
              <w:bottom w:w="100" w:type="dxa"/>
              <w:right w:w="100" w:type="dxa"/>
            </w:tcMar>
          </w:tcPr>
          <w:p w14:paraId="67ECA94C" w14:textId="6E45C940" w:rsidR="007925A3" w:rsidRDefault="00BF5C06">
            <w:pPr>
              <w:widowControl w:val="0"/>
              <w:pBdr>
                <w:top w:val="nil"/>
                <w:left w:val="nil"/>
                <w:bottom w:val="nil"/>
                <w:right w:val="nil"/>
                <w:between w:val="nil"/>
              </w:pBdr>
              <w:jc w:val="center"/>
            </w:pPr>
            <w:r>
              <w:t>November 202</w:t>
            </w:r>
            <w:r w:rsidR="00C65408">
              <w:t>4</w:t>
            </w:r>
          </w:p>
        </w:tc>
      </w:tr>
      <w:tr w:rsidR="007925A3" w14:paraId="67ECA950" w14:textId="77777777" w:rsidTr="00132E83">
        <w:tc>
          <w:tcPr>
            <w:tcW w:w="6690" w:type="dxa"/>
            <w:shd w:val="clear" w:color="auto" w:fill="auto"/>
            <w:tcMar>
              <w:top w:w="100" w:type="dxa"/>
              <w:left w:w="100" w:type="dxa"/>
              <w:bottom w:w="100" w:type="dxa"/>
              <w:right w:w="100" w:type="dxa"/>
            </w:tcMar>
          </w:tcPr>
          <w:p w14:paraId="67ECA94E" w14:textId="77777777" w:rsidR="007925A3" w:rsidRPr="00C15F13" w:rsidRDefault="00BF5C06">
            <w:pPr>
              <w:widowControl w:val="0"/>
              <w:pBdr>
                <w:top w:val="nil"/>
                <w:left w:val="nil"/>
                <w:bottom w:val="nil"/>
                <w:right w:val="nil"/>
                <w:between w:val="nil"/>
              </w:pBdr>
            </w:pPr>
            <w:r w:rsidRPr="00C15F13">
              <w:t>EASI Grant Application Closes</w:t>
            </w:r>
          </w:p>
        </w:tc>
        <w:tc>
          <w:tcPr>
            <w:tcW w:w="4110" w:type="dxa"/>
            <w:shd w:val="clear" w:color="auto" w:fill="auto"/>
            <w:tcMar>
              <w:top w:w="100" w:type="dxa"/>
              <w:left w:w="100" w:type="dxa"/>
              <w:bottom w:w="100" w:type="dxa"/>
              <w:right w:w="100" w:type="dxa"/>
            </w:tcMar>
          </w:tcPr>
          <w:p w14:paraId="67ECA94F" w14:textId="1D631250" w:rsidR="007925A3" w:rsidRPr="00DE3412" w:rsidRDefault="00BF5C06">
            <w:pPr>
              <w:widowControl w:val="0"/>
              <w:pBdr>
                <w:top w:val="nil"/>
                <w:left w:val="nil"/>
                <w:bottom w:val="nil"/>
                <w:right w:val="nil"/>
                <w:between w:val="nil"/>
              </w:pBdr>
              <w:jc w:val="center"/>
              <w:rPr>
                <w:b/>
                <w:color w:val="C0504D" w:themeColor="accent2"/>
              </w:rPr>
            </w:pPr>
            <w:r w:rsidRPr="00DE3412">
              <w:rPr>
                <w:b/>
                <w:color w:val="C0504D" w:themeColor="accent2"/>
              </w:rPr>
              <w:t xml:space="preserve">December </w:t>
            </w:r>
            <w:r w:rsidR="00C65408" w:rsidRPr="00DE3412">
              <w:rPr>
                <w:b/>
                <w:color w:val="C0504D" w:themeColor="accent2"/>
              </w:rPr>
              <w:t>4</w:t>
            </w:r>
            <w:r w:rsidRPr="00DE3412">
              <w:rPr>
                <w:b/>
                <w:color w:val="C0504D" w:themeColor="accent2"/>
              </w:rPr>
              <w:t xml:space="preserve">, </w:t>
            </w:r>
            <w:proofErr w:type="gramStart"/>
            <w:r w:rsidRPr="00DE3412">
              <w:rPr>
                <w:b/>
                <w:color w:val="C0504D" w:themeColor="accent2"/>
              </w:rPr>
              <w:t>202</w:t>
            </w:r>
            <w:r w:rsidR="00C65408" w:rsidRPr="00DE3412">
              <w:rPr>
                <w:b/>
                <w:color w:val="C0504D" w:themeColor="accent2"/>
              </w:rPr>
              <w:t>4</w:t>
            </w:r>
            <w:proofErr w:type="gramEnd"/>
            <w:r w:rsidRPr="00DE3412">
              <w:rPr>
                <w:b/>
                <w:color w:val="C0504D" w:themeColor="accent2"/>
              </w:rPr>
              <w:t xml:space="preserve"> at </w:t>
            </w:r>
            <w:r w:rsidR="00C15F13" w:rsidRPr="00DE3412">
              <w:rPr>
                <w:b/>
                <w:color w:val="C0504D" w:themeColor="accent2"/>
              </w:rPr>
              <w:t>4</w:t>
            </w:r>
            <w:r w:rsidR="00C65408" w:rsidRPr="00DE3412">
              <w:rPr>
                <w:b/>
                <w:color w:val="C0504D" w:themeColor="accent2"/>
              </w:rPr>
              <w:t>:00 pm</w:t>
            </w:r>
          </w:p>
        </w:tc>
      </w:tr>
      <w:tr w:rsidR="007925A3" w14:paraId="67ECA953" w14:textId="77777777" w:rsidTr="00132E83">
        <w:tc>
          <w:tcPr>
            <w:tcW w:w="6690" w:type="dxa"/>
            <w:shd w:val="clear" w:color="auto" w:fill="auto"/>
            <w:tcMar>
              <w:top w:w="100" w:type="dxa"/>
              <w:left w:w="100" w:type="dxa"/>
              <w:bottom w:w="100" w:type="dxa"/>
              <w:right w:w="100" w:type="dxa"/>
            </w:tcMar>
          </w:tcPr>
          <w:p w14:paraId="67ECA951" w14:textId="77777777" w:rsidR="007925A3" w:rsidRDefault="00BF5C06">
            <w:pPr>
              <w:widowControl w:val="0"/>
              <w:pBdr>
                <w:top w:val="nil"/>
                <w:left w:val="nil"/>
                <w:bottom w:val="nil"/>
                <w:right w:val="nil"/>
                <w:between w:val="nil"/>
              </w:pBdr>
            </w:pPr>
            <w:r>
              <w:t>EASI Grant- Review period</w:t>
            </w:r>
          </w:p>
        </w:tc>
        <w:tc>
          <w:tcPr>
            <w:tcW w:w="4110" w:type="dxa"/>
            <w:shd w:val="clear" w:color="auto" w:fill="auto"/>
            <w:tcMar>
              <w:top w:w="100" w:type="dxa"/>
              <w:left w:w="100" w:type="dxa"/>
              <w:bottom w:w="100" w:type="dxa"/>
              <w:right w:w="100" w:type="dxa"/>
            </w:tcMar>
          </w:tcPr>
          <w:p w14:paraId="67ECA952" w14:textId="77777777" w:rsidR="007925A3" w:rsidRDefault="00BF5C06">
            <w:pPr>
              <w:widowControl w:val="0"/>
              <w:pBdr>
                <w:top w:val="nil"/>
                <w:left w:val="nil"/>
                <w:bottom w:val="nil"/>
                <w:right w:val="nil"/>
                <w:between w:val="nil"/>
              </w:pBdr>
              <w:jc w:val="center"/>
            </w:pPr>
            <w:r>
              <w:t>December-January</w:t>
            </w:r>
          </w:p>
        </w:tc>
      </w:tr>
      <w:tr w:rsidR="007925A3" w14:paraId="67ECA956" w14:textId="77777777" w:rsidTr="00132E83">
        <w:tc>
          <w:tcPr>
            <w:tcW w:w="6690" w:type="dxa"/>
            <w:shd w:val="clear" w:color="auto" w:fill="auto"/>
            <w:tcMar>
              <w:top w:w="100" w:type="dxa"/>
              <w:left w:w="100" w:type="dxa"/>
              <w:bottom w:w="100" w:type="dxa"/>
              <w:right w:w="100" w:type="dxa"/>
            </w:tcMar>
          </w:tcPr>
          <w:p w14:paraId="67ECA954" w14:textId="77777777" w:rsidR="007925A3" w:rsidRDefault="00BF5C06">
            <w:pPr>
              <w:widowControl w:val="0"/>
              <w:pBdr>
                <w:top w:val="nil"/>
                <w:left w:val="nil"/>
                <w:bottom w:val="nil"/>
                <w:right w:val="nil"/>
                <w:between w:val="nil"/>
              </w:pBdr>
            </w:pPr>
            <w:r>
              <w:t>Award notifications</w:t>
            </w:r>
          </w:p>
        </w:tc>
        <w:tc>
          <w:tcPr>
            <w:tcW w:w="4110" w:type="dxa"/>
            <w:shd w:val="clear" w:color="auto" w:fill="auto"/>
            <w:tcMar>
              <w:top w:w="100" w:type="dxa"/>
              <w:left w:w="100" w:type="dxa"/>
              <w:bottom w:w="100" w:type="dxa"/>
              <w:right w:w="100" w:type="dxa"/>
            </w:tcMar>
          </w:tcPr>
          <w:p w14:paraId="67ECA955" w14:textId="07427236" w:rsidR="007925A3" w:rsidRDefault="00BF5C06">
            <w:pPr>
              <w:widowControl w:val="0"/>
              <w:pBdr>
                <w:top w:val="nil"/>
                <w:left w:val="nil"/>
                <w:bottom w:val="nil"/>
                <w:right w:val="nil"/>
                <w:between w:val="nil"/>
              </w:pBdr>
              <w:jc w:val="center"/>
            </w:pPr>
            <w:r>
              <w:t>no later than January 31, 202</w:t>
            </w:r>
            <w:r w:rsidR="00C65408">
              <w:t>5</w:t>
            </w:r>
          </w:p>
        </w:tc>
      </w:tr>
      <w:tr w:rsidR="007925A3" w14:paraId="67ECA959" w14:textId="77777777" w:rsidTr="00132E83">
        <w:tc>
          <w:tcPr>
            <w:tcW w:w="6690" w:type="dxa"/>
            <w:shd w:val="clear" w:color="auto" w:fill="auto"/>
            <w:tcMar>
              <w:top w:w="100" w:type="dxa"/>
              <w:left w:w="100" w:type="dxa"/>
              <w:bottom w:w="100" w:type="dxa"/>
              <w:right w:w="100" w:type="dxa"/>
            </w:tcMar>
          </w:tcPr>
          <w:p w14:paraId="67ECA957" w14:textId="77777777" w:rsidR="007925A3" w:rsidRDefault="00BF5C06">
            <w:pPr>
              <w:widowControl w:val="0"/>
              <w:pBdr>
                <w:top w:val="nil"/>
                <w:left w:val="nil"/>
                <w:bottom w:val="nil"/>
                <w:right w:val="nil"/>
                <w:between w:val="nil"/>
              </w:pBdr>
            </w:pPr>
            <w:r>
              <w:t>Post-award- Grant Management training and overview</w:t>
            </w:r>
          </w:p>
        </w:tc>
        <w:tc>
          <w:tcPr>
            <w:tcW w:w="4110" w:type="dxa"/>
            <w:shd w:val="clear" w:color="auto" w:fill="auto"/>
            <w:tcMar>
              <w:top w:w="100" w:type="dxa"/>
              <w:left w:w="100" w:type="dxa"/>
              <w:bottom w:w="100" w:type="dxa"/>
              <w:right w:w="100" w:type="dxa"/>
            </w:tcMar>
          </w:tcPr>
          <w:p w14:paraId="67ECA958" w14:textId="34E13A1C" w:rsidR="007925A3" w:rsidRDefault="00BF5C06">
            <w:pPr>
              <w:widowControl w:val="0"/>
              <w:pBdr>
                <w:top w:val="nil"/>
                <w:left w:val="nil"/>
                <w:bottom w:val="nil"/>
                <w:right w:val="nil"/>
                <w:between w:val="nil"/>
              </w:pBdr>
              <w:jc w:val="center"/>
            </w:pPr>
            <w:r>
              <w:t>February 202</w:t>
            </w:r>
            <w:r w:rsidR="00C65408">
              <w:t>5</w:t>
            </w:r>
          </w:p>
        </w:tc>
      </w:tr>
    </w:tbl>
    <w:p w14:paraId="67ECA95A" w14:textId="77777777" w:rsidR="007925A3" w:rsidRDefault="007925A3"/>
    <w:p w14:paraId="67ECA95B" w14:textId="55A89BD0" w:rsidR="007925A3" w:rsidRDefault="00BF5C06">
      <w:pPr>
        <w:pStyle w:val="Heading2"/>
        <w:spacing w:before="0"/>
        <w:rPr>
          <w:b w:val="0"/>
          <w:color w:val="000000"/>
          <w:sz w:val="24"/>
          <w:szCs w:val="24"/>
        </w:rPr>
      </w:pPr>
      <w:r>
        <w:rPr>
          <w:color w:val="000000"/>
        </w:rPr>
        <w:t>Key Changes to EASI 202</w:t>
      </w:r>
      <w:r w:rsidR="00C65408">
        <w:rPr>
          <w:color w:val="000000"/>
        </w:rPr>
        <w:t>4</w:t>
      </w:r>
    </w:p>
    <w:p w14:paraId="67ECA95C" w14:textId="67493B51" w:rsidR="007925A3" w:rsidRPr="00D8147F" w:rsidRDefault="00BF5C06">
      <w:pPr>
        <w:pStyle w:val="Heading3"/>
        <w:rPr>
          <w:rFonts w:asciiTheme="minorHAnsi" w:hAnsiTheme="minorHAnsi" w:cstheme="minorHAnsi"/>
          <w:color w:val="000000"/>
        </w:rPr>
      </w:pPr>
      <w:bookmarkStart w:id="0" w:name="_heading=h.aml87xkufybj" w:colFirst="0" w:colLast="0"/>
      <w:bookmarkEnd w:id="0"/>
      <w:r w:rsidRPr="00D8147F">
        <w:rPr>
          <w:rFonts w:asciiTheme="minorHAnsi" w:hAnsiTheme="minorHAnsi" w:cstheme="minorHAnsi"/>
          <w:color w:val="000000"/>
        </w:rPr>
        <w:t>After each grant cycle, CDE gathers feedback from districts, schools, and staff on ways to improve the offerings and approach of the EASI grant. The table below highlights the key changes made to EASI for the 202</w:t>
      </w:r>
      <w:r w:rsidR="00C65408" w:rsidRPr="00D8147F">
        <w:rPr>
          <w:rFonts w:asciiTheme="minorHAnsi" w:hAnsiTheme="minorHAnsi" w:cstheme="minorHAnsi"/>
          <w:color w:val="000000"/>
        </w:rPr>
        <w:t>4</w:t>
      </w:r>
      <w:r w:rsidRPr="00D8147F">
        <w:rPr>
          <w:rFonts w:asciiTheme="minorHAnsi" w:hAnsiTheme="minorHAnsi" w:cstheme="minorHAnsi"/>
          <w:color w:val="000000"/>
        </w:rPr>
        <w:t xml:space="preserve"> grant cycle.</w:t>
      </w:r>
    </w:p>
    <w:p w14:paraId="67ECA95D" w14:textId="77777777" w:rsidR="007925A3" w:rsidRDefault="007925A3"/>
    <w:tbl>
      <w:tblPr>
        <w:tblStyle w:val="a0"/>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75"/>
        <w:gridCol w:w="7620"/>
      </w:tblGrid>
      <w:tr w:rsidR="007925A3" w14:paraId="67ECA960" w14:textId="77777777" w:rsidTr="00132E83">
        <w:trPr>
          <w:tblHeader/>
        </w:trPr>
        <w:tc>
          <w:tcPr>
            <w:tcW w:w="3075" w:type="dxa"/>
            <w:shd w:val="clear" w:color="auto" w:fill="D9D9D9"/>
            <w:tcMar>
              <w:top w:w="100" w:type="dxa"/>
              <w:left w:w="100" w:type="dxa"/>
              <w:bottom w:w="100" w:type="dxa"/>
              <w:right w:w="100" w:type="dxa"/>
            </w:tcMar>
          </w:tcPr>
          <w:p w14:paraId="67ECA95E" w14:textId="77777777" w:rsidR="007925A3" w:rsidRDefault="00BF5C06">
            <w:pPr>
              <w:widowControl w:val="0"/>
              <w:pBdr>
                <w:top w:val="nil"/>
                <w:left w:val="nil"/>
                <w:bottom w:val="nil"/>
                <w:right w:val="nil"/>
                <w:between w:val="nil"/>
              </w:pBdr>
              <w:jc w:val="center"/>
              <w:rPr>
                <w:b/>
              </w:rPr>
            </w:pPr>
            <w:r>
              <w:rPr>
                <w:b/>
              </w:rPr>
              <w:t>Key Change</w:t>
            </w:r>
          </w:p>
        </w:tc>
        <w:tc>
          <w:tcPr>
            <w:tcW w:w="7620" w:type="dxa"/>
            <w:shd w:val="clear" w:color="auto" w:fill="D9D9D9"/>
            <w:tcMar>
              <w:top w:w="100" w:type="dxa"/>
              <w:left w:w="100" w:type="dxa"/>
              <w:bottom w:w="100" w:type="dxa"/>
              <w:right w:w="100" w:type="dxa"/>
            </w:tcMar>
          </w:tcPr>
          <w:p w14:paraId="67ECA95F" w14:textId="77777777" w:rsidR="007925A3" w:rsidRDefault="00BF5C06">
            <w:pPr>
              <w:widowControl w:val="0"/>
              <w:pBdr>
                <w:top w:val="nil"/>
                <w:left w:val="nil"/>
                <w:bottom w:val="nil"/>
                <w:right w:val="nil"/>
                <w:between w:val="nil"/>
              </w:pBdr>
              <w:jc w:val="center"/>
              <w:rPr>
                <w:b/>
              </w:rPr>
            </w:pPr>
            <w:r>
              <w:rPr>
                <w:b/>
              </w:rPr>
              <w:t>Description &amp; Details</w:t>
            </w:r>
          </w:p>
        </w:tc>
      </w:tr>
      <w:tr w:rsidR="007925A3" w14:paraId="67ECA967" w14:textId="77777777" w:rsidTr="00132E83">
        <w:trPr>
          <w:trHeight w:val="440"/>
        </w:trPr>
        <w:tc>
          <w:tcPr>
            <w:tcW w:w="3075" w:type="dxa"/>
            <w:shd w:val="clear" w:color="auto" w:fill="auto"/>
            <w:tcMar>
              <w:top w:w="100" w:type="dxa"/>
              <w:left w:w="100" w:type="dxa"/>
              <w:bottom w:w="100" w:type="dxa"/>
              <w:right w:w="100" w:type="dxa"/>
            </w:tcMar>
            <w:vAlign w:val="center"/>
          </w:tcPr>
          <w:p w14:paraId="67ECA962" w14:textId="52C54CB1" w:rsidR="007925A3" w:rsidRDefault="00BF5C06">
            <w:pPr>
              <w:widowControl w:val="0"/>
              <w:pBdr>
                <w:top w:val="nil"/>
                <w:left w:val="nil"/>
                <w:bottom w:val="nil"/>
                <w:right w:val="nil"/>
                <w:between w:val="nil"/>
              </w:pBdr>
              <w:jc w:val="center"/>
              <w:rPr>
                <w:b/>
                <w:color w:val="38761D"/>
              </w:rPr>
            </w:pPr>
            <w:r>
              <w:rPr>
                <w:b/>
                <w:color w:val="38761D"/>
              </w:rPr>
              <w:t>Change</w:t>
            </w:r>
            <w:r w:rsidR="00630DE0">
              <w:rPr>
                <w:b/>
                <w:color w:val="38761D"/>
              </w:rPr>
              <w:t xml:space="preserve"> -</w:t>
            </w:r>
          </w:p>
          <w:p w14:paraId="67ECA963" w14:textId="67ACAE20" w:rsidR="007925A3" w:rsidRDefault="00D839AF">
            <w:pPr>
              <w:widowControl w:val="0"/>
              <w:pBdr>
                <w:top w:val="nil"/>
                <w:left w:val="nil"/>
                <w:bottom w:val="nil"/>
                <w:right w:val="nil"/>
                <w:between w:val="nil"/>
              </w:pBdr>
              <w:jc w:val="center"/>
              <w:rPr>
                <w:b/>
              </w:rPr>
            </w:pPr>
            <w:r>
              <w:rPr>
                <w:b/>
              </w:rPr>
              <w:t xml:space="preserve">EASI </w:t>
            </w:r>
            <w:r w:rsidR="00D062D9">
              <w:rPr>
                <w:b/>
              </w:rPr>
              <w:t>Cohort 8 in</w:t>
            </w:r>
            <w:r>
              <w:rPr>
                <w:b/>
              </w:rPr>
              <w:t xml:space="preserve"> GAINS</w:t>
            </w:r>
          </w:p>
        </w:tc>
        <w:tc>
          <w:tcPr>
            <w:tcW w:w="7620" w:type="dxa"/>
            <w:shd w:val="clear" w:color="auto" w:fill="auto"/>
            <w:tcMar>
              <w:top w:w="100" w:type="dxa"/>
              <w:left w:w="100" w:type="dxa"/>
              <w:bottom w:w="100" w:type="dxa"/>
              <w:right w:w="100" w:type="dxa"/>
            </w:tcMar>
            <w:vAlign w:val="center"/>
          </w:tcPr>
          <w:p w14:paraId="698197D8" w14:textId="77777777" w:rsidR="007925A3" w:rsidRDefault="00742B68">
            <w:pPr>
              <w:widowControl w:val="0"/>
              <w:numPr>
                <w:ilvl w:val="0"/>
                <w:numId w:val="5"/>
              </w:numPr>
              <w:pBdr>
                <w:top w:val="nil"/>
                <w:left w:val="nil"/>
                <w:bottom w:val="nil"/>
                <w:right w:val="nil"/>
                <w:between w:val="nil"/>
              </w:pBdr>
            </w:pPr>
            <w:r>
              <w:t>Applications and budgets will be managed in the new GAINS system</w:t>
            </w:r>
          </w:p>
          <w:p w14:paraId="7B6D2099" w14:textId="28D60A4B" w:rsidR="00E512CC" w:rsidRDefault="00742B68" w:rsidP="00E512CC">
            <w:pPr>
              <w:widowControl w:val="0"/>
              <w:numPr>
                <w:ilvl w:val="0"/>
                <w:numId w:val="5"/>
              </w:numPr>
              <w:pBdr>
                <w:top w:val="nil"/>
                <w:left w:val="nil"/>
                <w:bottom w:val="nil"/>
                <w:right w:val="nil"/>
                <w:between w:val="nil"/>
              </w:pBdr>
            </w:pPr>
            <w:r>
              <w:t>School and district users should connect with their district’s Local Access Manager (LAM) to get access, if needed</w:t>
            </w:r>
          </w:p>
          <w:p w14:paraId="5F7B4602" w14:textId="77777777" w:rsidR="00742B68" w:rsidRDefault="00FE74F1">
            <w:pPr>
              <w:widowControl w:val="0"/>
              <w:numPr>
                <w:ilvl w:val="0"/>
                <w:numId w:val="5"/>
              </w:numPr>
              <w:pBdr>
                <w:top w:val="nil"/>
                <w:left w:val="nil"/>
                <w:bottom w:val="nil"/>
                <w:right w:val="nil"/>
                <w:between w:val="nil"/>
              </w:pBdr>
            </w:pPr>
            <w:r>
              <w:t xml:space="preserve">Applications may be </w:t>
            </w:r>
            <w:r w:rsidR="00EB1DE2">
              <w:t>filled out</w:t>
            </w:r>
            <w:r>
              <w:t xml:space="preserve"> by school or district staff, but all must be approved by the LEA Fiscal Representative and LEA Authorized Representative by the deadline</w:t>
            </w:r>
            <w:r w:rsidR="00EB1DE2">
              <w:t xml:space="preserve"> to be considered complete and on time</w:t>
            </w:r>
          </w:p>
          <w:p w14:paraId="44E7CC34" w14:textId="77777777" w:rsidR="00EB1DE2" w:rsidRDefault="006D5BEB">
            <w:pPr>
              <w:widowControl w:val="0"/>
              <w:numPr>
                <w:ilvl w:val="0"/>
                <w:numId w:val="5"/>
              </w:numPr>
              <w:pBdr>
                <w:top w:val="nil"/>
                <w:left w:val="nil"/>
                <w:bottom w:val="nil"/>
                <w:right w:val="nil"/>
                <w:between w:val="nil"/>
              </w:pBdr>
            </w:pPr>
            <w:r>
              <w:t>All details of the grant management process including supporting documentation uploads, budgets, and request for funds will occur in the GAINS system</w:t>
            </w:r>
          </w:p>
          <w:p w14:paraId="354ED47E" w14:textId="70E10A3D" w:rsidR="00F87DA4" w:rsidRPr="00DE3412" w:rsidRDefault="00F87DA4" w:rsidP="00C15F13">
            <w:pPr>
              <w:widowControl w:val="0"/>
              <w:numPr>
                <w:ilvl w:val="0"/>
                <w:numId w:val="5"/>
              </w:numPr>
              <w:pBdr>
                <w:top w:val="nil"/>
                <w:left w:val="nil"/>
                <w:bottom w:val="nil"/>
                <w:right w:val="nil"/>
                <w:between w:val="nil"/>
              </w:pBdr>
              <w:rPr>
                <w:color w:val="1F497D" w:themeColor="text2"/>
              </w:rPr>
            </w:pPr>
            <w:r>
              <w:t>Cha</w:t>
            </w:r>
            <w:r w:rsidR="00D8147F">
              <w:t>r</w:t>
            </w:r>
            <w:r>
              <w:t xml:space="preserve">ter schools may request access through the submission of </w:t>
            </w:r>
            <w:r w:rsidR="00C15F13">
              <w:t xml:space="preserve">GAINS </w:t>
            </w:r>
            <w:hyperlink r:id="rId8" w:history="1">
              <w:r w:rsidR="00C15F13" w:rsidRPr="00DE3412">
                <w:rPr>
                  <w:rStyle w:val="Hyperlink"/>
                  <w:color w:val="1F497D" w:themeColor="text2"/>
                </w:rPr>
                <w:t>Charter School Access Form</w:t>
              </w:r>
            </w:hyperlink>
            <w:r w:rsidRPr="00DE3412">
              <w:rPr>
                <w:color w:val="1F497D" w:themeColor="text2"/>
              </w:rPr>
              <w:t xml:space="preserve"> </w:t>
            </w:r>
          </w:p>
          <w:p w14:paraId="67ECA966" w14:textId="483251D9" w:rsidR="00D062D9" w:rsidRDefault="00E512CC">
            <w:pPr>
              <w:widowControl w:val="0"/>
              <w:numPr>
                <w:ilvl w:val="0"/>
                <w:numId w:val="5"/>
              </w:numPr>
              <w:pBdr>
                <w:top w:val="nil"/>
                <w:left w:val="nil"/>
                <w:bottom w:val="nil"/>
                <w:right w:val="nil"/>
                <w:between w:val="nil"/>
              </w:pBdr>
            </w:pPr>
            <w:r>
              <w:t xml:space="preserve">For more information about GAINS (training, log-in, FAQs), please visit </w:t>
            </w:r>
            <w:r w:rsidR="006A3560">
              <w:t xml:space="preserve">the </w:t>
            </w:r>
            <w:hyperlink r:id="rId9" w:history="1">
              <w:r w:rsidR="006A3560" w:rsidRPr="00DE3412">
                <w:rPr>
                  <w:rStyle w:val="Hyperlink"/>
                  <w:color w:val="1F497D" w:themeColor="text2"/>
                </w:rPr>
                <w:t>Colorado Grants Administration Implementation &amp; Navigation System (GAINS).</w:t>
              </w:r>
            </w:hyperlink>
          </w:p>
        </w:tc>
      </w:tr>
      <w:tr w:rsidR="007925A3" w14:paraId="67ECA96E" w14:textId="77777777" w:rsidTr="00132E83">
        <w:trPr>
          <w:trHeight w:val="1777"/>
        </w:trPr>
        <w:tc>
          <w:tcPr>
            <w:tcW w:w="3075" w:type="dxa"/>
            <w:shd w:val="clear" w:color="auto" w:fill="auto"/>
            <w:tcMar>
              <w:top w:w="100" w:type="dxa"/>
              <w:left w:w="100" w:type="dxa"/>
              <w:bottom w:w="100" w:type="dxa"/>
              <w:right w:w="100" w:type="dxa"/>
            </w:tcMar>
            <w:vAlign w:val="center"/>
          </w:tcPr>
          <w:p w14:paraId="67ECA968" w14:textId="26C7E82F" w:rsidR="007925A3" w:rsidRDefault="00BF5C06">
            <w:pPr>
              <w:widowControl w:val="0"/>
              <w:jc w:val="center"/>
              <w:rPr>
                <w:b/>
                <w:color w:val="38761D"/>
              </w:rPr>
            </w:pPr>
            <w:r>
              <w:rPr>
                <w:b/>
                <w:color w:val="38761D"/>
              </w:rPr>
              <w:lastRenderedPageBreak/>
              <w:t>Change</w:t>
            </w:r>
            <w:r w:rsidR="00630DE0">
              <w:rPr>
                <w:b/>
                <w:color w:val="38761D"/>
              </w:rPr>
              <w:t xml:space="preserve"> - </w:t>
            </w:r>
          </w:p>
          <w:p w14:paraId="67ECA96A" w14:textId="6260E4F3" w:rsidR="007925A3" w:rsidRDefault="00BF5C06">
            <w:pPr>
              <w:widowControl w:val="0"/>
              <w:jc w:val="center"/>
              <w:rPr>
                <w:b/>
              </w:rPr>
            </w:pPr>
            <w:r w:rsidRPr="00A2003A">
              <w:rPr>
                <w:b/>
              </w:rPr>
              <w:t>EASI 202</w:t>
            </w:r>
            <w:r w:rsidR="00AB71E4" w:rsidRPr="00A2003A">
              <w:rPr>
                <w:b/>
              </w:rPr>
              <w:t>4</w:t>
            </w:r>
            <w:r w:rsidRPr="00A2003A">
              <w:rPr>
                <w:b/>
              </w:rPr>
              <w:t xml:space="preserve"> Eligibility &amp; Prioritization</w:t>
            </w:r>
          </w:p>
        </w:tc>
        <w:tc>
          <w:tcPr>
            <w:tcW w:w="7620" w:type="dxa"/>
            <w:shd w:val="clear" w:color="auto" w:fill="auto"/>
            <w:tcMar>
              <w:top w:w="100" w:type="dxa"/>
              <w:left w:w="100" w:type="dxa"/>
              <w:bottom w:w="100" w:type="dxa"/>
              <w:right w:w="100" w:type="dxa"/>
            </w:tcMar>
            <w:vAlign w:val="center"/>
          </w:tcPr>
          <w:p w14:paraId="2B93152D" w14:textId="1477257E" w:rsidR="00463357" w:rsidRDefault="00E2683A">
            <w:pPr>
              <w:widowControl w:val="0"/>
              <w:numPr>
                <w:ilvl w:val="0"/>
                <w:numId w:val="1"/>
              </w:numPr>
            </w:pPr>
            <w:r>
              <w:t>Preliminary eligibility and prioritization will be released, but may change as the result of the Request to Reconsider</w:t>
            </w:r>
            <w:r w:rsidR="004855E6">
              <w:t xml:space="preserve"> process or the addition of ESSA K-2 identifications</w:t>
            </w:r>
          </w:p>
          <w:p w14:paraId="7532F287" w14:textId="068752C2" w:rsidR="00DE3412" w:rsidRDefault="004855E6" w:rsidP="00DE3412">
            <w:pPr>
              <w:widowControl w:val="0"/>
              <w:numPr>
                <w:ilvl w:val="0"/>
                <w:numId w:val="1"/>
              </w:numPr>
            </w:pPr>
            <w:r w:rsidRPr="00C15F13">
              <w:t xml:space="preserve">Bonus points have been adjusted and now include points for </w:t>
            </w:r>
            <w:r w:rsidR="00630DE0">
              <w:t>schools that have not</w:t>
            </w:r>
            <w:r w:rsidRPr="00C15F13">
              <w:t xml:space="preserve"> previously received EASI funding</w:t>
            </w:r>
            <w:r w:rsidR="00DE3412">
              <w:t xml:space="preserve"> and for schools with both an ESSA and state identification</w:t>
            </w:r>
          </w:p>
          <w:p w14:paraId="62541616" w14:textId="12F216B4" w:rsidR="00DE3412" w:rsidRDefault="00DE3412" w:rsidP="00DE3412">
            <w:pPr>
              <w:widowControl w:val="0"/>
              <w:numPr>
                <w:ilvl w:val="0"/>
                <w:numId w:val="1"/>
              </w:numPr>
            </w:pPr>
            <w:r>
              <w:t>For district-level supports, districts with high concentrations of identified schools will also receive a bonus point for the district-level support.</w:t>
            </w:r>
          </w:p>
          <w:p w14:paraId="67ECA96D" w14:textId="1A316D18" w:rsidR="007925A3" w:rsidRDefault="00BF5C06" w:rsidP="00DE3412">
            <w:pPr>
              <w:widowControl w:val="0"/>
              <w:numPr>
                <w:ilvl w:val="0"/>
                <w:numId w:val="1"/>
              </w:numPr>
            </w:pPr>
            <w:r w:rsidRPr="00C15F13">
              <w:t xml:space="preserve">For more information, please see </w:t>
            </w:r>
            <w:hyperlink r:id="rId10">
              <w:r w:rsidRPr="00DE3412">
                <w:rPr>
                  <w:color w:val="1F497D" w:themeColor="text2"/>
                  <w:u w:val="single"/>
                </w:rPr>
                <w:t>EASI 202</w:t>
              </w:r>
              <w:r w:rsidR="00457314" w:rsidRPr="00DE3412">
                <w:rPr>
                  <w:color w:val="1F497D" w:themeColor="text2"/>
                  <w:u w:val="single"/>
                </w:rPr>
                <w:t>4</w:t>
              </w:r>
              <w:r w:rsidRPr="00DE3412">
                <w:rPr>
                  <w:color w:val="1F497D" w:themeColor="text2"/>
                  <w:u w:val="single"/>
                </w:rPr>
                <w:t xml:space="preserve"> Eligibility &amp; Prioritization</w:t>
              </w:r>
            </w:hyperlink>
            <w:r w:rsidRPr="00C15F13">
              <w:t>.</w:t>
            </w:r>
          </w:p>
        </w:tc>
      </w:tr>
      <w:tr w:rsidR="007925A3" w14:paraId="67ECA975" w14:textId="77777777" w:rsidTr="00132E83">
        <w:trPr>
          <w:trHeight w:val="440"/>
        </w:trPr>
        <w:tc>
          <w:tcPr>
            <w:tcW w:w="3075" w:type="dxa"/>
            <w:shd w:val="clear" w:color="auto" w:fill="auto"/>
            <w:tcMar>
              <w:top w:w="100" w:type="dxa"/>
              <w:left w:w="100" w:type="dxa"/>
              <w:bottom w:w="100" w:type="dxa"/>
              <w:right w:w="100" w:type="dxa"/>
            </w:tcMar>
            <w:vAlign w:val="center"/>
          </w:tcPr>
          <w:p w14:paraId="67ECA970" w14:textId="7EF9DCDC" w:rsidR="007925A3" w:rsidRDefault="00BF5C06">
            <w:pPr>
              <w:widowControl w:val="0"/>
              <w:jc w:val="center"/>
              <w:rPr>
                <w:b/>
                <w:color w:val="38761D"/>
              </w:rPr>
            </w:pPr>
            <w:r>
              <w:rPr>
                <w:b/>
                <w:color w:val="38761D"/>
              </w:rPr>
              <w:t>Change</w:t>
            </w:r>
            <w:r w:rsidR="00630DE0">
              <w:rPr>
                <w:b/>
                <w:color w:val="38761D"/>
              </w:rPr>
              <w:t xml:space="preserve"> -</w:t>
            </w:r>
          </w:p>
          <w:p w14:paraId="67ECA971" w14:textId="3C984850" w:rsidR="007925A3" w:rsidRDefault="00460F14">
            <w:pPr>
              <w:widowControl w:val="0"/>
              <w:pBdr>
                <w:top w:val="nil"/>
                <w:left w:val="nil"/>
                <w:bottom w:val="nil"/>
                <w:right w:val="nil"/>
                <w:between w:val="nil"/>
              </w:pBdr>
              <w:jc w:val="center"/>
              <w:rPr>
                <w:b/>
              </w:rPr>
            </w:pPr>
            <w:r>
              <w:rPr>
                <w:b/>
              </w:rPr>
              <w:t>District Designed &amp; Led</w:t>
            </w:r>
          </w:p>
        </w:tc>
        <w:tc>
          <w:tcPr>
            <w:tcW w:w="7620" w:type="dxa"/>
            <w:shd w:val="clear" w:color="auto" w:fill="auto"/>
            <w:tcMar>
              <w:top w:w="100" w:type="dxa"/>
              <w:left w:w="100" w:type="dxa"/>
              <w:bottom w:w="100" w:type="dxa"/>
              <w:right w:w="100" w:type="dxa"/>
            </w:tcMar>
            <w:vAlign w:val="center"/>
          </w:tcPr>
          <w:p w14:paraId="094A522E" w14:textId="2126FA51" w:rsidR="002F0A31" w:rsidRDefault="00CC346F">
            <w:pPr>
              <w:widowControl w:val="0"/>
              <w:numPr>
                <w:ilvl w:val="0"/>
                <w:numId w:val="3"/>
              </w:numPr>
              <w:pBdr>
                <w:top w:val="nil"/>
                <w:left w:val="nil"/>
                <w:bottom w:val="nil"/>
                <w:right w:val="nil"/>
                <w:between w:val="nil"/>
              </w:pBdr>
            </w:pPr>
            <w:r>
              <w:t>District Designed &amp; Led (DDL) now has two new revamped options- Improvement Support and Major Improvement Strategy</w:t>
            </w:r>
          </w:p>
          <w:p w14:paraId="55246CAD" w14:textId="54D1D8CF" w:rsidR="00CC346F" w:rsidRDefault="00CC346F">
            <w:pPr>
              <w:widowControl w:val="0"/>
              <w:numPr>
                <w:ilvl w:val="0"/>
                <w:numId w:val="3"/>
              </w:numPr>
              <w:pBdr>
                <w:top w:val="nil"/>
                <w:left w:val="nil"/>
                <w:bottom w:val="nil"/>
                <w:right w:val="nil"/>
                <w:between w:val="nil"/>
              </w:pBdr>
            </w:pPr>
            <w:r>
              <w:t>DDL-Improvement Support provides districts with a demonstrated need and clear plan additional funds to continue improvement efforts</w:t>
            </w:r>
          </w:p>
          <w:p w14:paraId="295BCE6E" w14:textId="51049DC8" w:rsidR="00CC346F" w:rsidRDefault="00CC346F">
            <w:pPr>
              <w:widowControl w:val="0"/>
              <w:numPr>
                <w:ilvl w:val="0"/>
                <w:numId w:val="3"/>
              </w:numPr>
              <w:pBdr>
                <w:top w:val="nil"/>
                <w:left w:val="nil"/>
                <w:bottom w:val="nil"/>
                <w:right w:val="nil"/>
                <w:between w:val="nil"/>
              </w:pBdr>
            </w:pPr>
            <w:r>
              <w:t>DDL-Ma</w:t>
            </w:r>
            <w:r w:rsidR="00CF1F80">
              <w:t xml:space="preserve">jor Improvement Strategy focuses improvement efforts on the implementation of one of </w:t>
            </w:r>
            <w:hyperlink r:id="rId11" w:history="1">
              <w:r w:rsidR="00CF1F80" w:rsidRPr="00DE3412">
                <w:rPr>
                  <w:rStyle w:val="Hyperlink"/>
                  <w:color w:val="1F497D" w:themeColor="text2"/>
                </w:rPr>
                <w:t>CDE’s Major Improvement Strategy Guides</w:t>
              </w:r>
            </w:hyperlink>
            <w:r w:rsidR="00D1645F">
              <w:t xml:space="preserve">. In a shift from prior DDL prerequisites, grantees may demonstrate the need in more ways including </w:t>
            </w:r>
            <w:r w:rsidR="00762111">
              <w:t>S-CAP reviews, internal district conducted reviews, or through a demonstrated data trend aligned to the selected improvement strategy</w:t>
            </w:r>
            <w:r w:rsidR="00D1645F">
              <w:t xml:space="preserve"> </w:t>
            </w:r>
          </w:p>
          <w:p w14:paraId="67ECA974" w14:textId="26AC4F36" w:rsidR="007925A3" w:rsidRDefault="00BF5C06">
            <w:pPr>
              <w:widowControl w:val="0"/>
              <w:numPr>
                <w:ilvl w:val="0"/>
                <w:numId w:val="3"/>
              </w:numPr>
              <w:pBdr>
                <w:top w:val="nil"/>
                <w:left w:val="nil"/>
                <w:bottom w:val="nil"/>
                <w:right w:val="nil"/>
                <w:between w:val="nil"/>
              </w:pBdr>
            </w:pPr>
            <w:r>
              <w:t xml:space="preserve">For more information about </w:t>
            </w:r>
            <w:r w:rsidR="002F0A31">
              <w:t>District Designed and Led options</w:t>
            </w:r>
            <w:r>
              <w:t>, please see the</w:t>
            </w:r>
            <w:r w:rsidR="00762111">
              <w:t xml:space="preserve"> </w:t>
            </w:r>
            <w:hyperlink r:id="rId12" w:history="1">
              <w:r w:rsidR="003D1B50" w:rsidRPr="00DE3412">
                <w:rPr>
                  <w:rStyle w:val="Hyperlink"/>
                  <w:color w:val="1F497D" w:themeColor="text2"/>
                </w:rPr>
                <w:t>District Designed &amp; Led webpage</w:t>
              </w:r>
              <w:r w:rsidR="003A5F88" w:rsidRPr="00DE3412">
                <w:rPr>
                  <w:rStyle w:val="Hyperlink"/>
                  <w:color w:val="1F497D" w:themeColor="text2"/>
                </w:rPr>
                <w:t xml:space="preserve"> and information sheets</w:t>
              </w:r>
            </w:hyperlink>
            <w:r w:rsidR="003A5F88">
              <w:t>.</w:t>
            </w:r>
          </w:p>
        </w:tc>
      </w:tr>
      <w:tr w:rsidR="007925A3" w14:paraId="67ECA97B" w14:textId="77777777" w:rsidTr="00132E83">
        <w:trPr>
          <w:trHeight w:val="440"/>
        </w:trPr>
        <w:tc>
          <w:tcPr>
            <w:tcW w:w="3075" w:type="dxa"/>
            <w:shd w:val="clear" w:color="auto" w:fill="auto"/>
            <w:tcMar>
              <w:top w:w="100" w:type="dxa"/>
              <w:left w:w="100" w:type="dxa"/>
              <w:bottom w:w="100" w:type="dxa"/>
              <w:right w:w="100" w:type="dxa"/>
            </w:tcMar>
            <w:vAlign w:val="center"/>
          </w:tcPr>
          <w:p w14:paraId="67ECA977" w14:textId="79346D57" w:rsidR="007925A3" w:rsidRDefault="00BF5C06">
            <w:pPr>
              <w:widowControl w:val="0"/>
              <w:jc w:val="center"/>
              <w:rPr>
                <w:b/>
                <w:color w:val="073763"/>
              </w:rPr>
            </w:pPr>
            <w:r>
              <w:rPr>
                <w:b/>
                <w:color w:val="38761D"/>
              </w:rPr>
              <w:t>Change</w:t>
            </w:r>
            <w:r w:rsidR="00630DE0">
              <w:rPr>
                <w:b/>
                <w:color w:val="38761D"/>
              </w:rPr>
              <w:t xml:space="preserve"> -</w:t>
            </w:r>
          </w:p>
          <w:p w14:paraId="67ECA978" w14:textId="77777777" w:rsidR="007925A3" w:rsidRDefault="00BF5C06">
            <w:pPr>
              <w:widowControl w:val="0"/>
              <w:jc w:val="center"/>
              <w:rPr>
                <w:b/>
                <w:color w:val="38761D"/>
              </w:rPr>
            </w:pPr>
            <w:r>
              <w:rPr>
                <w:b/>
              </w:rPr>
              <w:t>CDE Advisory List of Providers</w:t>
            </w:r>
          </w:p>
        </w:tc>
        <w:tc>
          <w:tcPr>
            <w:tcW w:w="7620" w:type="dxa"/>
            <w:shd w:val="clear" w:color="auto" w:fill="auto"/>
            <w:tcMar>
              <w:top w:w="100" w:type="dxa"/>
              <w:left w:w="100" w:type="dxa"/>
              <w:bottom w:w="100" w:type="dxa"/>
              <w:right w:w="100" w:type="dxa"/>
            </w:tcMar>
            <w:vAlign w:val="center"/>
          </w:tcPr>
          <w:p w14:paraId="67ECA979" w14:textId="767F3C38" w:rsidR="007925A3" w:rsidRPr="00DE3412" w:rsidRDefault="00000000">
            <w:pPr>
              <w:widowControl w:val="0"/>
              <w:numPr>
                <w:ilvl w:val="0"/>
                <w:numId w:val="6"/>
              </w:numPr>
              <w:pBdr>
                <w:top w:val="nil"/>
                <w:left w:val="nil"/>
                <w:bottom w:val="nil"/>
                <w:right w:val="nil"/>
                <w:between w:val="nil"/>
              </w:pBdr>
            </w:pPr>
            <w:hyperlink r:id="rId13">
              <w:r w:rsidR="00BF5C06" w:rsidRPr="00DE3412">
                <w:rPr>
                  <w:color w:val="1F497D" w:themeColor="text2"/>
                  <w:u w:val="single"/>
                </w:rPr>
                <w:t>CDE Advisory List of Providers</w:t>
              </w:r>
            </w:hyperlink>
            <w:r w:rsidR="00BF5C06" w:rsidRPr="00DE3412">
              <w:t xml:space="preserve"> </w:t>
            </w:r>
            <w:r w:rsidR="00DE3412" w:rsidRPr="00DE3412">
              <w:t>has been updated for 2024-25</w:t>
            </w:r>
          </w:p>
          <w:p w14:paraId="6F979C63" w14:textId="043273EE" w:rsidR="00B0003F" w:rsidRDefault="00B0003F">
            <w:pPr>
              <w:widowControl w:val="0"/>
              <w:numPr>
                <w:ilvl w:val="0"/>
                <w:numId w:val="6"/>
              </w:numPr>
              <w:pBdr>
                <w:top w:val="nil"/>
                <w:left w:val="nil"/>
                <w:bottom w:val="nil"/>
                <w:right w:val="nil"/>
                <w:between w:val="nil"/>
              </w:pBdr>
            </w:pPr>
            <w:r>
              <w:t>Adjustments to service areas occurred in the 2024-25 RFI cycle</w:t>
            </w:r>
          </w:p>
          <w:p w14:paraId="741A3236" w14:textId="56DCCC54" w:rsidR="007925A3" w:rsidRDefault="00B0003F" w:rsidP="00B0003F">
            <w:pPr>
              <w:widowControl w:val="0"/>
              <w:numPr>
                <w:ilvl w:val="1"/>
                <w:numId w:val="6"/>
              </w:numPr>
              <w:pBdr>
                <w:top w:val="nil"/>
                <w:left w:val="nil"/>
                <w:bottom w:val="nil"/>
                <w:right w:val="nil"/>
                <w:between w:val="nil"/>
              </w:pBdr>
            </w:pPr>
            <w:r>
              <w:t>School and district management partners was revamped and now referred to as Accountability Pathway Partners</w:t>
            </w:r>
          </w:p>
          <w:p w14:paraId="73364BA0" w14:textId="77777777" w:rsidR="00B0003F" w:rsidRDefault="001A313E" w:rsidP="00B0003F">
            <w:pPr>
              <w:widowControl w:val="0"/>
              <w:numPr>
                <w:ilvl w:val="1"/>
                <w:numId w:val="6"/>
              </w:numPr>
              <w:pBdr>
                <w:top w:val="nil"/>
                <w:left w:val="nil"/>
                <w:bottom w:val="nil"/>
                <w:right w:val="nil"/>
                <w:between w:val="nil"/>
              </w:pBdr>
            </w:pPr>
            <w:r>
              <w:t>Improvement Implementation Support was combined from school and district to a single service area</w:t>
            </w:r>
          </w:p>
          <w:p w14:paraId="67ECA97A" w14:textId="13527CCF" w:rsidR="001A313E" w:rsidRDefault="001A313E" w:rsidP="001A313E">
            <w:pPr>
              <w:widowControl w:val="0"/>
              <w:numPr>
                <w:ilvl w:val="0"/>
                <w:numId w:val="6"/>
              </w:numPr>
              <w:pBdr>
                <w:top w:val="nil"/>
                <w:left w:val="nil"/>
                <w:bottom w:val="nil"/>
                <w:right w:val="nil"/>
                <w:between w:val="nil"/>
              </w:pBdr>
            </w:pPr>
            <w:r>
              <w:t xml:space="preserve">Field-validated expertise areas </w:t>
            </w:r>
            <w:r w:rsidR="00460F14">
              <w:t>now include more providers who participated in the optional process</w:t>
            </w:r>
            <w:r>
              <w:t xml:space="preserve"> </w:t>
            </w:r>
          </w:p>
        </w:tc>
      </w:tr>
      <w:tr w:rsidR="007925A3" w14:paraId="67ECA983" w14:textId="77777777" w:rsidTr="00132E83">
        <w:trPr>
          <w:trHeight w:val="440"/>
        </w:trPr>
        <w:tc>
          <w:tcPr>
            <w:tcW w:w="3075" w:type="dxa"/>
            <w:shd w:val="clear" w:color="auto" w:fill="auto"/>
            <w:tcMar>
              <w:top w:w="100" w:type="dxa"/>
              <w:left w:w="100" w:type="dxa"/>
              <w:bottom w:w="100" w:type="dxa"/>
              <w:right w:w="100" w:type="dxa"/>
            </w:tcMar>
            <w:vAlign w:val="center"/>
          </w:tcPr>
          <w:p w14:paraId="67ECA97C" w14:textId="59D4C0A5" w:rsidR="007925A3" w:rsidRDefault="00BF5C06">
            <w:pPr>
              <w:widowControl w:val="0"/>
              <w:pBdr>
                <w:top w:val="nil"/>
                <w:left w:val="nil"/>
                <w:bottom w:val="nil"/>
                <w:right w:val="nil"/>
                <w:between w:val="nil"/>
              </w:pBdr>
              <w:jc w:val="center"/>
              <w:rPr>
                <w:b/>
                <w:color w:val="073763"/>
              </w:rPr>
            </w:pPr>
            <w:r>
              <w:rPr>
                <w:b/>
                <w:color w:val="073763"/>
              </w:rPr>
              <w:t>New</w:t>
            </w:r>
            <w:r w:rsidR="00630DE0">
              <w:rPr>
                <w:b/>
                <w:color w:val="073763"/>
              </w:rPr>
              <w:t xml:space="preserve"> - </w:t>
            </w:r>
          </w:p>
          <w:p w14:paraId="1849D2AC" w14:textId="77777777" w:rsidR="00C73FE5" w:rsidRDefault="00C73FE5">
            <w:pPr>
              <w:widowControl w:val="0"/>
              <w:pBdr>
                <w:top w:val="nil"/>
                <w:left w:val="nil"/>
                <w:bottom w:val="nil"/>
                <w:right w:val="nil"/>
                <w:between w:val="nil"/>
              </w:pBdr>
              <w:jc w:val="center"/>
              <w:rPr>
                <w:b/>
              </w:rPr>
            </w:pPr>
            <w:r>
              <w:rPr>
                <w:b/>
              </w:rPr>
              <w:t xml:space="preserve">Other Services- </w:t>
            </w:r>
          </w:p>
          <w:p w14:paraId="67ECA97E" w14:textId="4C20903A" w:rsidR="007925A3" w:rsidRDefault="00C73FE5">
            <w:pPr>
              <w:widowControl w:val="0"/>
              <w:pBdr>
                <w:top w:val="nil"/>
                <w:left w:val="nil"/>
                <w:bottom w:val="nil"/>
                <w:right w:val="nil"/>
                <w:between w:val="nil"/>
              </w:pBdr>
              <w:jc w:val="center"/>
              <w:rPr>
                <w:b/>
              </w:rPr>
            </w:pPr>
            <w:r>
              <w:rPr>
                <w:b/>
              </w:rPr>
              <w:t>School Transitions</w:t>
            </w:r>
          </w:p>
        </w:tc>
        <w:tc>
          <w:tcPr>
            <w:tcW w:w="7620" w:type="dxa"/>
            <w:shd w:val="clear" w:color="auto" w:fill="auto"/>
            <w:tcMar>
              <w:top w:w="100" w:type="dxa"/>
              <w:left w:w="100" w:type="dxa"/>
              <w:bottom w:w="100" w:type="dxa"/>
              <w:right w:w="100" w:type="dxa"/>
            </w:tcMar>
            <w:vAlign w:val="center"/>
          </w:tcPr>
          <w:p w14:paraId="67ECA980" w14:textId="1A1A3FA4" w:rsidR="007925A3" w:rsidRDefault="008E0BA4">
            <w:pPr>
              <w:widowControl w:val="0"/>
              <w:numPr>
                <w:ilvl w:val="0"/>
                <w:numId w:val="2"/>
              </w:numPr>
              <w:pBdr>
                <w:top w:val="nil"/>
                <w:left w:val="nil"/>
                <w:bottom w:val="nil"/>
                <w:right w:val="nil"/>
                <w:between w:val="nil"/>
              </w:pBdr>
            </w:pPr>
            <w:r>
              <w:t xml:space="preserve">New EASI </w:t>
            </w:r>
            <w:r w:rsidR="00630DE0">
              <w:t>service</w:t>
            </w:r>
            <w:r>
              <w:t xml:space="preserve"> offered to support the transition of students, staff, and families </w:t>
            </w:r>
            <w:r w:rsidR="008A4A64">
              <w:t>in an upcoming school closure or consolidation</w:t>
            </w:r>
          </w:p>
          <w:p w14:paraId="3ABBD667" w14:textId="7054ADB9" w:rsidR="008A4A64" w:rsidRDefault="008A4A64">
            <w:pPr>
              <w:widowControl w:val="0"/>
              <w:numPr>
                <w:ilvl w:val="0"/>
                <w:numId w:val="2"/>
              </w:numPr>
              <w:pBdr>
                <w:top w:val="nil"/>
                <w:left w:val="nil"/>
                <w:bottom w:val="nil"/>
                <w:right w:val="nil"/>
                <w:between w:val="nil"/>
              </w:pBdr>
            </w:pPr>
            <w:r>
              <w:t xml:space="preserve">Funds are provided to support transition activities aligned </w:t>
            </w:r>
            <w:r w:rsidR="00C5760F">
              <w:t xml:space="preserve">a focus core component from </w:t>
            </w:r>
            <w:r>
              <w:t xml:space="preserve">the Family, School, Community Partnership </w:t>
            </w:r>
            <w:r w:rsidR="00C5760F">
              <w:t>Strategy Guide 2.0</w:t>
            </w:r>
          </w:p>
          <w:p w14:paraId="4C1FC8A6" w14:textId="62A813FC" w:rsidR="00C5760F" w:rsidRDefault="00F939B7">
            <w:pPr>
              <w:widowControl w:val="0"/>
              <w:numPr>
                <w:ilvl w:val="0"/>
                <w:numId w:val="2"/>
              </w:numPr>
              <w:pBdr>
                <w:top w:val="nil"/>
                <w:left w:val="nil"/>
                <w:bottom w:val="nil"/>
                <w:right w:val="nil"/>
                <w:between w:val="nil"/>
              </w:pBdr>
            </w:pPr>
            <w:r>
              <w:t>This is a short-term grant support from time of award through 09/30</w:t>
            </w:r>
            <w:r w:rsidR="00630DE0">
              <w:t>/2025</w:t>
            </w:r>
            <w:r>
              <w:t xml:space="preserve"> (less than 1 year)</w:t>
            </w:r>
            <w:r w:rsidR="00D8147F">
              <w:t xml:space="preserve">. </w:t>
            </w:r>
            <w:r w:rsidR="00C5760F">
              <w:t xml:space="preserve">Funds </w:t>
            </w:r>
            <w:r w:rsidR="00A6185D">
              <w:t xml:space="preserve">support </w:t>
            </w:r>
            <w:r w:rsidR="00C15F13">
              <w:t>the end</w:t>
            </w:r>
            <w:r w:rsidR="00A6185D">
              <w:t xml:space="preserve"> of the school year and beginning of the school year </w:t>
            </w:r>
            <w:r>
              <w:t xml:space="preserve">transition support activities. </w:t>
            </w:r>
          </w:p>
          <w:p w14:paraId="67ECA981" w14:textId="527B2196" w:rsidR="007925A3" w:rsidRDefault="00BF5C06">
            <w:pPr>
              <w:widowControl w:val="0"/>
              <w:numPr>
                <w:ilvl w:val="0"/>
                <w:numId w:val="2"/>
              </w:numPr>
              <w:pBdr>
                <w:top w:val="nil"/>
                <w:left w:val="nil"/>
                <w:bottom w:val="nil"/>
                <w:right w:val="nil"/>
                <w:between w:val="nil"/>
              </w:pBdr>
            </w:pPr>
            <w:r>
              <w:t>Funding up to $</w:t>
            </w:r>
            <w:r w:rsidR="008E0BA4">
              <w:t>50,000 per school closure</w:t>
            </w:r>
          </w:p>
          <w:p w14:paraId="67ECA982" w14:textId="0D7C9520" w:rsidR="007925A3" w:rsidRDefault="00BF5C06">
            <w:pPr>
              <w:widowControl w:val="0"/>
              <w:numPr>
                <w:ilvl w:val="0"/>
                <w:numId w:val="2"/>
              </w:numPr>
              <w:pBdr>
                <w:top w:val="nil"/>
                <w:left w:val="nil"/>
                <w:bottom w:val="nil"/>
                <w:right w:val="nil"/>
                <w:between w:val="nil"/>
              </w:pBdr>
            </w:pPr>
            <w:r w:rsidRPr="00DE3412">
              <w:t xml:space="preserve">For more information about this new route, please see the </w:t>
            </w:r>
            <w:hyperlink r:id="rId14" w:history="1">
              <w:r w:rsidR="00A15A87" w:rsidRPr="00DE3412">
                <w:rPr>
                  <w:rStyle w:val="Hyperlink"/>
                  <w:color w:val="1F497D" w:themeColor="text2"/>
                </w:rPr>
                <w:t>Other Services- School Transitions webpage</w:t>
              </w:r>
            </w:hyperlink>
            <w:r w:rsidR="00DE3412">
              <w:t>.</w:t>
            </w:r>
          </w:p>
        </w:tc>
      </w:tr>
    </w:tbl>
    <w:p w14:paraId="67ECA98C" w14:textId="77777777" w:rsidR="007925A3" w:rsidRDefault="007925A3">
      <w:pPr>
        <w:pStyle w:val="Heading2"/>
        <w:spacing w:before="0"/>
        <w:rPr>
          <w:rFonts w:eastAsia="Calibri" w:cs="Calibri"/>
          <w:sz w:val="22"/>
          <w:szCs w:val="22"/>
        </w:rPr>
      </w:pPr>
    </w:p>
    <w:sectPr w:rsidR="007925A3">
      <w:headerReference w:type="default" r:id="rId15"/>
      <w:headerReference w:type="first" r:id="rId16"/>
      <w:pgSz w:w="12240" w:h="15840"/>
      <w:pgMar w:top="576"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3B3D6" w14:textId="77777777" w:rsidR="00EA1FAD" w:rsidRDefault="00EA1FAD">
      <w:r>
        <w:separator/>
      </w:r>
    </w:p>
  </w:endnote>
  <w:endnote w:type="continuationSeparator" w:id="0">
    <w:p w14:paraId="683E278A" w14:textId="77777777" w:rsidR="00EA1FAD" w:rsidRDefault="00EA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4E5C1" w14:textId="77777777" w:rsidR="00EA1FAD" w:rsidRDefault="00EA1FAD">
      <w:r>
        <w:separator/>
      </w:r>
    </w:p>
  </w:footnote>
  <w:footnote w:type="continuationSeparator" w:id="0">
    <w:p w14:paraId="598BAECC" w14:textId="77777777" w:rsidR="00EA1FAD" w:rsidRDefault="00EA1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CA98D" w14:textId="77777777" w:rsidR="007925A3" w:rsidRDefault="00BF5C06">
    <w:pPr>
      <w:pBdr>
        <w:top w:val="nil"/>
        <w:left w:val="nil"/>
        <w:bottom w:val="nil"/>
        <w:right w:val="nil"/>
        <w:between w:val="nil"/>
      </w:pBdr>
      <w:tabs>
        <w:tab w:val="center" w:pos="4680"/>
        <w:tab w:val="right" w:pos="9360"/>
        <w:tab w:val="left" w:pos="2640"/>
      </w:tabs>
      <w:rPr>
        <w:color w:val="000000"/>
      </w:rPr>
    </w:pPr>
    <w:r>
      <w:rPr>
        <w:color w:val="000000"/>
      </w:rPr>
      <w:tab/>
    </w:r>
  </w:p>
  <w:p w14:paraId="67ECA98E" w14:textId="77777777" w:rsidR="007925A3" w:rsidRDefault="00BF5C06">
    <w:pPr>
      <w:pBdr>
        <w:top w:val="nil"/>
        <w:left w:val="nil"/>
        <w:bottom w:val="nil"/>
        <w:right w:val="nil"/>
        <w:between w:val="nil"/>
      </w:pBdr>
      <w:tabs>
        <w:tab w:val="center" w:pos="4680"/>
        <w:tab w:val="right" w:pos="9360"/>
        <w:tab w:val="left" w:pos="2640"/>
      </w:tabs>
      <w:rPr>
        <w:color w:val="000000"/>
      </w:rPr>
    </w:pPr>
    <w:r>
      <w:rPr>
        <w:noProof/>
      </w:rPr>
      <w:drawing>
        <wp:anchor distT="0" distB="0" distL="114300" distR="114300" simplePos="0" relativeHeight="251658240" behindDoc="0" locked="0" layoutInCell="1" hidden="0" allowOverlap="1" wp14:anchorId="67ECA994" wp14:editId="0BFEF700">
          <wp:simplePos x="0" y="0"/>
          <wp:positionH relativeFrom="column">
            <wp:posOffset>5734050</wp:posOffset>
          </wp:positionH>
          <wp:positionV relativeFrom="paragraph">
            <wp:posOffset>95885</wp:posOffset>
          </wp:positionV>
          <wp:extent cx="1101090" cy="469265"/>
          <wp:effectExtent l="0" t="0" r="0" b="0"/>
          <wp:wrapNone/>
          <wp:docPr id="2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101090" cy="469265"/>
                  </a:xfrm>
                  <a:prstGeom prst="rect">
                    <a:avLst/>
                  </a:prstGeom>
                  <a:ln/>
                </pic:spPr>
              </pic:pic>
            </a:graphicData>
          </a:graphic>
        </wp:anchor>
      </w:drawing>
    </w:r>
  </w:p>
  <w:p w14:paraId="67ECA98F" w14:textId="77777777" w:rsidR="007925A3" w:rsidRDefault="007925A3">
    <w:pPr>
      <w:pBdr>
        <w:top w:val="nil"/>
        <w:left w:val="nil"/>
        <w:bottom w:val="nil"/>
        <w:right w:val="nil"/>
        <w:between w:val="nil"/>
      </w:pBdr>
      <w:tabs>
        <w:tab w:val="center" w:pos="4680"/>
        <w:tab w:val="right" w:pos="9360"/>
        <w:tab w:val="left" w:pos="2640"/>
      </w:tabs>
      <w:rPr>
        <w:color w:val="595959"/>
      </w:rPr>
    </w:pPr>
  </w:p>
  <w:p w14:paraId="67ECA990" w14:textId="3C906F94" w:rsidR="007925A3" w:rsidRDefault="00BF5C06">
    <w:pPr>
      <w:pBdr>
        <w:top w:val="nil"/>
        <w:left w:val="nil"/>
        <w:bottom w:val="nil"/>
        <w:right w:val="nil"/>
        <w:between w:val="nil"/>
      </w:pBdr>
      <w:tabs>
        <w:tab w:val="center" w:pos="4680"/>
        <w:tab w:val="right" w:pos="9360"/>
        <w:tab w:val="left" w:pos="2640"/>
      </w:tabs>
      <w:rPr>
        <w:color w:val="595959"/>
      </w:rPr>
    </w:pPr>
    <w:r>
      <w:rPr>
        <w:color w:val="595959"/>
      </w:rPr>
      <w:t>What’s New to EASI 202</w:t>
    </w:r>
    <w:r w:rsidR="00C73FE5">
      <w:rPr>
        <w:color w:val="595959"/>
      </w:rPr>
      <w:t>4</w:t>
    </w:r>
    <w:r>
      <w:rPr>
        <w:color w:val="595959"/>
      </w:rPr>
      <w:t>?</w:t>
    </w:r>
  </w:p>
  <w:p w14:paraId="67ECA991" w14:textId="77777777" w:rsidR="007925A3" w:rsidRDefault="00000000">
    <w:pPr>
      <w:pBdr>
        <w:top w:val="nil"/>
        <w:left w:val="nil"/>
        <w:bottom w:val="nil"/>
        <w:right w:val="nil"/>
        <w:between w:val="nil"/>
      </w:pBdr>
      <w:tabs>
        <w:tab w:val="center" w:pos="4680"/>
        <w:tab w:val="right" w:pos="9360"/>
        <w:tab w:val="left" w:pos="2640"/>
      </w:tabs>
      <w:rPr>
        <w:color w:val="000000"/>
      </w:rPr>
    </w:pPr>
    <w:r>
      <w:pict w14:anchorId="67ECA996">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CA992" w14:textId="77777777" w:rsidR="007925A3" w:rsidRDefault="00BF5C06">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7ECA997" wp14:editId="41347412">
          <wp:simplePos x="0" y="0"/>
          <wp:positionH relativeFrom="column">
            <wp:posOffset>-447671</wp:posOffset>
          </wp:positionH>
          <wp:positionV relativeFrom="paragraph">
            <wp:posOffset>0</wp:posOffset>
          </wp:positionV>
          <wp:extent cx="7781567" cy="1604588"/>
          <wp:effectExtent l="0" t="0" r="0" b="0"/>
          <wp:wrapNone/>
          <wp:docPr id="1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781567" cy="16045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076FA"/>
    <w:multiLevelType w:val="multilevel"/>
    <w:tmpl w:val="2EF6F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654098"/>
    <w:multiLevelType w:val="multilevel"/>
    <w:tmpl w:val="80AA9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BD4B72"/>
    <w:multiLevelType w:val="multilevel"/>
    <w:tmpl w:val="30269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2826A5"/>
    <w:multiLevelType w:val="multilevel"/>
    <w:tmpl w:val="7B7CA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4F1321"/>
    <w:multiLevelType w:val="multilevel"/>
    <w:tmpl w:val="FE5CD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240F1F"/>
    <w:multiLevelType w:val="multilevel"/>
    <w:tmpl w:val="9DB24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1392454">
    <w:abstractNumId w:val="5"/>
  </w:num>
  <w:num w:numId="2" w16cid:durableId="986478082">
    <w:abstractNumId w:val="3"/>
  </w:num>
  <w:num w:numId="3" w16cid:durableId="728382036">
    <w:abstractNumId w:val="0"/>
  </w:num>
  <w:num w:numId="4" w16cid:durableId="205630">
    <w:abstractNumId w:val="4"/>
  </w:num>
  <w:num w:numId="5" w16cid:durableId="1630162975">
    <w:abstractNumId w:val="2"/>
  </w:num>
  <w:num w:numId="6" w16cid:durableId="209593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A3"/>
    <w:rsid w:val="000763EC"/>
    <w:rsid w:val="000E29B4"/>
    <w:rsid w:val="00132E83"/>
    <w:rsid w:val="001A313E"/>
    <w:rsid w:val="001F3A55"/>
    <w:rsid w:val="00263545"/>
    <w:rsid w:val="00267E53"/>
    <w:rsid w:val="00283FF0"/>
    <w:rsid w:val="002F0A31"/>
    <w:rsid w:val="00324E8B"/>
    <w:rsid w:val="003334DD"/>
    <w:rsid w:val="003615EB"/>
    <w:rsid w:val="003A5F88"/>
    <w:rsid w:val="003D1B50"/>
    <w:rsid w:val="003F24C5"/>
    <w:rsid w:val="00457314"/>
    <w:rsid w:val="00460F14"/>
    <w:rsid w:val="00463357"/>
    <w:rsid w:val="004855E6"/>
    <w:rsid w:val="004D1E5D"/>
    <w:rsid w:val="00602EDD"/>
    <w:rsid w:val="00630DE0"/>
    <w:rsid w:val="00636B30"/>
    <w:rsid w:val="00640436"/>
    <w:rsid w:val="00663899"/>
    <w:rsid w:val="00686B28"/>
    <w:rsid w:val="006A3560"/>
    <w:rsid w:val="006D5BEB"/>
    <w:rsid w:val="00742B68"/>
    <w:rsid w:val="00762111"/>
    <w:rsid w:val="007925A3"/>
    <w:rsid w:val="007C793E"/>
    <w:rsid w:val="007F4738"/>
    <w:rsid w:val="00846977"/>
    <w:rsid w:val="008A4A64"/>
    <w:rsid w:val="008B0583"/>
    <w:rsid w:val="008E0BA4"/>
    <w:rsid w:val="008E2167"/>
    <w:rsid w:val="00920151"/>
    <w:rsid w:val="00944F8A"/>
    <w:rsid w:val="009455F5"/>
    <w:rsid w:val="009A76E0"/>
    <w:rsid w:val="00A15A87"/>
    <w:rsid w:val="00A2003A"/>
    <w:rsid w:val="00A36D06"/>
    <w:rsid w:val="00A6185D"/>
    <w:rsid w:val="00A95EF7"/>
    <w:rsid w:val="00AB71E4"/>
    <w:rsid w:val="00B0003F"/>
    <w:rsid w:val="00BF5C06"/>
    <w:rsid w:val="00C15F13"/>
    <w:rsid w:val="00C5760F"/>
    <w:rsid w:val="00C65408"/>
    <w:rsid w:val="00C73FE5"/>
    <w:rsid w:val="00CC346F"/>
    <w:rsid w:val="00CF1F80"/>
    <w:rsid w:val="00D062D9"/>
    <w:rsid w:val="00D1645F"/>
    <w:rsid w:val="00D73E60"/>
    <w:rsid w:val="00D8147F"/>
    <w:rsid w:val="00D839AF"/>
    <w:rsid w:val="00DE3412"/>
    <w:rsid w:val="00E0147A"/>
    <w:rsid w:val="00E2683A"/>
    <w:rsid w:val="00E512CC"/>
    <w:rsid w:val="00E85C32"/>
    <w:rsid w:val="00EA1FAD"/>
    <w:rsid w:val="00EB1DE2"/>
    <w:rsid w:val="00EC12C3"/>
    <w:rsid w:val="00EC4B3A"/>
    <w:rsid w:val="00F50B7B"/>
    <w:rsid w:val="00F87DA4"/>
    <w:rsid w:val="00F939B7"/>
    <w:rsid w:val="00FE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CA93A"/>
  <w15:docId w15:val="{618719C4-AE8A-4557-94B6-ED65C717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F3"/>
  </w:style>
  <w:style w:type="paragraph" w:styleId="Heading1">
    <w:name w:val="heading 1"/>
    <w:basedOn w:val="Normal"/>
    <w:next w:val="Normal"/>
    <w:link w:val="Heading1Char"/>
    <w:uiPriority w:val="9"/>
    <w:qFormat/>
    <w:rsid w:val="00F920D5"/>
    <w:pPr>
      <w:keepNext/>
      <w:keepLines/>
      <w:spacing w:before="240"/>
      <w:outlineLvl w:val="0"/>
    </w:pPr>
    <w:rPr>
      <w:rFonts w:ascii="Museo Slab 500" w:eastAsiaTheme="majorEastAsia" w:hAnsi="Museo Slab 500" w:cstheme="majorBidi"/>
      <w:color w:val="FFFFFF" w:themeColor="background1"/>
      <w:sz w:val="24"/>
      <w:szCs w:val="32"/>
    </w:rPr>
  </w:style>
  <w:style w:type="paragraph" w:styleId="Heading2">
    <w:name w:val="heading 2"/>
    <w:basedOn w:val="Normal"/>
    <w:next w:val="Normal"/>
    <w:link w:val="Heading2Char"/>
    <w:uiPriority w:val="9"/>
    <w:unhideWhenUsed/>
    <w:qFormat/>
    <w:rsid w:val="002F6061"/>
    <w:pPr>
      <w:keepNext/>
      <w:keepLines/>
      <w:spacing w:before="40"/>
      <w:outlineLvl w:val="1"/>
    </w:pPr>
    <w:rPr>
      <w:rFonts w:eastAsiaTheme="majorEastAsia" w:cstheme="majorBidi"/>
      <w:b/>
      <w:color w:val="00CC00" w:themeColor="accent3"/>
      <w:sz w:val="28"/>
      <w:szCs w:val="26"/>
    </w:rPr>
  </w:style>
  <w:style w:type="paragraph" w:styleId="Heading3">
    <w:name w:val="heading 3"/>
    <w:basedOn w:val="Normal"/>
    <w:next w:val="Normal"/>
    <w:link w:val="Heading3Char"/>
    <w:uiPriority w:val="9"/>
    <w:unhideWhenUsed/>
    <w:qFormat/>
    <w:rsid w:val="00CA506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20D5"/>
    <w:pPr>
      <w:contextualSpacing/>
    </w:pPr>
    <w:rPr>
      <w:rFonts w:ascii="Museo Slab 500" w:eastAsiaTheme="majorEastAsia" w:hAnsi="Museo Slab 500" w:cstheme="majorBidi"/>
      <w:color w:val="FFFFFF" w:themeColor="background1"/>
      <w:spacing w:val="-10"/>
      <w:kern w:val="28"/>
      <w:sz w:val="60"/>
      <w:szCs w:val="56"/>
    </w:rPr>
  </w:style>
  <w:style w:type="paragraph" w:styleId="Header">
    <w:name w:val="header"/>
    <w:basedOn w:val="Normal"/>
    <w:link w:val="HeaderChar"/>
    <w:uiPriority w:val="99"/>
    <w:unhideWhenUsed/>
    <w:rsid w:val="00AB7D00"/>
    <w:pPr>
      <w:tabs>
        <w:tab w:val="center" w:pos="4680"/>
        <w:tab w:val="right" w:pos="9360"/>
      </w:tabs>
    </w:pPr>
  </w:style>
  <w:style w:type="character" w:customStyle="1" w:styleId="HeaderChar">
    <w:name w:val="Header Char"/>
    <w:basedOn w:val="DefaultParagraphFont"/>
    <w:link w:val="Header"/>
    <w:uiPriority w:val="99"/>
    <w:rsid w:val="00AB7D00"/>
  </w:style>
  <w:style w:type="paragraph" w:styleId="Footer">
    <w:name w:val="footer"/>
    <w:basedOn w:val="Normal"/>
    <w:link w:val="FooterChar"/>
    <w:uiPriority w:val="99"/>
    <w:unhideWhenUsed/>
    <w:rsid w:val="00AB7D00"/>
    <w:pPr>
      <w:tabs>
        <w:tab w:val="center" w:pos="4680"/>
        <w:tab w:val="right" w:pos="9360"/>
      </w:tabs>
    </w:pPr>
  </w:style>
  <w:style w:type="character" w:customStyle="1" w:styleId="FooterChar">
    <w:name w:val="Footer Char"/>
    <w:basedOn w:val="DefaultParagraphFont"/>
    <w:link w:val="Footer"/>
    <w:uiPriority w:val="99"/>
    <w:rsid w:val="00AB7D00"/>
  </w:style>
  <w:style w:type="character" w:customStyle="1" w:styleId="TitleChar">
    <w:name w:val="Title Char"/>
    <w:basedOn w:val="DefaultParagraphFont"/>
    <w:link w:val="Title"/>
    <w:uiPriority w:val="10"/>
    <w:rsid w:val="00F920D5"/>
    <w:rPr>
      <w:rFonts w:ascii="Museo Slab 500" w:eastAsiaTheme="majorEastAsia" w:hAnsi="Museo Slab 500" w:cstheme="majorBidi"/>
      <w:color w:val="FFFFFF" w:themeColor="background1"/>
      <w:spacing w:val="-10"/>
      <w:kern w:val="28"/>
      <w:sz w:val="60"/>
      <w:szCs w:val="56"/>
    </w:rPr>
  </w:style>
  <w:style w:type="character" w:customStyle="1" w:styleId="Heading1Char">
    <w:name w:val="Heading 1 Char"/>
    <w:basedOn w:val="DefaultParagraphFont"/>
    <w:link w:val="Heading1"/>
    <w:uiPriority w:val="9"/>
    <w:rsid w:val="00F920D5"/>
    <w:rPr>
      <w:rFonts w:ascii="Museo Slab 500" w:eastAsiaTheme="majorEastAsia" w:hAnsi="Museo Slab 500" w:cstheme="majorBidi"/>
      <w:color w:val="FFFFFF" w:themeColor="background1"/>
      <w:sz w:val="24"/>
      <w:szCs w:val="32"/>
    </w:rPr>
  </w:style>
  <w:style w:type="character" w:customStyle="1" w:styleId="Heading2Char">
    <w:name w:val="Heading 2 Char"/>
    <w:basedOn w:val="DefaultParagraphFont"/>
    <w:link w:val="Heading2"/>
    <w:uiPriority w:val="9"/>
    <w:rsid w:val="002F6061"/>
    <w:rPr>
      <w:rFonts w:eastAsiaTheme="majorEastAsia" w:cstheme="majorBidi"/>
      <w:b/>
      <w:color w:val="00CC00" w:themeColor="accent3"/>
      <w:sz w:val="28"/>
      <w:szCs w:val="26"/>
    </w:rPr>
  </w:style>
  <w:style w:type="character" w:styleId="Hyperlink">
    <w:name w:val="Hyperlink"/>
    <w:basedOn w:val="DefaultParagraphFont"/>
    <w:uiPriority w:val="99"/>
    <w:unhideWhenUsed/>
    <w:rsid w:val="00A758EE"/>
    <w:rPr>
      <w:color w:val="4F81BD" w:themeColor="accent1"/>
      <w:u w:val="single"/>
    </w:rPr>
  </w:style>
  <w:style w:type="paragraph" w:styleId="BalloonText">
    <w:name w:val="Balloon Text"/>
    <w:basedOn w:val="Normal"/>
    <w:link w:val="BalloonTextChar"/>
    <w:uiPriority w:val="99"/>
    <w:semiHidden/>
    <w:unhideWhenUsed/>
    <w:rsid w:val="006B2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4F8"/>
    <w:rPr>
      <w:rFonts w:ascii="Segoe UI" w:hAnsi="Segoe UI" w:cs="Segoe UI"/>
      <w:sz w:val="18"/>
      <w:szCs w:val="18"/>
    </w:rPr>
  </w:style>
  <w:style w:type="character" w:styleId="UnresolvedMention">
    <w:name w:val="Unresolved Mention"/>
    <w:basedOn w:val="DefaultParagraphFont"/>
    <w:uiPriority w:val="99"/>
    <w:semiHidden/>
    <w:unhideWhenUsed/>
    <w:rsid w:val="00CA5060"/>
    <w:rPr>
      <w:color w:val="605E5C"/>
      <w:shd w:val="clear" w:color="auto" w:fill="E1DFDD"/>
    </w:rPr>
  </w:style>
  <w:style w:type="paragraph" w:styleId="ListParagraph">
    <w:name w:val="List Paragraph"/>
    <w:basedOn w:val="Normal"/>
    <w:uiPriority w:val="34"/>
    <w:qFormat/>
    <w:rsid w:val="00CA5060"/>
    <w:pPr>
      <w:ind w:left="720"/>
      <w:contextualSpacing/>
    </w:pPr>
  </w:style>
  <w:style w:type="character" w:customStyle="1" w:styleId="Heading3Char">
    <w:name w:val="Heading 3 Char"/>
    <w:basedOn w:val="DefaultParagraphFont"/>
    <w:link w:val="Heading3"/>
    <w:uiPriority w:val="9"/>
    <w:rsid w:val="00CA5060"/>
    <w:rPr>
      <w:rFonts w:asciiTheme="majorHAnsi" w:eastAsiaTheme="majorEastAsia" w:hAnsiTheme="majorHAnsi" w:cstheme="majorBidi"/>
      <w:color w:val="243F60" w:themeColor="accent1" w:themeShade="7F"/>
      <w:sz w:val="24"/>
      <w:szCs w:val="24"/>
    </w:rPr>
  </w:style>
  <w:style w:type="paragraph" w:customStyle="1" w:styleId="Page01-Side-bar-navy">
    <w:name w:val="Page 01-Side-bar-navy"/>
    <w:basedOn w:val="Normal"/>
    <w:link w:val="Page01-Side-bar-navyChar"/>
    <w:qFormat/>
    <w:rsid w:val="00CA5060"/>
    <w:pPr>
      <w:spacing w:after="160" w:line="259" w:lineRule="auto"/>
    </w:pPr>
    <w:rPr>
      <w:rFonts w:cs="Times New Roman"/>
      <w:color w:val="232C67"/>
      <w:sz w:val="20"/>
    </w:rPr>
  </w:style>
  <w:style w:type="character" w:customStyle="1" w:styleId="Page01-Side-bar-navyChar">
    <w:name w:val="Page 01-Side-bar-navy Char"/>
    <w:link w:val="Page01-Side-bar-navy"/>
    <w:rsid w:val="00CA5060"/>
    <w:rPr>
      <w:rFonts w:ascii="Calibri" w:eastAsia="Calibri" w:hAnsi="Calibri" w:cs="Times New Roman"/>
      <w:color w:val="232C67"/>
      <w:sz w:val="20"/>
    </w:rPr>
  </w:style>
  <w:style w:type="paragraph" w:customStyle="1" w:styleId="Text">
    <w:name w:val="Text"/>
    <w:basedOn w:val="Normal"/>
    <w:link w:val="TextChar"/>
    <w:qFormat/>
    <w:rsid w:val="00CA5060"/>
    <w:pPr>
      <w:spacing w:after="160" w:line="259" w:lineRule="auto"/>
    </w:pPr>
    <w:rPr>
      <w:rFonts w:cs="Times New Roman"/>
    </w:rPr>
  </w:style>
  <w:style w:type="character" w:customStyle="1" w:styleId="TextChar">
    <w:name w:val="Text Char"/>
    <w:basedOn w:val="DefaultParagraphFont"/>
    <w:link w:val="Text"/>
    <w:rsid w:val="00CA5060"/>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C2530C"/>
  </w:style>
  <w:style w:type="character" w:customStyle="1" w:styleId="eop">
    <w:name w:val="eop"/>
    <w:basedOn w:val="DefaultParagraphFont"/>
    <w:rsid w:val="00C2530C"/>
  </w:style>
  <w:style w:type="character" w:styleId="CommentReference">
    <w:name w:val="annotation reference"/>
    <w:basedOn w:val="DefaultParagraphFont"/>
    <w:uiPriority w:val="99"/>
    <w:semiHidden/>
    <w:unhideWhenUsed/>
    <w:rsid w:val="004F47CA"/>
    <w:rPr>
      <w:sz w:val="16"/>
      <w:szCs w:val="16"/>
    </w:rPr>
  </w:style>
  <w:style w:type="paragraph" w:styleId="CommentText">
    <w:name w:val="annotation text"/>
    <w:basedOn w:val="Normal"/>
    <w:link w:val="CommentTextChar"/>
    <w:uiPriority w:val="99"/>
    <w:unhideWhenUsed/>
    <w:rsid w:val="004F47CA"/>
    <w:rPr>
      <w:sz w:val="20"/>
      <w:szCs w:val="20"/>
    </w:rPr>
  </w:style>
  <w:style w:type="character" w:customStyle="1" w:styleId="CommentTextChar">
    <w:name w:val="Comment Text Char"/>
    <w:basedOn w:val="DefaultParagraphFont"/>
    <w:link w:val="CommentText"/>
    <w:uiPriority w:val="99"/>
    <w:rsid w:val="004F47CA"/>
    <w:rPr>
      <w:sz w:val="20"/>
      <w:szCs w:val="20"/>
    </w:rPr>
  </w:style>
  <w:style w:type="paragraph" w:styleId="CommentSubject">
    <w:name w:val="annotation subject"/>
    <w:basedOn w:val="CommentText"/>
    <w:next w:val="CommentText"/>
    <w:link w:val="CommentSubjectChar"/>
    <w:uiPriority w:val="99"/>
    <w:semiHidden/>
    <w:unhideWhenUsed/>
    <w:rsid w:val="004F47CA"/>
    <w:rPr>
      <w:b/>
      <w:bCs/>
    </w:rPr>
  </w:style>
  <w:style w:type="character" w:customStyle="1" w:styleId="CommentSubjectChar">
    <w:name w:val="Comment Subject Char"/>
    <w:basedOn w:val="CommentTextChar"/>
    <w:link w:val="CommentSubject"/>
    <w:uiPriority w:val="99"/>
    <w:semiHidden/>
    <w:rsid w:val="004F47CA"/>
    <w:rPr>
      <w:b/>
      <w:bCs/>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C15F13"/>
    <w:rPr>
      <w:color w:val="8064A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pp.smartsheet.com/b/form/6cb9159d35894e76b6875bebc7232d56" TargetMode="External"/><Relationship Id="rId13" Type="http://schemas.openxmlformats.org/officeDocument/2006/relationships/hyperlink" Target="https://www.cde.state.co.us/accountability/cde-advisory-list-of-provid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fedprograms/districtdesignedstrateg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uip/strategyguid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de.state.co.us/fedprograms/easiappresourcesandtechnicalassistance" TargetMode="External"/><Relationship Id="rId4" Type="http://schemas.openxmlformats.org/officeDocument/2006/relationships/settings" Target="settings.xml"/><Relationship Id="rId9" Type="http://schemas.openxmlformats.org/officeDocument/2006/relationships/hyperlink" Target="https://www.cde.state.co.us/gains/gainstrainings" TargetMode="External"/><Relationship Id="rId14" Type="http://schemas.openxmlformats.org/officeDocument/2006/relationships/hyperlink" Target="https://www.cde.state.co.us/fedprograms/easischooltrans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ASI Application">
      <a:dk1>
        <a:sysClr val="windowText" lastClr="000000"/>
      </a:dk1>
      <a:lt1>
        <a:sysClr val="window" lastClr="FFFFFF"/>
      </a:lt1>
      <a:dk2>
        <a:srgbClr val="1F497D"/>
      </a:dk2>
      <a:lt2>
        <a:srgbClr val="EEECE1"/>
      </a:lt2>
      <a:accent1>
        <a:srgbClr val="4F81BD"/>
      </a:accent1>
      <a:accent2>
        <a:srgbClr val="C0504D"/>
      </a:accent2>
      <a:accent3>
        <a:srgbClr val="00CC00"/>
      </a:accent3>
      <a:accent4>
        <a:srgbClr val="800080"/>
      </a:accent4>
      <a:accent5>
        <a:srgbClr val="31849B"/>
      </a:accent5>
      <a:accent6>
        <a:srgbClr val="F79646"/>
      </a:accent6>
      <a:hlink>
        <a:srgbClr val="4F81BD"/>
      </a:hlink>
      <a:folHlink>
        <a:srgbClr val="8064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QNBadVwj7O88Zxf/9DqjkzsrnQ==">CgMxLjAyDmguYW1sODd4a3VmeWJqOAByITFkYjlWRGdsLUUwdU1DcDd2VjY3RHZEajVRamJWTDd4WA==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51</cp:revision>
  <dcterms:created xsi:type="dcterms:W3CDTF">2023-10-05T14:37:00Z</dcterms:created>
  <dcterms:modified xsi:type="dcterms:W3CDTF">2024-09-26T17:49:00Z</dcterms:modified>
</cp:coreProperties>
</file>