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814" w:rsidRDefault="00401814" w:rsidP="00401814">
      <w:pPr>
        <w:jc w:val="both"/>
        <w:rPr>
          <w:rFonts w:ascii="Museo Slab 500" w:hAnsi="Museo Slab 500"/>
          <w:sz w:val="28"/>
          <w:szCs w:val="28"/>
          <w:u w:val="single"/>
        </w:rPr>
      </w:pPr>
      <w:r w:rsidRPr="00401814">
        <w:rPr>
          <w:rFonts w:ascii="Museo Slab 500" w:hAnsi="Museo Slab 500"/>
          <w:sz w:val="28"/>
          <w:szCs w:val="28"/>
          <w:u w:val="single"/>
        </w:rPr>
        <w:t>Meeting Logistics &amp; Desired Outcomes</w:t>
      </w:r>
    </w:p>
    <w:p w:rsidR="00401814" w:rsidRPr="00FF4AB6" w:rsidRDefault="00401814" w:rsidP="00401814">
      <w:pPr>
        <w:contextualSpacing/>
      </w:pPr>
      <w:r w:rsidRPr="00FF4AB6">
        <w:t xml:space="preserve">Meeting:  </w:t>
      </w:r>
      <w:r w:rsidRPr="00FF4AB6">
        <w:tab/>
        <w:t xml:space="preserve">ESSA Committee of Practitioners </w:t>
      </w:r>
    </w:p>
    <w:p w:rsidR="00401814" w:rsidRPr="00FF4AB6" w:rsidRDefault="00401814" w:rsidP="00401814">
      <w:pPr>
        <w:contextualSpacing/>
      </w:pPr>
      <w:r w:rsidRPr="00FF4AB6">
        <w:t>Date &amp; Time:</w:t>
      </w:r>
      <w:r w:rsidRPr="00FF4AB6">
        <w:tab/>
      </w:r>
      <w:r w:rsidR="00C16868">
        <w:t>April 25</w:t>
      </w:r>
      <w:r>
        <w:t>, 201</w:t>
      </w:r>
      <w:r w:rsidR="00133514">
        <w:t>9</w:t>
      </w:r>
      <w:r w:rsidR="00AF1780">
        <w:t xml:space="preserve">; </w:t>
      </w:r>
      <w:r>
        <w:t xml:space="preserve">10:00 </w:t>
      </w:r>
      <w:r w:rsidR="00C67420">
        <w:t>am</w:t>
      </w:r>
      <w:r>
        <w:t>– 3:00</w:t>
      </w:r>
      <w:r w:rsidR="00C67420">
        <w:t xml:space="preserve"> pm</w:t>
      </w:r>
      <w:r w:rsidR="00427EEE">
        <w:t>.</w:t>
      </w:r>
    </w:p>
    <w:p w:rsidR="00401814" w:rsidRDefault="00401814" w:rsidP="00401814">
      <w:pPr>
        <w:contextualSpacing/>
      </w:pPr>
      <w:r w:rsidRPr="00FF4AB6">
        <w:t>Location:</w:t>
      </w:r>
      <w:r w:rsidRPr="00FF4AB6">
        <w:tab/>
      </w:r>
      <w:r>
        <w:t>Colorado Children’s Campaign</w:t>
      </w:r>
      <w:r w:rsidR="005D1A27">
        <w:t xml:space="preserve"> </w:t>
      </w:r>
      <w:hyperlink r:id="rId7" w:history="1">
        <w:r w:rsidR="00B5147C" w:rsidRPr="00B5147C">
          <w:rPr>
            <w:rStyle w:val="Hyperlink"/>
          </w:rPr>
          <w:t>April 25, 2019</w:t>
        </w:r>
        <w:r w:rsidR="005D1A27" w:rsidRPr="00B5147C">
          <w:rPr>
            <w:rStyle w:val="Hyperlink"/>
          </w:rPr>
          <w:t xml:space="preserve"> Webinar Link</w:t>
        </w:r>
      </w:hyperlink>
    </w:p>
    <w:p w:rsidR="00401814" w:rsidRPr="00FF4AB6" w:rsidRDefault="00401814" w:rsidP="00401814">
      <w:pPr>
        <w:contextualSpacing/>
      </w:pPr>
      <w:r w:rsidRPr="00FF4AB6">
        <w:t>Meeting Lead</w:t>
      </w:r>
      <w:r>
        <w:t xml:space="preserve">s: Clint Allison, </w:t>
      </w:r>
      <w:r w:rsidR="00B32330">
        <w:t xml:space="preserve">Laura Gorman, </w:t>
      </w:r>
      <w:r>
        <w:t>Brad Bylsma</w:t>
      </w:r>
    </w:p>
    <w:p w:rsidR="00B130FF" w:rsidRDefault="00401814" w:rsidP="00401814">
      <w:pPr>
        <w:ind w:left="1440" w:hanging="1440"/>
        <w:contextualSpacing/>
      </w:pPr>
      <w:r>
        <w:t>Objectives:</w:t>
      </w:r>
      <w:r>
        <w:tab/>
        <w:t>To allow the Colorado Department of Education the opportunity to provide updates to and elicit recommendations from the Colorado Committee of Practitioners regarding relevant and timely issues related to CDE’s responsibilities under the Elementary and Secondary Education Act</w:t>
      </w:r>
      <w:r w:rsidR="00B130FF">
        <w:t xml:space="preserve">. </w:t>
      </w:r>
    </w:p>
    <w:p w:rsidR="00C66D6C" w:rsidRPr="00C66D6C" w:rsidRDefault="00401814" w:rsidP="00401814">
      <w:pPr>
        <w:ind w:left="1440" w:hanging="1440"/>
        <w:contextualSpacing/>
      </w:pPr>
      <w:r>
        <w:rPr>
          <w:b/>
          <w:u w:val="single"/>
        </w:rPr>
        <w:t>Attendees:</w:t>
      </w:r>
      <w:r w:rsidRPr="00CE6D39">
        <w:rPr>
          <w:b/>
        </w:rPr>
        <w:t xml:space="preserve"> </w:t>
      </w:r>
      <w:r w:rsidR="00CE6D39" w:rsidRPr="00CE6D39">
        <w:rPr>
          <w:b/>
        </w:rPr>
        <w:t xml:space="preserve"> </w:t>
      </w:r>
      <w:r w:rsidR="00C66D6C">
        <w:t>Lori</w:t>
      </w:r>
      <w:r w:rsidR="00CE6D39">
        <w:t xml:space="preserve"> Cooper</w:t>
      </w:r>
      <w:r w:rsidR="00C66D6C">
        <w:t>, Amy</w:t>
      </w:r>
      <w:r w:rsidR="00CE6D39">
        <w:t xml:space="preserve"> </w:t>
      </w:r>
      <w:proofErr w:type="spellStart"/>
      <w:r w:rsidR="00CE6D39">
        <w:t>Beruan</w:t>
      </w:r>
      <w:proofErr w:type="spellEnd"/>
      <w:r w:rsidR="00C66D6C">
        <w:t>, Joshua</w:t>
      </w:r>
      <w:r w:rsidR="00CE6D39">
        <w:t xml:space="preserve"> Shoemaker</w:t>
      </w:r>
      <w:r w:rsidR="00C66D6C">
        <w:t>, Holly</w:t>
      </w:r>
      <w:r w:rsidR="00CE6D39">
        <w:t xml:space="preserve"> Goodwin</w:t>
      </w:r>
      <w:r w:rsidR="00C66D6C">
        <w:t xml:space="preserve">, Michelle </w:t>
      </w:r>
      <w:proofErr w:type="spellStart"/>
      <w:r w:rsidR="00C66D6C">
        <w:t>B</w:t>
      </w:r>
      <w:r w:rsidR="00CE6D39">
        <w:t>arkemeyer</w:t>
      </w:r>
      <w:proofErr w:type="spellEnd"/>
      <w:r w:rsidR="00C66D6C">
        <w:t xml:space="preserve">, </w:t>
      </w:r>
      <w:proofErr w:type="spellStart"/>
      <w:r w:rsidR="00C66D6C">
        <w:t>Heathre</w:t>
      </w:r>
      <w:proofErr w:type="spellEnd"/>
      <w:r w:rsidR="00CE6D39">
        <w:t xml:space="preserve"> </w:t>
      </w:r>
      <w:proofErr w:type="spellStart"/>
      <w:r w:rsidR="00CE6D39">
        <w:t>Palige</w:t>
      </w:r>
      <w:proofErr w:type="spellEnd"/>
      <w:r w:rsidR="00C66D6C">
        <w:t>, Jesus</w:t>
      </w:r>
      <w:r w:rsidR="00CE6D39">
        <w:t xml:space="preserve"> Escarcega</w:t>
      </w:r>
      <w:r w:rsidR="00C66D6C">
        <w:t>, Mary Ellen</w:t>
      </w:r>
      <w:r w:rsidR="00CE6D39">
        <w:t xml:space="preserve"> Good</w:t>
      </w:r>
      <w:r w:rsidR="00C66D6C">
        <w:t>, Laura</w:t>
      </w:r>
      <w:r w:rsidR="00CE6D39">
        <w:t xml:space="preserve"> Gorman</w:t>
      </w:r>
      <w:r w:rsidR="00C66D6C">
        <w:t>, Clint</w:t>
      </w:r>
      <w:r w:rsidR="00CE6D39">
        <w:t xml:space="preserve"> Allison</w:t>
      </w:r>
      <w:r w:rsidR="00AB696F">
        <w:t>, Paul</w:t>
      </w:r>
      <w:r w:rsidR="00CE6D39">
        <w:t xml:space="preserve"> Freeman</w:t>
      </w:r>
      <w:r w:rsidR="00AB696F">
        <w:t>, Arlene</w:t>
      </w:r>
      <w:r w:rsidR="00CE6D39">
        <w:t xml:space="preserve"> Salyards</w:t>
      </w:r>
      <w:r w:rsidR="00AB696F">
        <w:t>, and Clare</w:t>
      </w:r>
      <w:r w:rsidR="00CE6D39">
        <w:t xml:space="preserve"> </w:t>
      </w:r>
      <w:proofErr w:type="spellStart"/>
      <w:r w:rsidR="00CE6D39">
        <w:t>Vickland</w:t>
      </w:r>
      <w:proofErr w:type="spellEnd"/>
      <w:r w:rsidR="00AB696F">
        <w:t xml:space="preserve">. </w:t>
      </w:r>
    </w:p>
    <w:p w:rsidR="00C66D6C" w:rsidRPr="00C66D6C" w:rsidRDefault="00C66D6C" w:rsidP="00401814">
      <w:pPr>
        <w:ind w:left="1440" w:hanging="1440"/>
        <w:contextualSpacing/>
      </w:pPr>
      <w:r>
        <w:rPr>
          <w:b/>
          <w:u w:val="single"/>
        </w:rPr>
        <w:t>Virtual:</w:t>
      </w:r>
      <w:r w:rsidRPr="00CE6D39">
        <w:rPr>
          <w:b/>
        </w:rPr>
        <w:t xml:space="preserve"> </w:t>
      </w:r>
      <w:r w:rsidR="00CE6D39" w:rsidRPr="00CE6D39">
        <w:rPr>
          <w:b/>
        </w:rPr>
        <w:t xml:space="preserve"> </w:t>
      </w:r>
      <w:r w:rsidR="00A61E9E">
        <w:t>Mitzi</w:t>
      </w:r>
      <w:r w:rsidR="00CE6D39">
        <w:t xml:space="preserve"> </w:t>
      </w:r>
      <w:proofErr w:type="spellStart"/>
      <w:r w:rsidR="00CE6D39">
        <w:t>Swiatkowski</w:t>
      </w:r>
      <w:proofErr w:type="spellEnd"/>
      <w:r w:rsidR="00A61E9E">
        <w:t xml:space="preserve">, </w:t>
      </w:r>
      <w:proofErr w:type="spellStart"/>
      <w:r>
        <w:t>Chaille</w:t>
      </w:r>
      <w:proofErr w:type="spellEnd"/>
      <w:r>
        <w:t xml:space="preserve"> </w:t>
      </w:r>
      <w:proofErr w:type="spellStart"/>
      <w:r>
        <w:t>Hymes</w:t>
      </w:r>
      <w:proofErr w:type="spellEnd"/>
      <w:r w:rsidR="00A61E9E">
        <w:t>, and John McKay</w:t>
      </w:r>
    </w:p>
    <w:p w:rsidR="00401814" w:rsidRDefault="00401814" w:rsidP="00401814">
      <w:pPr>
        <w:ind w:left="1440" w:hanging="1440"/>
        <w:contextualSpacing/>
        <w:rPr>
          <w:b/>
          <w:u w:val="single"/>
        </w:rPr>
      </w:pPr>
    </w:p>
    <w:p w:rsidR="00401814" w:rsidRPr="00401814" w:rsidRDefault="00401814" w:rsidP="00401814">
      <w:pPr>
        <w:ind w:left="1440" w:hanging="1440"/>
        <w:contextualSpacing/>
        <w:rPr>
          <w:rFonts w:ascii="Museo Slab 500" w:hAnsi="Museo Slab 500"/>
          <w:sz w:val="28"/>
          <w:szCs w:val="28"/>
          <w:u w:val="single"/>
        </w:rPr>
      </w:pPr>
      <w:r w:rsidRPr="00401814">
        <w:rPr>
          <w:rFonts w:ascii="Museo Slab 500" w:hAnsi="Museo Slab 500"/>
          <w:sz w:val="28"/>
          <w:szCs w:val="28"/>
          <w:u w:val="single"/>
        </w:rPr>
        <w:t>Agenda Items and Next Steps</w:t>
      </w:r>
    </w:p>
    <w:tbl>
      <w:tblPr>
        <w:tblStyle w:val="TableGrid"/>
        <w:tblW w:w="10975" w:type="dxa"/>
        <w:tblLook w:val="04A0" w:firstRow="1" w:lastRow="0" w:firstColumn="1" w:lastColumn="0" w:noHBand="0" w:noVBand="1"/>
        <w:tblCaption w:val="CoP Notes and Agenda Items"/>
        <w:tblDescription w:val="CoP Notes and Agenda Items "/>
      </w:tblPr>
      <w:tblGrid>
        <w:gridCol w:w="2145"/>
        <w:gridCol w:w="2001"/>
        <w:gridCol w:w="6829"/>
      </w:tblGrid>
      <w:tr w:rsidR="00783683" w:rsidRPr="00974AF6" w:rsidTr="006D1635">
        <w:trPr>
          <w:tblHeader/>
        </w:trPr>
        <w:tc>
          <w:tcPr>
            <w:tcW w:w="2145" w:type="dxa"/>
            <w:shd w:val="clear" w:color="auto" w:fill="DEEAF6" w:themeFill="accent1" w:themeFillTint="33"/>
          </w:tcPr>
          <w:p w:rsidR="00783683" w:rsidRPr="00974AF6" w:rsidRDefault="00783683" w:rsidP="00974AF6">
            <w:pPr>
              <w:tabs>
                <w:tab w:val="center" w:pos="971"/>
                <w:tab w:val="right" w:pos="1942"/>
              </w:tabs>
              <w:rPr>
                <w:rFonts w:cstheme="minorHAnsi"/>
                <w:b/>
              </w:rPr>
            </w:pPr>
            <w:r>
              <w:rPr>
                <w:rFonts w:cstheme="minorHAnsi"/>
                <w:b/>
              </w:rPr>
              <w:tab/>
            </w:r>
            <w:r w:rsidRPr="00974AF6">
              <w:rPr>
                <w:rFonts w:cstheme="minorHAnsi"/>
                <w:b/>
              </w:rPr>
              <w:t>Headline</w:t>
            </w:r>
            <w:r>
              <w:rPr>
                <w:rFonts w:cstheme="minorHAnsi"/>
                <w:b/>
              </w:rPr>
              <w:tab/>
            </w:r>
          </w:p>
          <w:p w:rsidR="00783683" w:rsidRPr="00974AF6" w:rsidRDefault="00783683" w:rsidP="00974AF6">
            <w:pPr>
              <w:jc w:val="center"/>
              <w:rPr>
                <w:rFonts w:cstheme="minorHAnsi"/>
                <w:b/>
              </w:rPr>
            </w:pPr>
            <w:r w:rsidRPr="00974AF6">
              <w:rPr>
                <w:rFonts w:cstheme="minorHAnsi"/>
                <w:b/>
              </w:rPr>
              <w:t>Time</w:t>
            </w:r>
          </w:p>
          <w:p w:rsidR="00783683" w:rsidRPr="00974AF6" w:rsidRDefault="00783683" w:rsidP="00974AF6">
            <w:pPr>
              <w:jc w:val="center"/>
              <w:rPr>
                <w:rFonts w:cstheme="minorHAnsi"/>
              </w:rPr>
            </w:pPr>
            <w:r w:rsidRPr="00974AF6">
              <w:rPr>
                <w:rFonts w:cstheme="minorHAnsi"/>
                <w:b/>
              </w:rPr>
              <w:t>Presenters</w:t>
            </w:r>
          </w:p>
        </w:tc>
        <w:tc>
          <w:tcPr>
            <w:tcW w:w="2001" w:type="dxa"/>
            <w:shd w:val="clear" w:color="auto" w:fill="DEEAF6" w:themeFill="accent1" w:themeFillTint="33"/>
          </w:tcPr>
          <w:p w:rsidR="00783683" w:rsidRPr="00974AF6" w:rsidRDefault="00783683" w:rsidP="00974AF6">
            <w:pPr>
              <w:jc w:val="center"/>
              <w:rPr>
                <w:rFonts w:cstheme="minorHAnsi"/>
                <w:b/>
              </w:rPr>
            </w:pPr>
            <w:r w:rsidRPr="00974AF6">
              <w:rPr>
                <w:rFonts w:cstheme="minorHAnsi"/>
                <w:b/>
              </w:rPr>
              <w:t>Expected Outcome</w:t>
            </w:r>
          </w:p>
        </w:tc>
        <w:tc>
          <w:tcPr>
            <w:tcW w:w="6829" w:type="dxa"/>
            <w:shd w:val="clear" w:color="auto" w:fill="DEEAF6" w:themeFill="accent1" w:themeFillTint="33"/>
          </w:tcPr>
          <w:p w:rsidR="00783683" w:rsidRPr="00974AF6" w:rsidRDefault="00783683" w:rsidP="00401814">
            <w:pPr>
              <w:jc w:val="both"/>
              <w:rPr>
                <w:rFonts w:cstheme="minorHAnsi"/>
                <w:b/>
              </w:rPr>
            </w:pPr>
            <w:r w:rsidRPr="00974AF6">
              <w:rPr>
                <w:rFonts w:cstheme="minorHAnsi"/>
                <w:b/>
              </w:rPr>
              <w:t>Summary/Notes</w:t>
            </w:r>
          </w:p>
        </w:tc>
      </w:tr>
      <w:tr w:rsidR="00783683" w:rsidRPr="00974AF6" w:rsidTr="006D1635">
        <w:trPr>
          <w:trHeight w:val="1358"/>
        </w:trPr>
        <w:tc>
          <w:tcPr>
            <w:tcW w:w="2145" w:type="dxa"/>
          </w:tcPr>
          <w:p w:rsidR="00783683" w:rsidRDefault="00783683" w:rsidP="002B7810">
            <w:pPr>
              <w:rPr>
                <w:rFonts w:cstheme="minorHAnsi"/>
                <w:b/>
              </w:rPr>
            </w:pPr>
            <w:r>
              <w:rPr>
                <w:rFonts w:cstheme="minorHAnsi"/>
                <w:b/>
              </w:rPr>
              <w:t>10:00-10:15</w:t>
            </w:r>
            <w:r w:rsidRPr="00974AF6">
              <w:rPr>
                <w:rFonts w:cstheme="minorHAnsi"/>
                <w:b/>
              </w:rPr>
              <w:t xml:space="preserve"> </w:t>
            </w:r>
          </w:p>
          <w:p w:rsidR="00783683" w:rsidRPr="00974AF6" w:rsidRDefault="00783683" w:rsidP="003A0AB1">
            <w:pPr>
              <w:rPr>
                <w:rFonts w:cstheme="minorHAnsi"/>
                <w:b/>
              </w:rPr>
            </w:pPr>
            <w:r w:rsidRPr="00974AF6">
              <w:rPr>
                <w:rFonts w:cstheme="minorHAnsi"/>
                <w:b/>
              </w:rPr>
              <w:t xml:space="preserve">Committee Business </w:t>
            </w:r>
          </w:p>
          <w:p w:rsidR="00783683" w:rsidRDefault="00783683" w:rsidP="00974AF6">
            <w:pPr>
              <w:jc w:val="center"/>
              <w:rPr>
                <w:rFonts w:cstheme="minorHAnsi"/>
                <w:i/>
              </w:rPr>
            </w:pPr>
            <w:r w:rsidRPr="00974AF6">
              <w:rPr>
                <w:rFonts w:cstheme="minorHAnsi"/>
                <w:i/>
              </w:rPr>
              <w:t xml:space="preserve">Clint, Laura, Brad </w:t>
            </w:r>
          </w:p>
          <w:p w:rsidR="00783683" w:rsidRPr="00974AF6" w:rsidRDefault="00783683" w:rsidP="00974AF6">
            <w:pPr>
              <w:jc w:val="center"/>
              <w:rPr>
                <w:rFonts w:cstheme="minorHAnsi"/>
                <w:i/>
              </w:rPr>
            </w:pPr>
            <w:r w:rsidRPr="00FE3968">
              <w:rPr>
                <w:rFonts w:cstheme="minorHAnsi"/>
                <w:b/>
              </w:rPr>
              <w:t>Prep:</w:t>
            </w:r>
            <w:r>
              <w:rPr>
                <w:rFonts w:cstheme="minorHAnsi"/>
              </w:rPr>
              <w:t xml:space="preserve"> Review notes from Feb. 21 meeting.</w:t>
            </w:r>
          </w:p>
        </w:tc>
        <w:tc>
          <w:tcPr>
            <w:tcW w:w="2001" w:type="dxa"/>
          </w:tcPr>
          <w:p w:rsidR="00783683" w:rsidRPr="00974AF6" w:rsidRDefault="00783683" w:rsidP="00B96AA4">
            <w:pPr>
              <w:rPr>
                <w:rFonts w:cstheme="minorHAnsi"/>
              </w:rPr>
            </w:pPr>
            <w:r>
              <w:rPr>
                <w:rFonts w:cstheme="minorHAnsi"/>
              </w:rPr>
              <w:t>Approved notes from Feb. 21 meeting.</w:t>
            </w:r>
          </w:p>
        </w:tc>
        <w:tc>
          <w:tcPr>
            <w:tcW w:w="6829" w:type="dxa"/>
          </w:tcPr>
          <w:p w:rsidR="00783683" w:rsidRDefault="00783683" w:rsidP="00360D26">
            <w:pPr>
              <w:rPr>
                <w:rFonts w:cstheme="minorHAnsi"/>
              </w:rPr>
            </w:pPr>
            <w:r>
              <w:rPr>
                <w:rFonts w:cstheme="minorHAnsi"/>
              </w:rPr>
              <w:t xml:space="preserve">Correction: Page 8 (Migrant Education presentation agenda item) “Migrant students leave the district.”  </w:t>
            </w:r>
          </w:p>
          <w:p w:rsidR="00783683" w:rsidRDefault="00783683" w:rsidP="00360D26">
            <w:pPr>
              <w:rPr>
                <w:rFonts w:cstheme="minorHAnsi"/>
              </w:rPr>
            </w:pPr>
            <w:r>
              <w:rPr>
                <w:rFonts w:cstheme="minorHAnsi"/>
              </w:rPr>
              <w:t xml:space="preserve">Motion to approve the minutes with one correction. </w:t>
            </w:r>
          </w:p>
          <w:p w:rsidR="00783683" w:rsidRDefault="00783683" w:rsidP="00360D26">
            <w:pPr>
              <w:rPr>
                <w:rFonts w:cstheme="minorHAnsi"/>
              </w:rPr>
            </w:pPr>
            <w:r>
              <w:rPr>
                <w:rFonts w:cstheme="minorHAnsi"/>
                <w:u w:val="single"/>
              </w:rPr>
              <w:t>Membership T</w:t>
            </w:r>
            <w:r w:rsidRPr="007D7A49">
              <w:rPr>
                <w:rFonts w:cstheme="minorHAnsi"/>
                <w:u w:val="single"/>
              </w:rPr>
              <w:t>erms</w:t>
            </w:r>
            <w:r>
              <w:rPr>
                <w:rFonts w:cstheme="minorHAnsi"/>
              </w:rPr>
              <w:t xml:space="preserve">: </w:t>
            </w:r>
          </w:p>
          <w:p w:rsidR="00783683" w:rsidRPr="00974AF6" w:rsidRDefault="00783683" w:rsidP="00AE3F8D">
            <w:pPr>
              <w:rPr>
                <w:rFonts w:cstheme="minorHAnsi"/>
              </w:rPr>
            </w:pPr>
            <w:r>
              <w:rPr>
                <w:rFonts w:cstheme="minorHAnsi"/>
              </w:rPr>
              <w:t xml:space="preserve">Clint and Brad will conduct a blanket approval of members who wish to continue their </w:t>
            </w:r>
            <w:proofErr w:type="spellStart"/>
            <w:r>
              <w:rPr>
                <w:rFonts w:cstheme="minorHAnsi"/>
              </w:rPr>
              <w:t>CoP</w:t>
            </w:r>
            <w:proofErr w:type="spellEnd"/>
            <w:r>
              <w:rPr>
                <w:rFonts w:cstheme="minorHAnsi"/>
              </w:rPr>
              <w:t xml:space="preserve"> membership. </w:t>
            </w:r>
          </w:p>
        </w:tc>
      </w:tr>
      <w:tr w:rsidR="00783683" w:rsidRPr="00974AF6" w:rsidTr="006D1635">
        <w:trPr>
          <w:trHeight w:val="1610"/>
        </w:trPr>
        <w:tc>
          <w:tcPr>
            <w:tcW w:w="2145" w:type="dxa"/>
          </w:tcPr>
          <w:p w:rsidR="00783683" w:rsidRDefault="00783683" w:rsidP="00C16868">
            <w:pPr>
              <w:rPr>
                <w:b/>
              </w:rPr>
            </w:pPr>
            <w:r>
              <w:rPr>
                <w:b/>
              </w:rPr>
              <w:t>10:15 – 10:45</w:t>
            </w:r>
          </w:p>
          <w:p w:rsidR="00783683" w:rsidRDefault="00783683" w:rsidP="003A0AB1">
            <w:pPr>
              <w:rPr>
                <w:b/>
              </w:rPr>
            </w:pPr>
            <w:r w:rsidRPr="00C16868">
              <w:rPr>
                <w:b/>
              </w:rPr>
              <w:t>1% Cap on Alt Assessment and Alt Diploma</w:t>
            </w:r>
          </w:p>
          <w:p w:rsidR="00783683" w:rsidRDefault="00783683" w:rsidP="00FE3968">
            <w:r>
              <w:t>Paul Foster, Executive Director of ESSU</w:t>
            </w:r>
          </w:p>
          <w:p w:rsidR="00783683" w:rsidRPr="00C16868" w:rsidRDefault="00783683" w:rsidP="00FE3968">
            <w:pPr>
              <w:rPr>
                <w:rFonts w:cstheme="minorHAnsi"/>
              </w:rPr>
            </w:pPr>
            <w:r w:rsidRPr="00FE3968">
              <w:rPr>
                <w:b/>
              </w:rPr>
              <w:t>Prep</w:t>
            </w:r>
            <w:r>
              <w:t>: None</w:t>
            </w:r>
          </w:p>
        </w:tc>
        <w:tc>
          <w:tcPr>
            <w:tcW w:w="2001" w:type="dxa"/>
          </w:tcPr>
          <w:p w:rsidR="00783683" w:rsidRPr="00974AF6" w:rsidRDefault="00783683" w:rsidP="00B96AA4">
            <w:pPr>
              <w:rPr>
                <w:rFonts w:cstheme="minorHAnsi"/>
              </w:rPr>
            </w:pPr>
            <w:proofErr w:type="spellStart"/>
            <w:r>
              <w:rPr>
                <w:rFonts w:cstheme="minorHAnsi"/>
              </w:rPr>
              <w:t>CoP</w:t>
            </w:r>
            <w:proofErr w:type="spellEnd"/>
            <w:r>
              <w:rPr>
                <w:rFonts w:cstheme="minorHAnsi"/>
              </w:rPr>
              <w:t xml:space="preserve"> will be updated and provide input regarding issues related to 1% Cap on Alt. Assessments and Alt. </w:t>
            </w:r>
            <w:proofErr w:type="spellStart"/>
            <w:r>
              <w:rPr>
                <w:rFonts w:cstheme="minorHAnsi"/>
              </w:rPr>
              <w:t>Dipoloma</w:t>
            </w:r>
            <w:proofErr w:type="spellEnd"/>
          </w:p>
        </w:tc>
        <w:tc>
          <w:tcPr>
            <w:tcW w:w="6829" w:type="dxa"/>
          </w:tcPr>
          <w:p w:rsidR="006D1635" w:rsidRPr="006D1635" w:rsidRDefault="00783683" w:rsidP="00360D26">
            <w:pPr>
              <w:rPr>
                <w:rFonts w:cstheme="minorHAnsi"/>
                <w:b/>
                <w:u w:val="single"/>
              </w:rPr>
            </w:pPr>
            <w:r>
              <w:rPr>
                <w:rFonts w:cstheme="minorHAnsi"/>
              </w:rPr>
              <w:t xml:space="preserve"> </w:t>
            </w:r>
            <w:r w:rsidR="006D1635" w:rsidRPr="006D1635">
              <w:rPr>
                <w:rFonts w:cstheme="minorHAnsi"/>
                <w:b/>
                <w:u w:val="single"/>
              </w:rPr>
              <w:t xml:space="preserve">1% Cap: </w:t>
            </w:r>
          </w:p>
          <w:p w:rsidR="006D1635" w:rsidRDefault="00783683" w:rsidP="00360D26">
            <w:pPr>
              <w:rPr>
                <w:rFonts w:cstheme="minorHAnsi"/>
              </w:rPr>
            </w:pPr>
            <w:r>
              <w:rPr>
                <w:rFonts w:cstheme="minorHAnsi"/>
              </w:rPr>
              <w:t xml:space="preserve">The 1% cap involves alternate assessments that states can administer to students which significant cognitive </w:t>
            </w:r>
            <w:r w:rsidR="00D81A8B">
              <w:rPr>
                <w:rFonts w:cstheme="minorHAnsi"/>
              </w:rPr>
              <w:t>disa</w:t>
            </w:r>
            <w:r>
              <w:rPr>
                <w:rFonts w:cstheme="minorHAnsi"/>
              </w:rPr>
              <w:t>bi</w:t>
            </w:r>
            <w:r w:rsidR="006D1635">
              <w:rPr>
                <w:rFonts w:cstheme="minorHAnsi"/>
              </w:rPr>
              <w:t xml:space="preserve">lities. The CO- Alt is </w:t>
            </w:r>
            <w:r w:rsidR="00D81A8B">
              <w:rPr>
                <w:rFonts w:cstheme="minorHAnsi"/>
              </w:rPr>
              <w:t>our state’s assessment for s</w:t>
            </w:r>
            <w:r>
              <w:rPr>
                <w:rFonts w:cstheme="minorHAnsi"/>
              </w:rPr>
              <w:t xml:space="preserve">tudents with cognitive disabilities. </w:t>
            </w:r>
          </w:p>
          <w:p w:rsidR="00783683" w:rsidRDefault="00D81A8B" w:rsidP="00360D26">
            <w:pPr>
              <w:rPr>
                <w:rFonts w:cstheme="minorHAnsi"/>
              </w:rPr>
            </w:pPr>
            <w:r>
              <w:rPr>
                <w:rFonts w:cstheme="minorHAnsi"/>
              </w:rPr>
              <w:t xml:space="preserve">Districts with more than 1% of their students taking co-alt will be notified each year. District IEP teams will review this data point </w:t>
            </w:r>
            <w:r w:rsidR="00576617">
              <w:rPr>
                <w:rFonts w:cstheme="minorHAnsi"/>
              </w:rPr>
              <w:t xml:space="preserve">and will be asked to provide an explanation of co-alt assessments that exceed the 1% cap. </w:t>
            </w:r>
          </w:p>
          <w:p w:rsidR="00783683" w:rsidRDefault="00783683" w:rsidP="00360D26">
            <w:pPr>
              <w:rPr>
                <w:rFonts w:cstheme="minorHAnsi"/>
              </w:rPr>
            </w:pPr>
            <w:r>
              <w:rPr>
                <w:rFonts w:cstheme="minorHAnsi"/>
              </w:rPr>
              <w:t xml:space="preserve">Districts who exceed this cap will be asked to make justifications every year. </w:t>
            </w:r>
          </w:p>
          <w:p w:rsidR="00050D80" w:rsidRDefault="00050D80" w:rsidP="00360D26">
            <w:pPr>
              <w:rPr>
                <w:rFonts w:cstheme="minorHAnsi"/>
              </w:rPr>
            </w:pPr>
          </w:p>
          <w:p w:rsidR="00783683" w:rsidRPr="00B41EF2" w:rsidRDefault="00783683" w:rsidP="00360D26">
            <w:pPr>
              <w:rPr>
                <w:rFonts w:cstheme="minorHAnsi"/>
                <w:b/>
                <w:u w:val="single"/>
              </w:rPr>
            </w:pPr>
            <w:proofErr w:type="spellStart"/>
            <w:r w:rsidRPr="00B41EF2">
              <w:rPr>
                <w:rFonts w:cstheme="minorHAnsi"/>
                <w:b/>
                <w:u w:val="single"/>
              </w:rPr>
              <w:lastRenderedPageBreak/>
              <w:t>CoP</w:t>
            </w:r>
            <w:proofErr w:type="spellEnd"/>
            <w:r w:rsidRPr="00B41EF2">
              <w:rPr>
                <w:rFonts w:cstheme="minorHAnsi"/>
                <w:b/>
                <w:u w:val="single"/>
              </w:rPr>
              <w:t xml:space="preserve"> Feedback: </w:t>
            </w:r>
          </w:p>
          <w:p w:rsidR="00783683" w:rsidRPr="00CD15AF" w:rsidRDefault="00783683" w:rsidP="00CD15AF">
            <w:pPr>
              <w:pStyle w:val="ListParagraph"/>
              <w:numPr>
                <w:ilvl w:val="0"/>
                <w:numId w:val="2"/>
              </w:numPr>
              <w:rPr>
                <w:rFonts w:cstheme="minorHAnsi"/>
              </w:rPr>
            </w:pPr>
            <w:r w:rsidRPr="00CD15AF">
              <w:rPr>
                <w:rFonts w:cstheme="minorHAnsi"/>
              </w:rPr>
              <w:t xml:space="preserve">What happens when the data is 1.1% and it is correctly reported? </w:t>
            </w:r>
          </w:p>
          <w:p w:rsidR="00CD15AF" w:rsidRPr="00CD15AF" w:rsidRDefault="00783683" w:rsidP="00CD15AF">
            <w:pPr>
              <w:pStyle w:val="ListParagraph"/>
              <w:numPr>
                <w:ilvl w:val="0"/>
                <w:numId w:val="2"/>
              </w:numPr>
              <w:rPr>
                <w:rFonts w:cstheme="minorHAnsi"/>
                <w:b/>
                <w:u w:val="single"/>
              </w:rPr>
            </w:pPr>
            <w:r w:rsidRPr="00CD15AF">
              <w:rPr>
                <w:rFonts w:cstheme="minorHAnsi"/>
              </w:rPr>
              <w:t xml:space="preserve">The formula should be revised to increase equity and fairness. </w:t>
            </w:r>
          </w:p>
          <w:p w:rsidR="00783683" w:rsidRPr="00CD15AF" w:rsidRDefault="00783683" w:rsidP="00CD15AF">
            <w:pPr>
              <w:rPr>
                <w:rFonts w:cstheme="minorHAnsi"/>
                <w:b/>
                <w:u w:val="single"/>
              </w:rPr>
            </w:pPr>
            <w:r w:rsidRPr="00CD15AF">
              <w:rPr>
                <w:rFonts w:cstheme="minorHAnsi"/>
                <w:b/>
                <w:u w:val="single"/>
              </w:rPr>
              <w:t xml:space="preserve">Alt Diploma: </w:t>
            </w:r>
          </w:p>
          <w:p w:rsidR="00783683" w:rsidRDefault="00783683" w:rsidP="00CA6273">
            <w:pPr>
              <w:rPr>
                <w:rFonts w:cstheme="minorHAnsi"/>
              </w:rPr>
            </w:pPr>
            <w:r>
              <w:rPr>
                <w:rFonts w:cstheme="minorHAnsi"/>
              </w:rPr>
              <w:t xml:space="preserve">In CO, we do not have a state-defined alternate diploma. Overall, there is not a strong interest in the state to adopt a state-defined alternate diploma. </w:t>
            </w:r>
            <w:r w:rsidR="00CA6273">
              <w:rPr>
                <w:rFonts w:cstheme="minorHAnsi"/>
              </w:rPr>
              <w:t>Graduates who used EEO standards</w:t>
            </w:r>
            <w:r>
              <w:rPr>
                <w:rFonts w:cstheme="minorHAnsi"/>
              </w:rPr>
              <w:t xml:space="preserve"> will not</w:t>
            </w:r>
            <w:r w:rsidR="00CA6273">
              <w:rPr>
                <w:rFonts w:cstheme="minorHAnsi"/>
              </w:rPr>
              <w:t xml:space="preserve"> be counted</w:t>
            </w:r>
            <w:r>
              <w:rPr>
                <w:rFonts w:cstheme="minorHAnsi"/>
              </w:rPr>
              <w:t xml:space="preserve"> under federal accountability.  </w:t>
            </w:r>
          </w:p>
          <w:p w:rsidR="00783683" w:rsidRDefault="00783683" w:rsidP="00360D26">
            <w:pPr>
              <w:rPr>
                <w:rFonts w:cstheme="minorHAnsi"/>
              </w:rPr>
            </w:pPr>
            <w:r>
              <w:rPr>
                <w:rFonts w:cstheme="minorHAnsi"/>
              </w:rPr>
              <w:t>1066: If a student with a disability meets the district’s graduation requirements and finishes in 4 years, he/she is counted a</w:t>
            </w:r>
            <w:r w:rsidR="00CA6273">
              <w:rPr>
                <w:rFonts w:cstheme="minorHAnsi"/>
              </w:rPr>
              <w:t>s a graduate. This student would</w:t>
            </w:r>
            <w:r>
              <w:rPr>
                <w:rFonts w:cstheme="minorHAnsi"/>
              </w:rPr>
              <w:t xml:space="preserve"> be considered a graduate when they meet the graduation requirements, but the services would continue.  </w:t>
            </w:r>
          </w:p>
          <w:p w:rsidR="00783683" w:rsidRDefault="00783683" w:rsidP="00360D26">
            <w:pPr>
              <w:rPr>
                <w:rFonts w:cstheme="minorHAnsi"/>
              </w:rPr>
            </w:pPr>
            <w:r>
              <w:rPr>
                <w:rFonts w:cstheme="minorHAnsi"/>
              </w:rPr>
              <w:t xml:space="preserve">Only 1% of the points are derived from the 4-year graduation rates. </w:t>
            </w:r>
          </w:p>
          <w:p w:rsidR="00783683" w:rsidRDefault="00783683" w:rsidP="00360D26">
            <w:pPr>
              <w:rPr>
                <w:rFonts w:cstheme="minorHAnsi"/>
              </w:rPr>
            </w:pPr>
            <w:r>
              <w:rPr>
                <w:rFonts w:cstheme="minorHAnsi"/>
              </w:rPr>
              <w:t>If the state were to adopt the alt diploma, then that stude</w:t>
            </w:r>
            <w:r w:rsidR="00CA6273">
              <w:rPr>
                <w:rFonts w:cstheme="minorHAnsi"/>
              </w:rPr>
              <w:t>nt would count in the numerator</w:t>
            </w:r>
            <w:r>
              <w:rPr>
                <w:rFonts w:cstheme="minorHAnsi"/>
              </w:rPr>
              <w:t xml:space="preserve"> for federal accountability. This is an advantage of the alt diploma. </w:t>
            </w:r>
          </w:p>
          <w:p w:rsidR="00783683" w:rsidRDefault="00783683" w:rsidP="00360D26">
            <w:pPr>
              <w:rPr>
                <w:rFonts w:cstheme="minorHAnsi"/>
              </w:rPr>
            </w:pPr>
            <w:r>
              <w:rPr>
                <w:rFonts w:cstheme="minorHAnsi"/>
              </w:rPr>
              <w:t xml:space="preserve">The consortium of special education, CASE, and CASB have asked ESSU to look at the alt diploma as </w:t>
            </w:r>
            <w:r w:rsidR="00D1405B">
              <w:rPr>
                <w:rFonts w:cstheme="minorHAnsi"/>
              </w:rPr>
              <w:t>something</w:t>
            </w:r>
            <w:r>
              <w:rPr>
                <w:rFonts w:cstheme="minorHAnsi"/>
              </w:rPr>
              <w:t xml:space="preserve"> to pursue. </w:t>
            </w:r>
          </w:p>
          <w:p w:rsidR="00783683" w:rsidRDefault="00783683" w:rsidP="00360D26">
            <w:pPr>
              <w:rPr>
                <w:rFonts w:cstheme="minorHAnsi"/>
              </w:rPr>
            </w:pPr>
            <w:proofErr w:type="spellStart"/>
            <w:r w:rsidRPr="007D2D0E">
              <w:rPr>
                <w:rFonts w:cstheme="minorHAnsi"/>
                <w:b/>
                <w:u w:val="single"/>
              </w:rPr>
              <w:t>CoP</w:t>
            </w:r>
            <w:proofErr w:type="spellEnd"/>
            <w:r w:rsidRPr="007D2D0E">
              <w:rPr>
                <w:rFonts w:cstheme="minorHAnsi"/>
                <w:b/>
                <w:u w:val="single"/>
              </w:rPr>
              <w:t xml:space="preserve"> Feedback:</w:t>
            </w:r>
          </w:p>
          <w:p w:rsidR="00783683" w:rsidRPr="007F37DF" w:rsidRDefault="00783683" w:rsidP="007F37DF">
            <w:pPr>
              <w:rPr>
                <w:rFonts w:cstheme="minorHAnsi"/>
              </w:rPr>
            </w:pPr>
            <w:r w:rsidRPr="007F37DF">
              <w:rPr>
                <w:rFonts w:cstheme="minorHAnsi"/>
              </w:rPr>
              <w:t xml:space="preserve">The grad rate is reduced when they are not in the </w:t>
            </w:r>
            <w:r w:rsidR="0031443F" w:rsidRPr="007F37DF">
              <w:rPr>
                <w:rFonts w:cstheme="minorHAnsi"/>
              </w:rPr>
              <w:t>denominator. This could complicate</w:t>
            </w:r>
            <w:r w:rsidRPr="007F37DF">
              <w:rPr>
                <w:rFonts w:cstheme="minorHAnsi"/>
              </w:rPr>
              <w:t xml:space="preserve"> federal accountability reporting. </w:t>
            </w:r>
          </w:p>
          <w:p w:rsidR="00B058F5" w:rsidRPr="00B058F5" w:rsidRDefault="00B058F5" w:rsidP="00B058F5">
            <w:pPr>
              <w:ind w:left="360"/>
              <w:rPr>
                <w:rFonts w:cstheme="minorHAnsi"/>
              </w:rPr>
            </w:pPr>
          </w:p>
        </w:tc>
      </w:tr>
      <w:tr w:rsidR="00783683" w:rsidRPr="00974AF6" w:rsidTr="006D1635">
        <w:trPr>
          <w:trHeight w:val="1610"/>
        </w:trPr>
        <w:tc>
          <w:tcPr>
            <w:tcW w:w="2145" w:type="dxa"/>
          </w:tcPr>
          <w:p w:rsidR="00783683" w:rsidRPr="002B7810" w:rsidRDefault="00783683" w:rsidP="0065121D">
            <w:pPr>
              <w:rPr>
                <w:rFonts w:cstheme="minorHAnsi"/>
                <w:b/>
              </w:rPr>
            </w:pPr>
            <w:r w:rsidRPr="002B7810">
              <w:rPr>
                <w:rFonts w:cstheme="minorHAnsi"/>
                <w:b/>
              </w:rPr>
              <w:lastRenderedPageBreak/>
              <w:t>10:45 – 11:15</w:t>
            </w:r>
          </w:p>
          <w:p w:rsidR="00783683" w:rsidRDefault="00783683" w:rsidP="0065121D">
            <w:pPr>
              <w:rPr>
                <w:rFonts w:cstheme="minorHAnsi"/>
                <w:b/>
              </w:rPr>
            </w:pPr>
            <w:r w:rsidRPr="002B7810">
              <w:rPr>
                <w:rFonts w:cstheme="minorHAnsi"/>
                <w:b/>
              </w:rPr>
              <w:t>EASI Update and Input</w:t>
            </w:r>
            <w:r>
              <w:rPr>
                <w:rFonts w:cstheme="minorHAnsi"/>
                <w:b/>
              </w:rPr>
              <w:t xml:space="preserve"> </w:t>
            </w:r>
          </w:p>
          <w:p w:rsidR="00783683" w:rsidRDefault="00783683" w:rsidP="0065121D">
            <w:pPr>
              <w:rPr>
                <w:rFonts w:cstheme="minorHAnsi"/>
                <w:b/>
              </w:rPr>
            </w:pPr>
            <w:r>
              <w:rPr>
                <w:rFonts w:cstheme="minorHAnsi"/>
                <w:b/>
              </w:rPr>
              <w:t xml:space="preserve">Budget Revisions Process; Expectations for the next round of EASI </w:t>
            </w:r>
          </w:p>
          <w:p w:rsidR="00783683" w:rsidRDefault="00783683" w:rsidP="0065121D">
            <w:pPr>
              <w:rPr>
                <w:rFonts w:cstheme="minorHAnsi"/>
                <w:b/>
              </w:rPr>
            </w:pPr>
          </w:p>
          <w:p w:rsidR="00783683" w:rsidRPr="002B7810" w:rsidRDefault="00783683" w:rsidP="00384CD1">
            <w:pPr>
              <w:jc w:val="center"/>
              <w:rPr>
                <w:rFonts w:cstheme="minorHAnsi"/>
              </w:rPr>
            </w:pPr>
            <w:r>
              <w:rPr>
                <w:rFonts w:cstheme="minorHAnsi"/>
              </w:rPr>
              <w:t>Laura Meushaw, Kim Burnham</w:t>
            </w:r>
          </w:p>
        </w:tc>
        <w:tc>
          <w:tcPr>
            <w:tcW w:w="2001" w:type="dxa"/>
          </w:tcPr>
          <w:p w:rsidR="00783683" w:rsidRPr="00974AF6" w:rsidRDefault="00783683" w:rsidP="0065121D">
            <w:pPr>
              <w:rPr>
                <w:rFonts w:cstheme="minorHAnsi"/>
              </w:rPr>
            </w:pPr>
            <w:proofErr w:type="spellStart"/>
            <w:r>
              <w:rPr>
                <w:rFonts w:cstheme="minorHAnsi"/>
              </w:rPr>
              <w:t>CoP</w:t>
            </w:r>
            <w:proofErr w:type="spellEnd"/>
            <w:r>
              <w:rPr>
                <w:rFonts w:cstheme="minorHAnsi"/>
              </w:rPr>
              <w:t xml:space="preserve"> will be updated on the EASI Revisions process as well as the next round of EASI and will have the opportunity to provide input on both. </w:t>
            </w:r>
          </w:p>
        </w:tc>
        <w:tc>
          <w:tcPr>
            <w:tcW w:w="6829" w:type="dxa"/>
          </w:tcPr>
          <w:p w:rsidR="00783683" w:rsidRPr="007F37DF" w:rsidRDefault="00783683" w:rsidP="007F37DF">
            <w:pPr>
              <w:pStyle w:val="ListParagraph"/>
              <w:numPr>
                <w:ilvl w:val="0"/>
                <w:numId w:val="3"/>
              </w:numPr>
              <w:rPr>
                <w:rFonts w:cstheme="minorHAnsi"/>
              </w:rPr>
            </w:pPr>
            <w:r w:rsidRPr="007F37DF">
              <w:rPr>
                <w:rFonts w:cstheme="minorHAnsi"/>
              </w:rPr>
              <w:t xml:space="preserve">The EASI application has opened a conversation about the </w:t>
            </w:r>
            <w:r w:rsidR="006D6204" w:rsidRPr="007F37DF">
              <w:rPr>
                <w:rFonts w:cstheme="minorHAnsi"/>
              </w:rPr>
              <w:t xml:space="preserve">     </w:t>
            </w:r>
            <w:r w:rsidRPr="007F37DF">
              <w:rPr>
                <w:rFonts w:cstheme="minorHAnsi"/>
              </w:rPr>
              <w:t xml:space="preserve">supports that each individual district/schools have needed. </w:t>
            </w:r>
          </w:p>
          <w:p w:rsidR="00783683" w:rsidRPr="00F70669" w:rsidRDefault="00783683" w:rsidP="00F70669">
            <w:pPr>
              <w:pStyle w:val="ListParagraph"/>
              <w:numPr>
                <w:ilvl w:val="0"/>
                <w:numId w:val="3"/>
              </w:numPr>
              <w:rPr>
                <w:rFonts w:cstheme="minorHAnsi"/>
              </w:rPr>
            </w:pPr>
            <w:r w:rsidRPr="00F70669">
              <w:rPr>
                <w:rFonts w:cstheme="minorHAnsi"/>
              </w:rPr>
              <w:t xml:space="preserve">A fall window for the EASI application is timely and conducive to beginning those supports. An additional window in the spring would be good for diagnostic reviews and for hiring personnel. </w:t>
            </w:r>
          </w:p>
          <w:p w:rsidR="00CD241D" w:rsidRDefault="00783683" w:rsidP="00CD241D">
            <w:pPr>
              <w:pStyle w:val="ListParagraph"/>
              <w:numPr>
                <w:ilvl w:val="0"/>
                <w:numId w:val="3"/>
              </w:numPr>
              <w:rPr>
                <w:rFonts w:cstheme="minorHAnsi"/>
              </w:rPr>
            </w:pPr>
            <w:r w:rsidRPr="00F70669">
              <w:rPr>
                <w:rFonts w:cstheme="minorHAnsi"/>
              </w:rPr>
              <w:t xml:space="preserve">The spring window gives schools more time to decide if they want to apply for the next year. </w:t>
            </w:r>
          </w:p>
          <w:p w:rsidR="00783683" w:rsidRPr="00813DDF" w:rsidRDefault="00783683" w:rsidP="00813DDF">
            <w:pPr>
              <w:ind w:left="360"/>
              <w:rPr>
                <w:rFonts w:cstheme="minorHAnsi"/>
              </w:rPr>
            </w:pPr>
          </w:p>
        </w:tc>
      </w:tr>
      <w:tr w:rsidR="00783683" w:rsidRPr="00974AF6" w:rsidTr="006D1635">
        <w:trPr>
          <w:trHeight w:val="1610"/>
        </w:trPr>
        <w:tc>
          <w:tcPr>
            <w:tcW w:w="2145" w:type="dxa"/>
          </w:tcPr>
          <w:p w:rsidR="00783683" w:rsidRPr="002B7810" w:rsidRDefault="00783683" w:rsidP="0065121D">
            <w:pPr>
              <w:rPr>
                <w:rFonts w:cstheme="minorHAnsi"/>
                <w:b/>
              </w:rPr>
            </w:pPr>
            <w:r w:rsidRPr="002B7810">
              <w:rPr>
                <w:rFonts w:cstheme="minorHAnsi"/>
                <w:b/>
              </w:rPr>
              <w:lastRenderedPageBreak/>
              <w:t>11:15 – 11:45</w:t>
            </w:r>
          </w:p>
          <w:p w:rsidR="00783683" w:rsidRDefault="00783683" w:rsidP="0065121D">
            <w:pPr>
              <w:rPr>
                <w:rFonts w:cstheme="minorHAnsi"/>
                <w:b/>
              </w:rPr>
            </w:pPr>
            <w:r w:rsidRPr="002B7810">
              <w:rPr>
                <w:rFonts w:cstheme="minorHAnsi"/>
                <w:b/>
              </w:rPr>
              <w:t>4 Domains introduction and discussion</w:t>
            </w:r>
          </w:p>
          <w:p w:rsidR="00783683" w:rsidRPr="002B7810" w:rsidRDefault="00783683" w:rsidP="0065121D">
            <w:pPr>
              <w:rPr>
                <w:rFonts w:cstheme="minorHAnsi"/>
              </w:rPr>
            </w:pPr>
            <w:r>
              <w:rPr>
                <w:rFonts w:cstheme="minorHAnsi"/>
              </w:rPr>
              <w:t>Pat Chapman, Brad Bylsma</w:t>
            </w:r>
          </w:p>
        </w:tc>
        <w:tc>
          <w:tcPr>
            <w:tcW w:w="2001" w:type="dxa"/>
          </w:tcPr>
          <w:p w:rsidR="00783683" w:rsidRPr="00974AF6" w:rsidRDefault="00783683" w:rsidP="0065121D">
            <w:pPr>
              <w:rPr>
                <w:rFonts w:cstheme="minorHAnsi"/>
              </w:rPr>
            </w:pPr>
            <w:proofErr w:type="spellStart"/>
            <w:r>
              <w:rPr>
                <w:rFonts w:cstheme="minorHAnsi"/>
              </w:rPr>
              <w:t>CoP</w:t>
            </w:r>
            <w:proofErr w:type="spellEnd"/>
            <w:r>
              <w:rPr>
                <w:rFonts w:cstheme="minorHAnsi"/>
              </w:rPr>
              <w:t xml:space="preserve"> will be introduced to the 4 Domains for Rapid School Improvement and discuss the possible benefits of CDE adopting these as an organizing framework.</w:t>
            </w:r>
          </w:p>
        </w:tc>
        <w:tc>
          <w:tcPr>
            <w:tcW w:w="6829" w:type="dxa"/>
          </w:tcPr>
          <w:p w:rsidR="00783683" w:rsidRDefault="00783683" w:rsidP="0065121D">
            <w:pPr>
              <w:rPr>
                <w:rFonts w:cstheme="minorHAnsi"/>
              </w:rPr>
            </w:pPr>
            <w:r>
              <w:rPr>
                <w:rFonts w:cstheme="minorHAnsi"/>
              </w:rPr>
              <w:t>The 4 Domains were developed by the center for school turnaround (</w:t>
            </w:r>
            <w:proofErr w:type="spellStart"/>
            <w:r>
              <w:rPr>
                <w:rFonts w:cstheme="minorHAnsi"/>
              </w:rPr>
              <w:t>WestEd</w:t>
            </w:r>
            <w:proofErr w:type="spellEnd"/>
            <w:r>
              <w:rPr>
                <w:rFonts w:cstheme="minorHAnsi"/>
              </w:rPr>
              <w:t xml:space="preserve">). They would like to streamline our processes/systems to turn around student performance. The </w:t>
            </w:r>
            <w:r w:rsidR="00291B7A">
              <w:rPr>
                <w:rFonts w:cstheme="minorHAnsi"/>
              </w:rPr>
              <w:t>wording</w:t>
            </w:r>
            <w:r>
              <w:rPr>
                <w:rFonts w:cstheme="minorHAnsi"/>
              </w:rPr>
              <w:t xml:space="preserve"> is action oriented throughout the 4 Domains (Turnaround Leadership, Talent Development, Instructional Transformation, and Culture Shift). </w:t>
            </w:r>
          </w:p>
          <w:p w:rsidR="00783683" w:rsidRDefault="00783683" w:rsidP="0065121D">
            <w:pPr>
              <w:rPr>
                <w:rFonts w:cstheme="minorHAnsi"/>
              </w:rPr>
            </w:pPr>
            <w:r>
              <w:rPr>
                <w:rFonts w:cstheme="minorHAnsi"/>
              </w:rPr>
              <w:t xml:space="preserve">CDE as a department is analyzing how to use the 4 Domains to remain consistent across the offices and work. Common language is one of the goals for support work. </w:t>
            </w:r>
          </w:p>
          <w:p w:rsidR="00750901" w:rsidRDefault="00783683" w:rsidP="0065121D">
            <w:pPr>
              <w:rPr>
                <w:rFonts w:cstheme="minorHAnsi"/>
                <w:b/>
                <w:u w:val="single"/>
              </w:rPr>
            </w:pPr>
            <w:proofErr w:type="spellStart"/>
            <w:r w:rsidRPr="00EB6621">
              <w:rPr>
                <w:rFonts w:cstheme="minorHAnsi"/>
                <w:b/>
                <w:u w:val="single"/>
              </w:rPr>
              <w:t>CoP</w:t>
            </w:r>
            <w:proofErr w:type="spellEnd"/>
            <w:r w:rsidRPr="00EB6621">
              <w:rPr>
                <w:rFonts w:cstheme="minorHAnsi"/>
                <w:b/>
                <w:u w:val="single"/>
              </w:rPr>
              <w:t xml:space="preserve"> Feedback: </w:t>
            </w:r>
          </w:p>
          <w:p w:rsidR="00783683" w:rsidRPr="00750901" w:rsidRDefault="00750901" w:rsidP="00750901">
            <w:pPr>
              <w:pStyle w:val="ListParagraph"/>
              <w:numPr>
                <w:ilvl w:val="0"/>
                <w:numId w:val="6"/>
              </w:numPr>
              <w:rPr>
                <w:rFonts w:cstheme="minorHAnsi"/>
                <w:b/>
                <w:u w:val="single"/>
              </w:rPr>
            </w:pPr>
            <w:r w:rsidRPr="00750901">
              <w:rPr>
                <w:rFonts w:cstheme="minorHAnsi"/>
              </w:rPr>
              <w:t>Utilizing a c</w:t>
            </w:r>
            <w:r w:rsidR="00783683" w:rsidRPr="00750901">
              <w:rPr>
                <w:rFonts w:cstheme="minorHAnsi"/>
              </w:rPr>
              <w:t xml:space="preserve">ommon language is appealing. </w:t>
            </w:r>
          </w:p>
          <w:p w:rsidR="00783683" w:rsidRPr="00750901" w:rsidRDefault="00750901" w:rsidP="00750901">
            <w:pPr>
              <w:pStyle w:val="ListParagraph"/>
              <w:numPr>
                <w:ilvl w:val="0"/>
                <w:numId w:val="6"/>
              </w:numPr>
              <w:rPr>
                <w:rFonts w:cstheme="minorHAnsi"/>
              </w:rPr>
            </w:pPr>
            <w:r>
              <w:rPr>
                <w:rFonts w:cstheme="minorHAnsi"/>
              </w:rPr>
              <w:t>T</w:t>
            </w:r>
            <w:r w:rsidRPr="00750901">
              <w:rPr>
                <w:rFonts w:cstheme="minorHAnsi"/>
              </w:rPr>
              <w:t>he 4 Domains are</w:t>
            </w:r>
            <w:r w:rsidR="00783683" w:rsidRPr="00750901">
              <w:rPr>
                <w:rFonts w:cstheme="minorHAnsi"/>
              </w:rPr>
              <w:t xml:space="preserve"> simple and can be easily incorporated. </w:t>
            </w:r>
          </w:p>
          <w:p w:rsidR="00783683" w:rsidRPr="00750901" w:rsidRDefault="00783683" w:rsidP="00750901">
            <w:pPr>
              <w:pStyle w:val="ListParagraph"/>
              <w:numPr>
                <w:ilvl w:val="0"/>
                <w:numId w:val="6"/>
              </w:numPr>
              <w:rPr>
                <w:rFonts w:cstheme="minorHAnsi"/>
              </w:rPr>
            </w:pPr>
            <w:r w:rsidRPr="00750901">
              <w:rPr>
                <w:rFonts w:cstheme="minorHAnsi"/>
              </w:rPr>
              <w:t xml:space="preserve">The 4 Domains is a high-level organizing structure and is the parameters for this work. The UIP is an example of how a system does not align with the day-to-day work.  </w:t>
            </w:r>
          </w:p>
          <w:p w:rsidR="00750901" w:rsidRDefault="00750901" w:rsidP="00750901">
            <w:pPr>
              <w:pStyle w:val="ListParagraph"/>
              <w:numPr>
                <w:ilvl w:val="0"/>
                <w:numId w:val="6"/>
              </w:numPr>
              <w:rPr>
                <w:rFonts w:cstheme="minorHAnsi"/>
              </w:rPr>
            </w:pPr>
            <w:r w:rsidRPr="00750901">
              <w:rPr>
                <w:rFonts w:cstheme="minorHAnsi"/>
              </w:rPr>
              <w:t>The work aligned to this must be concrete and actionable.</w:t>
            </w:r>
            <w:r>
              <w:rPr>
                <w:rFonts w:cstheme="minorHAnsi"/>
              </w:rPr>
              <w:t xml:space="preserve"> </w:t>
            </w:r>
          </w:p>
          <w:p w:rsidR="00783683" w:rsidRPr="00750901" w:rsidRDefault="00750901" w:rsidP="0065121D">
            <w:pPr>
              <w:pStyle w:val="ListParagraph"/>
              <w:numPr>
                <w:ilvl w:val="0"/>
                <w:numId w:val="6"/>
              </w:numPr>
              <w:rPr>
                <w:rFonts w:cstheme="minorHAnsi"/>
              </w:rPr>
            </w:pPr>
            <w:r>
              <w:rPr>
                <w:rFonts w:cstheme="minorHAnsi"/>
              </w:rPr>
              <w:t>T</w:t>
            </w:r>
            <w:r w:rsidR="00783683" w:rsidRPr="00750901">
              <w:rPr>
                <w:rFonts w:cstheme="minorHAnsi"/>
              </w:rPr>
              <w:t>he Cons</w:t>
            </w:r>
            <w:r>
              <w:rPr>
                <w:rFonts w:cstheme="minorHAnsi"/>
              </w:rPr>
              <w:t xml:space="preserve">olidated </w:t>
            </w:r>
            <w:r w:rsidR="00783683" w:rsidRPr="00750901">
              <w:rPr>
                <w:rFonts w:cstheme="minorHAnsi"/>
              </w:rPr>
              <w:t>App</w:t>
            </w:r>
            <w:r>
              <w:rPr>
                <w:rFonts w:cstheme="minorHAnsi"/>
              </w:rPr>
              <w:t>lication</w:t>
            </w:r>
            <w:r w:rsidR="00783683" w:rsidRPr="00750901">
              <w:rPr>
                <w:rFonts w:cstheme="minorHAnsi"/>
              </w:rPr>
              <w:t xml:space="preserve"> would be a great way to incorporate the 4 Domains. </w:t>
            </w:r>
          </w:p>
          <w:p w:rsidR="00783683" w:rsidRPr="00974AF6" w:rsidRDefault="00783683" w:rsidP="0065121D">
            <w:pPr>
              <w:rPr>
                <w:rFonts w:cstheme="minorHAnsi"/>
              </w:rPr>
            </w:pPr>
            <w:r>
              <w:rPr>
                <w:rFonts w:cstheme="minorHAnsi"/>
              </w:rPr>
              <w:t xml:space="preserve">CDE welcomes any feedback regarding the utility of the 4 Domains. </w:t>
            </w:r>
          </w:p>
        </w:tc>
      </w:tr>
      <w:tr w:rsidR="00783683" w:rsidRPr="00974AF6" w:rsidTr="006D1635">
        <w:trPr>
          <w:trHeight w:val="1610"/>
        </w:trPr>
        <w:tc>
          <w:tcPr>
            <w:tcW w:w="2145" w:type="dxa"/>
          </w:tcPr>
          <w:p w:rsidR="00783683" w:rsidRDefault="00783683" w:rsidP="0065121D">
            <w:pPr>
              <w:rPr>
                <w:rFonts w:cstheme="minorHAnsi"/>
                <w:b/>
              </w:rPr>
            </w:pPr>
            <w:r w:rsidRPr="00954D57">
              <w:rPr>
                <w:rFonts w:cstheme="minorHAnsi"/>
                <w:b/>
              </w:rPr>
              <w:t xml:space="preserve">11:45 – 12:30 Lunch  and BOCES </w:t>
            </w:r>
            <w:proofErr w:type="spellStart"/>
            <w:r w:rsidRPr="00954D57">
              <w:rPr>
                <w:rFonts w:cstheme="minorHAnsi"/>
                <w:b/>
              </w:rPr>
              <w:t>Consapp</w:t>
            </w:r>
            <w:proofErr w:type="spellEnd"/>
            <w:r w:rsidRPr="00954D57">
              <w:rPr>
                <w:rFonts w:cstheme="minorHAnsi"/>
                <w:b/>
              </w:rPr>
              <w:t xml:space="preserve"> Work Session</w:t>
            </w:r>
          </w:p>
          <w:p w:rsidR="00783683" w:rsidRDefault="00783683" w:rsidP="0065121D">
            <w:pPr>
              <w:rPr>
                <w:rFonts w:cstheme="minorHAnsi"/>
              </w:rPr>
            </w:pPr>
            <w:r>
              <w:rPr>
                <w:rFonts w:cstheme="minorHAnsi"/>
              </w:rPr>
              <w:t>DeLilah Collins</w:t>
            </w:r>
          </w:p>
          <w:p w:rsidR="00783683" w:rsidRPr="003A0AB1" w:rsidRDefault="00783683" w:rsidP="00FB4FBE">
            <w:pPr>
              <w:rPr>
                <w:rFonts w:cstheme="minorHAnsi"/>
              </w:rPr>
            </w:pPr>
            <w:r>
              <w:rPr>
                <w:rFonts w:cstheme="minorHAnsi"/>
              </w:rPr>
              <w:t xml:space="preserve"> </w:t>
            </w:r>
          </w:p>
        </w:tc>
        <w:tc>
          <w:tcPr>
            <w:tcW w:w="2001" w:type="dxa"/>
          </w:tcPr>
          <w:p w:rsidR="00783683" w:rsidRPr="00974AF6" w:rsidRDefault="00783683" w:rsidP="0065121D">
            <w:pPr>
              <w:rPr>
                <w:rFonts w:cstheme="minorHAnsi"/>
              </w:rPr>
            </w:pPr>
            <w:r>
              <w:rPr>
                <w:rFonts w:cstheme="minorHAnsi"/>
              </w:rPr>
              <w:t xml:space="preserve">BOCES representatives will receive hands-on support with the Consolidated Application. </w:t>
            </w:r>
          </w:p>
        </w:tc>
        <w:tc>
          <w:tcPr>
            <w:tcW w:w="6829" w:type="dxa"/>
          </w:tcPr>
          <w:p w:rsidR="00375B74" w:rsidRDefault="00375B74" w:rsidP="00375B74">
            <w:pPr>
              <w:rPr>
                <w:rFonts w:cstheme="minorHAnsi"/>
              </w:rPr>
            </w:pPr>
            <w:r w:rsidRPr="00FB4FBE">
              <w:rPr>
                <w:rFonts w:cstheme="minorHAnsi"/>
                <w:b/>
              </w:rPr>
              <w:t>Prep:</w:t>
            </w:r>
            <w:r>
              <w:rPr>
                <w:rFonts w:cstheme="minorHAnsi"/>
              </w:rPr>
              <w:t xml:space="preserve"> Those involved should bring their laptops so CDE can provide hands-on support. </w:t>
            </w:r>
          </w:p>
          <w:p w:rsidR="00783683" w:rsidRPr="00974AF6" w:rsidRDefault="00375B74" w:rsidP="00375B74">
            <w:pPr>
              <w:rPr>
                <w:rFonts w:cstheme="minorHAnsi"/>
              </w:rPr>
            </w:pPr>
            <w:r>
              <w:rPr>
                <w:rFonts w:cstheme="minorHAnsi"/>
              </w:rPr>
              <w:t>Others can use the time for networking.</w:t>
            </w:r>
          </w:p>
        </w:tc>
      </w:tr>
      <w:tr w:rsidR="00783683" w:rsidRPr="00974AF6" w:rsidTr="006D1635">
        <w:trPr>
          <w:trHeight w:val="1610"/>
        </w:trPr>
        <w:tc>
          <w:tcPr>
            <w:tcW w:w="2145" w:type="dxa"/>
          </w:tcPr>
          <w:p w:rsidR="00783683" w:rsidRPr="003A0AB1" w:rsidRDefault="00783683" w:rsidP="0065121D">
            <w:pPr>
              <w:rPr>
                <w:b/>
              </w:rPr>
            </w:pPr>
            <w:r w:rsidRPr="003A0AB1">
              <w:rPr>
                <w:b/>
              </w:rPr>
              <w:t>12:30 – 1:15</w:t>
            </w:r>
          </w:p>
          <w:p w:rsidR="00783683" w:rsidRPr="003A0AB1" w:rsidRDefault="00783683" w:rsidP="0065121D">
            <w:pPr>
              <w:rPr>
                <w:b/>
              </w:rPr>
            </w:pPr>
            <w:r w:rsidRPr="003A0AB1">
              <w:rPr>
                <w:b/>
              </w:rPr>
              <w:t>Monitoring results: stakeholder engagement and input on 1</w:t>
            </w:r>
            <w:r w:rsidRPr="003A0AB1">
              <w:rPr>
                <w:b/>
                <w:vertAlign w:val="superscript"/>
              </w:rPr>
              <w:t>st</w:t>
            </w:r>
            <w:r w:rsidRPr="003A0AB1">
              <w:rPr>
                <w:b/>
              </w:rPr>
              <w:t xml:space="preserve"> cycle</w:t>
            </w:r>
          </w:p>
          <w:p w:rsidR="00783683" w:rsidRPr="00974AF6" w:rsidRDefault="00783683" w:rsidP="0065121D">
            <w:pPr>
              <w:jc w:val="center"/>
              <w:rPr>
                <w:rFonts w:cstheme="minorHAnsi"/>
              </w:rPr>
            </w:pPr>
            <w:r>
              <w:t xml:space="preserve">Joey Willett, </w:t>
            </w:r>
            <w:proofErr w:type="spellStart"/>
            <w:r>
              <w:t>Nazie</w:t>
            </w:r>
            <w:proofErr w:type="spellEnd"/>
            <w:r>
              <w:t xml:space="preserve"> </w:t>
            </w:r>
            <w:proofErr w:type="spellStart"/>
            <w:r>
              <w:t>Mohjeri</w:t>
            </w:r>
            <w:proofErr w:type="spellEnd"/>
            <w:r>
              <w:t>-Nelson</w:t>
            </w:r>
          </w:p>
        </w:tc>
        <w:tc>
          <w:tcPr>
            <w:tcW w:w="2001" w:type="dxa"/>
          </w:tcPr>
          <w:p w:rsidR="00644943" w:rsidRDefault="00644943" w:rsidP="0065121D">
            <w:pPr>
              <w:rPr>
                <w:rFonts w:cstheme="minorHAnsi"/>
              </w:rPr>
            </w:pPr>
            <w:r>
              <w:rPr>
                <w:rFonts w:cstheme="minorHAnsi"/>
              </w:rPr>
              <w:t xml:space="preserve">CDE presenters will provide context prior to open discussion and brainstorming session. </w:t>
            </w:r>
          </w:p>
          <w:p w:rsidR="00644943" w:rsidRDefault="00644943" w:rsidP="0065121D">
            <w:pPr>
              <w:rPr>
                <w:rFonts w:cstheme="minorHAnsi"/>
              </w:rPr>
            </w:pPr>
          </w:p>
          <w:p w:rsidR="00783683" w:rsidRDefault="00783683" w:rsidP="0065121D">
            <w:pPr>
              <w:rPr>
                <w:rFonts w:cstheme="minorHAnsi"/>
              </w:rPr>
            </w:pPr>
            <w:proofErr w:type="spellStart"/>
            <w:r>
              <w:rPr>
                <w:rFonts w:cstheme="minorHAnsi"/>
              </w:rPr>
              <w:lastRenderedPageBreak/>
              <w:t>CoP</w:t>
            </w:r>
            <w:proofErr w:type="spellEnd"/>
            <w:r>
              <w:rPr>
                <w:rFonts w:cstheme="minorHAnsi"/>
              </w:rPr>
              <w:t xml:space="preserve"> will have an opportunity to provide input regarding ESEA monitoring.  </w:t>
            </w:r>
          </w:p>
          <w:p w:rsidR="00783683" w:rsidRDefault="00783683" w:rsidP="0065121D">
            <w:pPr>
              <w:rPr>
                <w:rFonts w:cstheme="minorHAnsi"/>
              </w:rPr>
            </w:pPr>
          </w:p>
          <w:p w:rsidR="00783683" w:rsidRPr="00974AF6" w:rsidRDefault="00783683" w:rsidP="0065121D">
            <w:pPr>
              <w:rPr>
                <w:rFonts w:cstheme="minorHAnsi"/>
              </w:rPr>
            </w:pPr>
          </w:p>
        </w:tc>
        <w:tc>
          <w:tcPr>
            <w:tcW w:w="6829" w:type="dxa"/>
          </w:tcPr>
          <w:p w:rsidR="00783683" w:rsidRDefault="00783683" w:rsidP="00BA719E">
            <w:pPr>
              <w:rPr>
                <w:rFonts w:cstheme="minorHAnsi"/>
              </w:rPr>
            </w:pPr>
            <w:r>
              <w:rPr>
                <w:rFonts w:cstheme="minorHAnsi"/>
              </w:rPr>
              <w:lastRenderedPageBreak/>
              <w:t>The purpose of monitoring i</w:t>
            </w:r>
            <w:r w:rsidR="001C5B76">
              <w:rPr>
                <w:rFonts w:cstheme="minorHAnsi"/>
              </w:rPr>
              <w:t xml:space="preserve">s the improve student outcomes and to share effective practices. </w:t>
            </w:r>
          </w:p>
          <w:p w:rsidR="00783683" w:rsidRDefault="00783683" w:rsidP="0065121D">
            <w:pPr>
              <w:rPr>
                <w:rFonts w:cstheme="minorHAnsi"/>
              </w:rPr>
            </w:pPr>
            <w:r>
              <w:rPr>
                <w:rFonts w:cstheme="minorHAnsi"/>
              </w:rPr>
              <w:t xml:space="preserve">LEAs are encouraged to document their time and effort dedicated to the monitoring process. </w:t>
            </w:r>
          </w:p>
          <w:p w:rsidR="00A27BB0" w:rsidRDefault="00BA719E" w:rsidP="0065121D">
            <w:pPr>
              <w:rPr>
                <w:rFonts w:cstheme="minorHAnsi"/>
              </w:rPr>
            </w:pPr>
            <w:r>
              <w:rPr>
                <w:rFonts w:cstheme="minorHAnsi"/>
              </w:rPr>
              <w:t xml:space="preserve">Notable </w:t>
            </w:r>
            <w:r w:rsidR="00783683">
              <w:rPr>
                <w:rFonts w:cstheme="minorHAnsi"/>
              </w:rPr>
              <w:t xml:space="preserve">Trends: </w:t>
            </w:r>
          </w:p>
          <w:p w:rsidR="00783683" w:rsidRPr="00A27BB0" w:rsidRDefault="00783683" w:rsidP="00A27BB0">
            <w:pPr>
              <w:pStyle w:val="ListParagraph"/>
              <w:numPr>
                <w:ilvl w:val="0"/>
                <w:numId w:val="8"/>
              </w:numPr>
              <w:rPr>
                <w:rFonts w:cstheme="minorHAnsi"/>
              </w:rPr>
            </w:pPr>
            <w:r w:rsidRPr="00A27BB0">
              <w:rPr>
                <w:rFonts w:cstheme="minorHAnsi"/>
              </w:rPr>
              <w:t xml:space="preserve">Most LEAs had practices in place that either met or exceeded stakeholder engagement and fiscal indicators. </w:t>
            </w:r>
          </w:p>
          <w:p w:rsidR="00783683" w:rsidRPr="00A27BB0" w:rsidRDefault="00783683" w:rsidP="00A27BB0">
            <w:pPr>
              <w:pStyle w:val="ListParagraph"/>
              <w:numPr>
                <w:ilvl w:val="0"/>
                <w:numId w:val="8"/>
              </w:numPr>
              <w:rPr>
                <w:rFonts w:cstheme="minorHAnsi"/>
              </w:rPr>
            </w:pPr>
            <w:r w:rsidRPr="00A27BB0">
              <w:rPr>
                <w:rFonts w:cstheme="minorHAnsi"/>
              </w:rPr>
              <w:lastRenderedPageBreak/>
              <w:t xml:space="preserve">Title 1, Part </w:t>
            </w:r>
            <w:proofErr w:type="gramStart"/>
            <w:r w:rsidRPr="00A27BB0">
              <w:rPr>
                <w:rFonts w:cstheme="minorHAnsi"/>
              </w:rPr>
              <w:t>A</w:t>
            </w:r>
            <w:proofErr w:type="gramEnd"/>
            <w:r w:rsidRPr="00A27BB0">
              <w:rPr>
                <w:rFonts w:cstheme="minorHAnsi"/>
              </w:rPr>
              <w:t xml:space="preserve"> Annual Meeting, Parent/Family Engagement Policy, and Stakeholder Engagement in the Cons</w:t>
            </w:r>
            <w:r w:rsidR="00BA719E" w:rsidRPr="00A27BB0">
              <w:rPr>
                <w:rFonts w:cstheme="minorHAnsi"/>
              </w:rPr>
              <w:t xml:space="preserve">olidated </w:t>
            </w:r>
            <w:r w:rsidRPr="00A27BB0">
              <w:rPr>
                <w:rFonts w:cstheme="minorHAnsi"/>
              </w:rPr>
              <w:t>App</w:t>
            </w:r>
            <w:r w:rsidR="00BA719E" w:rsidRPr="00A27BB0">
              <w:rPr>
                <w:rFonts w:cstheme="minorHAnsi"/>
              </w:rPr>
              <w:t>lication</w:t>
            </w:r>
            <w:r w:rsidRPr="00A27BB0">
              <w:rPr>
                <w:rFonts w:cstheme="minorHAnsi"/>
              </w:rPr>
              <w:t xml:space="preserve"> process were challenge areas. </w:t>
            </w:r>
          </w:p>
          <w:p w:rsidR="00783683" w:rsidRDefault="00783683" w:rsidP="0065121D">
            <w:pPr>
              <w:rPr>
                <w:rFonts w:cstheme="minorHAnsi"/>
              </w:rPr>
            </w:pPr>
            <w:r>
              <w:rPr>
                <w:rFonts w:cstheme="minorHAnsi"/>
              </w:rPr>
              <w:t xml:space="preserve">The policy of parent engagement have a district component and a school component that are merged together. The responsibilities need to be separated out and clarified.  </w:t>
            </w:r>
          </w:p>
          <w:p w:rsidR="00783683" w:rsidRPr="001945DF" w:rsidRDefault="00783683" w:rsidP="0065121D">
            <w:pPr>
              <w:rPr>
                <w:rFonts w:cstheme="minorHAnsi"/>
                <w:b/>
                <w:u w:val="single"/>
              </w:rPr>
            </w:pPr>
            <w:proofErr w:type="spellStart"/>
            <w:r w:rsidRPr="001945DF">
              <w:rPr>
                <w:rFonts w:cstheme="minorHAnsi"/>
                <w:b/>
                <w:u w:val="single"/>
              </w:rPr>
              <w:t>CoP</w:t>
            </w:r>
            <w:proofErr w:type="spellEnd"/>
            <w:r w:rsidRPr="001945DF">
              <w:rPr>
                <w:rFonts w:cstheme="minorHAnsi"/>
                <w:b/>
                <w:u w:val="single"/>
              </w:rPr>
              <w:t xml:space="preserve"> Feedback: </w:t>
            </w:r>
          </w:p>
          <w:p w:rsidR="0007136E" w:rsidRPr="00BA719E" w:rsidRDefault="00783683" w:rsidP="00BA719E">
            <w:pPr>
              <w:pStyle w:val="ListParagraph"/>
              <w:numPr>
                <w:ilvl w:val="0"/>
                <w:numId w:val="7"/>
              </w:numPr>
              <w:rPr>
                <w:rFonts w:cstheme="minorHAnsi"/>
              </w:rPr>
            </w:pPr>
            <w:r w:rsidRPr="00BA719E">
              <w:rPr>
                <w:rFonts w:cstheme="minorHAnsi"/>
              </w:rPr>
              <w:t>If there’s not documentation of back-to-school-nights, how can parent/family engagement be proven? (</w:t>
            </w:r>
            <w:r w:rsidR="00B13DCA" w:rsidRPr="00BA719E">
              <w:rPr>
                <w:rFonts w:cstheme="minorHAnsi"/>
              </w:rPr>
              <w:t>Answer: exi</w:t>
            </w:r>
            <w:r w:rsidR="00066DAD" w:rsidRPr="00BA719E">
              <w:rPr>
                <w:rFonts w:cstheme="minorHAnsi"/>
              </w:rPr>
              <w:t>t tickets are useful because schools</w:t>
            </w:r>
            <w:r w:rsidR="00B13DCA" w:rsidRPr="00BA719E">
              <w:rPr>
                <w:rFonts w:cstheme="minorHAnsi"/>
              </w:rPr>
              <w:t xml:space="preserve"> </w:t>
            </w:r>
            <w:r w:rsidRPr="00BA719E">
              <w:rPr>
                <w:rFonts w:cstheme="minorHAnsi"/>
              </w:rPr>
              <w:t>can collect documentation while allowing families to remain anonymous). CDE is looking for creative ways to document parent/family engagement</w:t>
            </w:r>
            <w:r w:rsidR="0007136E" w:rsidRPr="00BA719E">
              <w:rPr>
                <w:rFonts w:cstheme="minorHAnsi"/>
              </w:rPr>
              <w:t xml:space="preserve">. </w:t>
            </w:r>
          </w:p>
          <w:p w:rsidR="00783683" w:rsidRPr="00BA719E" w:rsidRDefault="00783683" w:rsidP="00BA719E">
            <w:pPr>
              <w:pStyle w:val="ListParagraph"/>
              <w:numPr>
                <w:ilvl w:val="0"/>
                <w:numId w:val="7"/>
              </w:numPr>
              <w:rPr>
                <w:rFonts w:cstheme="minorHAnsi"/>
              </w:rPr>
            </w:pPr>
            <w:r w:rsidRPr="00BA719E">
              <w:rPr>
                <w:rFonts w:cstheme="minorHAnsi"/>
              </w:rPr>
              <w:t xml:space="preserve">The parent/family engagement policy is outdated. </w:t>
            </w:r>
          </w:p>
          <w:p w:rsidR="00783683" w:rsidRPr="00BA719E" w:rsidRDefault="00783683" w:rsidP="00BA719E">
            <w:pPr>
              <w:pStyle w:val="ListParagraph"/>
              <w:numPr>
                <w:ilvl w:val="0"/>
                <w:numId w:val="7"/>
              </w:numPr>
              <w:rPr>
                <w:rFonts w:cstheme="minorHAnsi"/>
              </w:rPr>
            </w:pPr>
            <w:r w:rsidRPr="00BA719E">
              <w:rPr>
                <w:rFonts w:cstheme="minorHAnsi"/>
              </w:rPr>
              <w:t xml:space="preserve">Parent advisory council (COMPACT). Parents look at the compact and can provide input. (Show an example of what the compact looked before and after the meetings to document changes provided by the parents). </w:t>
            </w:r>
          </w:p>
          <w:p w:rsidR="00783683" w:rsidRPr="00974AF6" w:rsidRDefault="00783683" w:rsidP="00A27BB0">
            <w:pPr>
              <w:rPr>
                <w:rFonts w:cstheme="minorHAnsi"/>
              </w:rPr>
            </w:pPr>
            <w:r>
              <w:rPr>
                <w:rFonts w:cstheme="minorHAnsi"/>
              </w:rPr>
              <w:t xml:space="preserve">CDE will be seeking advisement from </w:t>
            </w:r>
            <w:proofErr w:type="spellStart"/>
            <w:r>
              <w:rPr>
                <w:rFonts w:cstheme="minorHAnsi"/>
              </w:rPr>
              <w:t>CoP</w:t>
            </w:r>
            <w:proofErr w:type="spellEnd"/>
            <w:r>
              <w:rPr>
                <w:rFonts w:cstheme="minorHAnsi"/>
              </w:rPr>
              <w:t xml:space="preserve"> on documenting parent/family engagement in the future. </w:t>
            </w:r>
          </w:p>
        </w:tc>
      </w:tr>
      <w:tr w:rsidR="00783683" w:rsidRPr="00974AF6" w:rsidTr="006D1635">
        <w:trPr>
          <w:trHeight w:val="1610"/>
        </w:trPr>
        <w:tc>
          <w:tcPr>
            <w:tcW w:w="2145" w:type="dxa"/>
          </w:tcPr>
          <w:p w:rsidR="00783683" w:rsidRDefault="00783683" w:rsidP="0065121D">
            <w:pPr>
              <w:rPr>
                <w:b/>
              </w:rPr>
            </w:pPr>
            <w:r>
              <w:rPr>
                <w:b/>
              </w:rPr>
              <w:lastRenderedPageBreak/>
              <w:t>1:15 – 1:30</w:t>
            </w:r>
          </w:p>
          <w:p w:rsidR="00783683" w:rsidRPr="00BC647F" w:rsidRDefault="00783683" w:rsidP="0065121D">
            <w:pPr>
              <w:rPr>
                <w:b/>
              </w:rPr>
            </w:pPr>
          </w:p>
          <w:p w:rsidR="00783683" w:rsidRDefault="00783683" w:rsidP="0065121D">
            <w:pPr>
              <w:rPr>
                <w:b/>
              </w:rPr>
            </w:pPr>
            <w:r w:rsidRPr="00BC647F">
              <w:rPr>
                <w:b/>
              </w:rPr>
              <w:t xml:space="preserve">Persistently Dangerous </w:t>
            </w:r>
            <w:r>
              <w:rPr>
                <w:b/>
              </w:rPr>
              <w:t xml:space="preserve">School (PDS) </w:t>
            </w:r>
            <w:r w:rsidRPr="00BC647F">
              <w:rPr>
                <w:b/>
              </w:rPr>
              <w:t>Data</w:t>
            </w:r>
          </w:p>
          <w:p w:rsidR="00783683" w:rsidRPr="00BC647F" w:rsidRDefault="00783683" w:rsidP="0065121D">
            <w:pPr>
              <w:rPr>
                <w:rFonts w:cstheme="minorHAnsi"/>
              </w:rPr>
            </w:pPr>
            <w:r>
              <w:t>Tina Negley, Nazie Mohajeri-Nelson</w:t>
            </w:r>
          </w:p>
        </w:tc>
        <w:tc>
          <w:tcPr>
            <w:tcW w:w="2001" w:type="dxa"/>
          </w:tcPr>
          <w:p w:rsidR="00783683" w:rsidRPr="00974AF6" w:rsidRDefault="00783683" w:rsidP="0065121D">
            <w:pPr>
              <w:rPr>
                <w:rFonts w:cstheme="minorHAnsi"/>
              </w:rPr>
            </w:pPr>
            <w:proofErr w:type="spellStart"/>
            <w:r>
              <w:rPr>
                <w:rFonts w:cstheme="minorHAnsi"/>
              </w:rPr>
              <w:t>CoP</w:t>
            </w:r>
            <w:proofErr w:type="spellEnd"/>
            <w:r>
              <w:rPr>
                <w:rFonts w:cstheme="minorHAnsi"/>
              </w:rPr>
              <w:t xml:space="preserve"> will be briefed on the Persistently Dangerous School Data. A small working group will be identified for a May 23rd meeting.</w:t>
            </w:r>
          </w:p>
        </w:tc>
        <w:tc>
          <w:tcPr>
            <w:tcW w:w="6829" w:type="dxa"/>
          </w:tcPr>
          <w:p w:rsidR="00783683" w:rsidRDefault="00783683" w:rsidP="0065121D">
            <w:pPr>
              <w:rPr>
                <w:rFonts w:cstheme="minorHAnsi"/>
              </w:rPr>
            </w:pPr>
            <w:r>
              <w:rPr>
                <w:rFonts w:cstheme="minorHAnsi"/>
              </w:rPr>
              <w:t xml:space="preserve">This is an overview of persistently of dangerous school data, in particular to revise the current definition.  </w:t>
            </w:r>
          </w:p>
          <w:p w:rsidR="00783683" w:rsidRPr="00521C02" w:rsidRDefault="00521C02" w:rsidP="0065121D">
            <w:pPr>
              <w:rPr>
                <w:rFonts w:cstheme="minorHAnsi"/>
                <w:i/>
              </w:rPr>
            </w:pPr>
            <w:r w:rsidRPr="00521C02">
              <w:rPr>
                <w:rFonts w:cstheme="minorHAnsi"/>
                <w:i/>
              </w:rPr>
              <w:t>(</w:t>
            </w:r>
            <w:r w:rsidR="00783683" w:rsidRPr="00521C02">
              <w:rPr>
                <w:rFonts w:cstheme="minorHAnsi"/>
                <w:i/>
              </w:rPr>
              <w:t>Refer to the ESSA Requi</w:t>
            </w:r>
            <w:r w:rsidRPr="00521C02">
              <w:rPr>
                <w:rFonts w:cstheme="minorHAnsi"/>
                <w:i/>
              </w:rPr>
              <w:t xml:space="preserve">rements Sec. 8532 and Sec. 4106). </w:t>
            </w:r>
            <w:r w:rsidR="00783683" w:rsidRPr="00521C02">
              <w:rPr>
                <w:rFonts w:cstheme="minorHAnsi"/>
                <w:i/>
              </w:rPr>
              <w:t xml:space="preserve">  </w:t>
            </w:r>
          </w:p>
          <w:p w:rsidR="00783683" w:rsidRDefault="001D1985" w:rsidP="0065121D">
            <w:pPr>
              <w:rPr>
                <w:rFonts w:cstheme="minorHAnsi"/>
              </w:rPr>
            </w:pPr>
            <w:r>
              <w:rPr>
                <w:rFonts w:cstheme="minorHAnsi"/>
              </w:rPr>
              <w:t>The current definition of persistently dangerous was written</w:t>
            </w:r>
            <w:r w:rsidR="00783683">
              <w:rPr>
                <w:rFonts w:cstheme="minorHAnsi"/>
              </w:rPr>
              <w:t xml:space="preserve"> in May 2003. </w:t>
            </w:r>
            <w:r>
              <w:rPr>
                <w:rFonts w:cstheme="minorHAnsi"/>
              </w:rPr>
              <w:t>It c</w:t>
            </w:r>
            <w:r w:rsidR="00783683">
              <w:rPr>
                <w:rFonts w:cstheme="minorHAnsi"/>
              </w:rPr>
              <w:t xml:space="preserve">alculates </w:t>
            </w:r>
            <w:r>
              <w:rPr>
                <w:rFonts w:cstheme="minorHAnsi"/>
              </w:rPr>
              <w:t>three</w:t>
            </w:r>
            <w:r w:rsidR="00783683">
              <w:rPr>
                <w:rFonts w:cstheme="minorHAnsi"/>
              </w:rPr>
              <w:t xml:space="preserve"> different categories (Alcohol violations</w:t>
            </w:r>
            <w:r w:rsidR="008D5C2D">
              <w:rPr>
                <w:rFonts w:cstheme="minorHAnsi"/>
              </w:rPr>
              <w:t>, Expulsions for firearms, and the number</w:t>
            </w:r>
            <w:r w:rsidR="00783683">
              <w:rPr>
                <w:rFonts w:cstheme="minorHAnsi"/>
              </w:rPr>
              <w:t xml:space="preserve"> of employees engaging in unlawful behavior). </w:t>
            </w:r>
          </w:p>
          <w:p w:rsidR="00783683" w:rsidRDefault="00783683" w:rsidP="0065121D">
            <w:pPr>
              <w:rPr>
                <w:rFonts w:cstheme="minorHAnsi"/>
              </w:rPr>
            </w:pPr>
            <w:r>
              <w:rPr>
                <w:rFonts w:cstheme="minorHAnsi"/>
              </w:rPr>
              <w:t xml:space="preserve">CDE will notify school districts if they have the potential of being persistently dangerous. </w:t>
            </w:r>
          </w:p>
          <w:p w:rsidR="00521C02" w:rsidRDefault="00783683" w:rsidP="0065121D">
            <w:pPr>
              <w:rPr>
                <w:rFonts w:cstheme="minorHAnsi"/>
              </w:rPr>
            </w:pPr>
            <w:r>
              <w:rPr>
                <w:rFonts w:cstheme="minorHAnsi"/>
              </w:rPr>
              <w:t xml:space="preserve">No school has been identified as “persistently dangerous” under this current definition.  </w:t>
            </w:r>
          </w:p>
          <w:p w:rsidR="00783683" w:rsidRPr="009B15DF" w:rsidRDefault="00783683" w:rsidP="0065121D">
            <w:pPr>
              <w:rPr>
                <w:rFonts w:cstheme="minorHAnsi"/>
                <w:b/>
                <w:u w:val="single"/>
              </w:rPr>
            </w:pPr>
            <w:proofErr w:type="spellStart"/>
            <w:r w:rsidRPr="009B15DF">
              <w:rPr>
                <w:rFonts w:cstheme="minorHAnsi"/>
                <w:b/>
                <w:u w:val="single"/>
              </w:rPr>
              <w:t>CoP</w:t>
            </w:r>
            <w:proofErr w:type="spellEnd"/>
            <w:r w:rsidRPr="009B15DF">
              <w:rPr>
                <w:rFonts w:cstheme="minorHAnsi"/>
                <w:b/>
                <w:u w:val="single"/>
              </w:rPr>
              <w:t xml:space="preserve"> Feedback: </w:t>
            </w:r>
          </w:p>
          <w:p w:rsidR="00783683" w:rsidRPr="00521C02" w:rsidRDefault="00783683" w:rsidP="00521C02">
            <w:pPr>
              <w:pStyle w:val="ListParagraph"/>
              <w:numPr>
                <w:ilvl w:val="0"/>
                <w:numId w:val="9"/>
              </w:numPr>
              <w:rPr>
                <w:rFonts w:cstheme="minorHAnsi"/>
              </w:rPr>
            </w:pPr>
            <w:r w:rsidRPr="00521C02">
              <w:rPr>
                <w:rFonts w:cstheme="minorHAnsi"/>
              </w:rPr>
              <w:t xml:space="preserve">Since schools self-report this information, how do we ensure that these incidents are being reported? </w:t>
            </w:r>
          </w:p>
          <w:p w:rsidR="00783683" w:rsidRDefault="00783683" w:rsidP="00521C02">
            <w:pPr>
              <w:pStyle w:val="ListParagraph"/>
              <w:numPr>
                <w:ilvl w:val="0"/>
                <w:numId w:val="9"/>
              </w:numPr>
              <w:rPr>
                <w:rFonts w:cstheme="minorHAnsi"/>
              </w:rPr>
            </w:pPr>
            <w:r w:rsidRPr="00521C02">
              <w:rPr>
                <w:rFonts w:cstheme="minorHAnsi"/>
              </w:rPr>
              <w:lastRenderedPageBreak/>
              <w:t>This is geared toward secondary schools. Is the assumption that secondary schools are unsafe? What is the goal of the persistently dangerous schools? (</w:t>
            </w:r>
            <w:r w:rsidR="00945FFA" w:rsidRPr="00521C02">
              <w:rPr>
                <w:rFonts w:cstheme="minorHAnsi"/>
              </w:rPr>
              <w:t>Answer: This was previously a requirement under NCLB and the requirement still exists</w:t>
            </w:r>
            <w:r w:rsidR="005C7DC6">
              <w:rPr>
                <w:rFonts w:cstheme="minorHAnsi"/>
              </w:rPr>
              <w:t xml:space="preserve">. If a school is identified as PD, parents must be given a safe school choice). </w:t>
            </w:r>
          </w:p>
          <w:p w:rsidR="004A5E42" w:rsidRPr="004A5E42" w:rsidRDefault="004A5E42" w:rsidP="004A5E42">
            <w:pPr>
              <w:rPr>
                <w:rFonts w:cstheme="minorHAnsi"/>
              </w:rPr>
            </w:pPr>
            <w:r>
              <w:rPr>
                <w:rFonts w:cstheme="minorHAnsi"/>
              </w:rPr>
              <w:t xml:space="preserve">A </w:t>
            </w:r>
            <w:proofErr w:type="spellStart"/>
            <w:r>
              <w:rPr>
                <w:rFonts w:cstheme="minorHAnsi"/>
              </w:rPr>
              <w:t>CoP</w:t>
            </w:r>
            <w:proofErr w:type="spellEnd"/>
            <w:r>
              <w:rPr>
                <w:rFonts w:cstheme="minorHAnsi"/>
              </w:rPr>
              <w:t xml:space="preserve"> Subcommittee will convene on May 23</w:t>
            </w:r>
            <w:r w:rsidRPr="004A5E42">
              <w:rPr>
                <w:rFonts w:cstheme="minorHAnsi"/>
                <w:vertAlign w:val="superscript"/>
              </w:rPr>
              <w:t>rd</w:t>
            </w:r>
            <w:r>
              <w:rPr>
                <w:rFonts w:cstheme="minorHAnsi"/>
              </w:rPr>
              <w:t xml:space="preserve"> to work on the definition of “Persistently Dangerous.” </w:t>
            </w:r>
          </w:p>
          <w:p w:rsidR="00783683" w:rsidRPr="009E2C2F" w:rsidRDefault="00783683" w:rsidP="0065121D">
            <w:pPr>
              <w:rPr>
                <w:rFonts w:cstheme="minorHAnsi"/>
                <w:b/>
                <w:u w:val="single"/>
              </w:rPr>
            </w:pPr>
            <w:r w:rsidRPr="009E2C2F">
              <w:rPr>
                <w:rFonts w:cstheme="minorHAnsi"/>
                <w:b/>
                <w:u w:val="single"/>
              </w:rPr>
              <w:t xml:space="preserve">Chronic Absenteeism: </w:t>
            </w:r>
          </w:p>
          <w:p w:rsidR="00783683" w:rsidRDefault="002D43A7" w:rsidP="0065121D">
            <w:pPr>
              <w:rPr>
                <w:rFonts w:cstheme="minorHAnsi"/>
              </w:rPr>
            </w:pPr>
            <w:r>
              <w:rPr>
                <w:rFonts w:cstheme="minorHAnsi"/>
              </w:rPr>
              <w:t>There are c</w:t>
            </w:r>
            <w:r w:rsidR="00783683">
              <w:rPr>
                <w:rFonts w:cstheme="minorHAnsi"/>
              </w:rPr>
              <w:t>oncerns over data quality. For instance</w:t>
            </w:r>
            <w:r w:rsidR="004A5E42">
              <w:rPr>
                <w:rFonts w:cstheme="minorHAnsi"/>
              </w:rPr>
              <w:t xml:space="preserve">, many schools were reporting zero absenteeism cases </w:t>
            </w:r>
            <w:r w:rsidR="00783683">
              <w:rPr>
                <w:rFonts w:cstheme="minorHAnsi"/>
              </w:rPr>
              <w:t xml:space="preserve">or </w:t>
            </w:r>
            <w:r w:rsidR="004A5E42">
              <w:rPr>
                <w:rFonts w:cstheme="minorHAnsi"/>
              </w:rPr>
              <w:t xml:space="preserve">claiming </w:t>
            </w:r>
            <w:r w:rsidR="00783683">
              <w:rPr>
                <w:rFonts w:cstheme="minorHAnsi"/>
              </w:rPr>
              <w:t xml:space="preserve">chronic absenteeism counts that exceeded their attendance counts for the whole year. Other districts thought that this would mitigate the burden of collecting data sources.  </w:t>
            </w:r>
          </w:p>
          <w:p w:rsidR="00D808DA" w:rsidRDefault="00783683" w:rsidP="0065121D">
            <w:pPr>
              <w:rPr>
                <w:rFonts w:cstheme="minorHAnsi"/>
                <w:b/>
                <w:u w:val="single"/>
              </w:rPr>
            </w:pPr>
            <w:r w:rsidRPr="00E17753">
              <w:rPr>
                <w:rFonts w:cstheme="minorHAnsi"/>
                <w:b/>
                <w:u w:val="single"/>
              </w:rPr>
              <w:t xml:space="preserve">ESEA Report Cards: </w:t>
            </w:r>
          </w:p>
          <w:p w:rsidR="00783683" w:rsidRPr="00974AF6" w:rsidRDefault="00783683" w:rsidP="004A5E42">
            <w:pPr>
              <w:rPr>
                <w:rFonts w:cstheme="minorHAnsi"/>
              </w:rPr>
            </w:pPr>
            <w:r>
              <w:rPr>
                <w:rFonts w:cstheme="minorHAnsi"/>
              </w:rPr>
              <w:t xml:space="preserve">Available at the district and state level.  </w:t>
            </w:r>
          </w:p>
        </w:tc>
      </w:tr>
      <w:tr w:rsidR="00783683" w:rsidRPr="00974AF6" w:rsidTr="006D1635">
        <w:trPr>
          <w:trHeight w:val="1610"/>
        </w:trPr>
        <w:tc>
          <w:tcPr>
            <w:tcW w:w="2145" w:type="dxa"/>
          </w:tcPr>
          <w:p w:rsidR="00783683" w:rsidRDefault="00783683" w:rsidP="0065121D">
            <w:pPr>
              <w:rPr>
                <w:b/>
              </w:rPr>
            </w:pPr>
            <w:r>
              <w:rPr>
                <w:b/>
              </w:rPr>
              <w:lastRenderedPageBreak/>
              <w:t>1:30 – 2:15</w:t>
            </w:r>
          </w:p>
          <w:p w:rsidR="00783683" w:rsidRDefault="00783683" w:rsidP="0065121D">
            <w:pPr>
              <w:rPr>
                <w:b/>
              </w:rPr>
            </w:pPr>
            <w:r w:rsidRPr="00F149D7">
              <w:rPr>
                <w:b/>
              </w:rPr>
              <w:t>Comparability: Ideas regarding how can LEAs do their own analysis?</w:t>
            </w:r>
          </w:p>
          <w:p w:rsidR="00783683" w:rsidRPr="00F149D7" w:rsidRDefault="00783683" w:rsidP="0065121D">
            <w:pPr>
              <w:rPr>
                <w:rFonts w:cstheme="minorHAnsi"/>
              </w:rPr>
            </w:pPr>
            <w:r>
              <w:t>Tina Negley, Nazie Mohajeri-Nelson</w:t>
            </w:r>
          </w:p>
        </w:tc>
        <w:tc>
          <w:tcPr>
            <w:tcW w:w="2001" w:type="dxa"/>
          </w:tcPr>
          <w:p w:rsidR="00783683" w:rsidRDefault="00783683" w:rsidP="0065121D">
            <w:pPr>
              <w:rPr>
                <w:rFonts w:cstheme="minorHAnsi"/>
              </w:rPr>
            </w:pPr>
            <w:proofErr w:type="spellStart"/>
            <w:r>
              <w:rPr>
                <w:rFonts w:cstheme="minorHAnsi"/>
              </w:rPr>
              <w:t>CoP</w:t>
            </w:r>
            <w:proofErr w:type="spellEnd"/>
            <w:r>
              <w:rPr>
                <w:rFonts w:cstheme="minorHAnsi"/>
              </w:rPr>
              <w:t xml:space="preserve"> will provide input regarding LEA Comparability analysis.</w:t>
            </w:r>
          </w:p>
          <w:p w:rsidR="00783683" w:rsidRPr="00974AF6" w:rsidRDefault="00783683" w:rsidP="0065121D">
            <w:pPr>
              <w:rPr>
                <w:rFonts w:cstheme="minorHAnsi"/>
              </w:rPr>
            </w:pPr>
            <w:r>
              <w:rPr>
                <w:rFonts w:cstheme="minorHAnsi"/>
              </w:rPr>
              <w:t>CDE presenters will provide context prior to open discussion and brainstorming session.</w:t>
            </w:r>
          </w:p>
        </w:tc>
        <w:tc>
          <w:tcPr>
            <w:tcW w:w="6829" w:type="dxa"/>
          </w:tcPr>
          <w:p w:rsidR="00783683" w:rsidRDefault="00783683" w:rsidP="0065121D">
            <w:r>
              <w:t xml:space="preserve">Note: CDE is reaching out to BRUMAN regarding implementation timelines and data timing challenges. </w:t>
            </w:r>
          </w:p>
          <w:p w:rsidR="00783683" w:rsidRDefault="00783683" w:rsidP="0065121D">
            <w:r>
              <w:t xml:space="preserve">The Comparability requirements did not change from NCLB to ESSA.  </w:t>
            </w:r>
          </w:p>
          <w:p w:rsidR="00783683" w:rsidRDefault="006714FB" w:rsidP="0065121D">
            <w:r>
              <w:t>Guidance from 2015</w:t>
            </w:r>
            <w:r w:rsidR="00783683">
              <w:t xml:space="preserve"> is still in effect. </w:t>
            </w:r>
          </w:p>
          <w:p w:rsidR="00783683" w:rsidRDefault="005C7DC6" w:rsidP="0065121D">
            <w:r>
              <w:t>Districts sign assurances each year in the Cons App that they meet comparability. ESSA requires that any comparability issues be addressed early in the school year. That timeline does not allow for CDE to condu</w:t>
            </w:r>
            <w:r w:rsidR="007E754E">
              <w:t xml:space="preserve">ct the analyses in late spring </w:t>
            </w:r>
            <w:r>
              <w:t xml:space="preserve">and notify LEAs if they are not comparable. </w:t>
            </w:r>
          </w:p>
          <w:p w:rsidR="00885988" w:rsidRDefault="00783683" w:rsidP="0065121D">
            <w:pPr>
              <w:rPr>
                <w:b/>
                <w:u w:val="single"/>
              </w:rPr>
            </w:pPr>
            <w:proofErr w:type="spellStart"/>
            <w:r w:rsidRPr="000B299C">
              <w:rPr>
                <w:b/>
                <w:u w:val="single"/>
              </w:rPr>
              <w:t>CoP</w:t>
            </w:r>
            <w:proofErr w:type="spellEnd"/>
            <w:r w:rsidRPr="000B299C">
              <w:rPr>
                <w:b/>
                <w:u w:val="single"/>
              </w:rPr>
              <w:t xml:space="preserve"> Feedback: </w:t>
            </w:r>
          </w:p>
          <w:p w:rsidR="00783683" w:rsidRPr="00885988" w:rsidRDefault="00783683" w:rsidP="00885988">
            <w:pPr>
              <w:pStyle w:val="ListParagraph"/>
              <w:numPr>
                <w:ilvl w:val="0"/>
                <w:numId w:val="10"/>
              </w:numPr>
              <w:rPr>
                <w:b/>
                <w:u w:val="single"/>
              </w:rPr>
            </w:pPr>
            <w:r>
              <w:t xml:space="preserve">For 2021 cons app, there should be a checkbox for comparability. </w:t>
            </w:r>
          </w:p>
          <w:p w:rsidR="00783683" w:rsidRDefault="00783683" w:rsidP="00885988">
            <w:pPr>
              <w:pStyle w:val="ListParagraph"/>
              <w:numPr>
                <w:ilvl w:val="0"/>
                <w:numId w:val="10"/>
              </w:numPr>
            </w:pPr>
            <w:r>
              <w:t>Can any portion of administrative costs for charter schools be considered for instruction?</w:t>
            </w:r>
          </w:p>
          <w:p w:rsidR="00783683" w:rsidRPr="007811EA" w:rsidRDefault="00783683" w:rsidP="0065121D">
            <w:r w:rsidRPr="00D1304F">
              <w:rPr>
                <w:b/>
              </w:rPr>
              <w:t>Next steps:</w:t>
            </w:r>
            <w:r>
              <w:t xml:space="preserve"> The ESEA office will develop communications to go out to the LEAs on comparability and available trainings. </w:t>
            </w:r>
          </w:p>
        </w:tc>
      </w:tr>
      <w:tr w:rsidR="00783683" w:rsidRPr="00974AF6" w:rsidTr="006D1635">
        <w:trPr>
          <w:trHeight w:val="1610"/>
        </w:trPr>
        <w:tc>
          <w:tcPr>
            <w:tcW w:w="2145" w:type="dxa"/>
          </w:tcPr>
          <w:p w:rsidR="00783683" w:rsidRDefault="00783683" w:rsidP="0065121D">
            <w:pPr>
              <w:rPr>
                <w:rFonts w:cstheme="minorHAnsi"/>
                <w:b/>
              </w:rPr>
            </w:pPr>
            <w:r>
              <w:rPr>
                <w:rFonts w:cstheme="minorHAnsi"/>
                <w:b/>
              </w:rPr>
              <w:lastRenderedPageBreak/>
              <w:t xml:space="preserve">2:15 – 2:30 </w:t>
            </w:r>
          </w:p>
          <w:p w:rsidR="00783683" w:rsidRDefault="00783683" w:rsidP="0065121D">
            <w:pPr>
              <w:rPr>
                <w:b/>
              </w:rPr>
            </w:pPr>
            <w:r w:rsidRPr="00A247BD">
              <w:rPr>
                <w:b/>
              </w:rPr>
              <w:t>EDT – Guidance Documents update for follow up conversation in August</w:t>
            </w:r>
          </w:p>
          <w:p w:rsidR="00783683" w:rsidRPr="00A247BD" w:rsidRDefault="00783683" w:rsidP="0065121D">
            <w:pPr>
              <w:rPr>
                <w:rFonts w:cstheme="minorHAnsi"/>
              </w:rPr>
            </w:pPr>
            <w:r>
              <w:t>Jeremy Meredith, Nazie Mohajeri-Nelson</w:t>
            </w:r>
          </w:p>
        </w:tc>
        <w:tc>
          <w:tcPr>
            <w:tcW w:w="2001" w:type="dxa"/>
          </w:tcPr>
          <w:p w:rsidR="00783683" w:rsidRPr="00974AF6" w:rsidRDefault="00783683" w:rsidP="0065121D">
            <w:pPr>
              <w:rPr>
                <w:rFonts w:cstheme="minorHAnsi"/>
              </w:rPr>
            </w:pPr>
            <w:proofErr w:type="spellStart"/>
            <w:r>
              <w:rPr>
                <w:rFonts w:cstheme="minorHAnsi"/>
              </w:rPr>
              <w:t>CoP</w:t>
            </w:r>
            <w:proofErr w:type="spellEnd"/>
            <w:r>
              <w:rPr>
                <w:rFonts w:cstheme="minorHAnsi"/>
              </w:rPr>
              <w:t xml:space="preserve"> will be updated on EDT Guidance in preparation for a follow up conversation in August.</w:t>
            </w:r>
          </w:p>
        </w:tc>
        <w:tc>
          <w:tcPr>
            <w:tcW w:w="6829" w:type="dxa"/>
          </w:tcPr>
          <w:p w:rsidR="00783683" w:rsidRDefault="00783683" w:rsidP="0065121D">
            <w:pPr>
              <w:rPr>
                <w:rFonts w:cstheme="minorHAnsi"/>
              </w:rPr>
            </w:pPr>
            <w:r>
              <w:rPr>
                <w:rFonts w:cstheme="minorHAnsi"/>
              </w:rPr>
              <w:t xml:space="preserve">This is an update on the EDT Guidance from </w:t>
            </w:r>
            <w:proofErr w:type="spellStart"/>
            <w:r>
              <w:rPr>
                <w:rFonts w:cstheme="minorHAnsi"/>
              </w:rPr>
              <w:t>CoP</w:t>
            </w:r>
            <w:proofErr w:type="spellEnd"/>
            <w:r>
              <w:rPr>
                <w:rFonts w:cstheme="minorHAnsi"/>
              </w:rPr>
              <w:t xml:space="preserve"> at last meeting.  </w:t>
            </w:r>
          </w:p>
          <w:p w:rsidR="00783683" w:rsidRPr="006C4E59" w:rsidRDefault="00783683" w:rsidP="0065121D">
            <w:pPr>
              <w:rPr>
                <w:rFonts w:cstheme="minorHAnsi"/>
                <w:b/>
                <w:u w:val="single"/>
              </w:rPr>
            </w:pPr>
            <w:proofErr w:type="spellStart"/>
            <w:r w:rsidRPr="006C4E59">
              <w:rPr>
                <w:rFonts w:cstheme="minorHAnsi"/>
                <w:b/>
                <w:u w:val="single"/>
              </w:rPr>
              <w:t>CoP</w:t>
            </w:r>
            <w:proofErr w:type="spellEnd"/>
            <w:r w:rsidRPr="006C4E59">
              <w:rPr>
                <w:rFonts w:cstheme="minorHAnsi"/>
                <w:b/>
                <w:u w:val="single"/>
              </w:rPr>
              <w:t xml:space="preserve"> Feedback: </w:t>
            </w:r>
          </w:p>
          <w:p w:rsidR="00783683" w:rsidRPr="00BF1841" w:rsidRDefault="00783683" w:rsidP="00BF1841">
            <w:pPr>
              <w:pStyle w:val="ListParagraph"/>
              <w:numPr>
                <w:ilvl w:val="0"/>
                <w:numId w:val="11"/>
              </w:numPr>
              <w:rPr>
                <w:rFonts w:cstheme="minorHAnsi"/>
              </w:rPr>
            </w:pPr>
            <w:r w:rsidRPr="00BF1841">
              <w:rPr>
                <w:rFonts w:cstheme="minorHAnsi"/>
              </w:rPr>
              <w:t xml:space="preserve">Is there any progress on effectiveness? (CDE will explore other data points to use as a comparison). </w:t>
            </w:r>
          </w:p>
          <w:p w:rsidR="00783683" w:rsidRPr="00BF1841" w:rsidRDefault="00783683" w:rsidP="00BF1841">
            <w:pPr>
              <w:pStyle w:val="ListParagraph"/>
              <w:numPr>
                <w:ilvl w:val="0"/>
                <w:numId w:val="11"/>
              </w:numPr>
              <w:rPr>
                <w:rFonts w:cstheme="minorHAnsi"/>
              </w:rPr>
            </w:pPr>
            <w:r w:rsidRPr="00BF1841">
              <w:rPr>
                <w:rFonts w:cstheme="minorHAnsi"/>
              </w:rPr>
              <w:t xml:space="preserve">How do charter schools factor into this? (Charter schools are not factored in). </w:t>
            </w:r>
          </w:p>
          <w:p w:rsidR="00783683" w:rsidRPr="000B299C" w:rsidRDefault="00783683" w:rsidP="00BF1841">
            <w:pPr>
              <w:pStyle w:val="ListParagraph"/>
              <w:numPr>
                <w:ilvl w:val="0"/>
                <w:numId w:val="11"/>
              </w:numPr>
              <w:rPr>
                <w:rFonts w:cstheme="minorHAnsi"/>
              </w:rPr>
            </w:pPr>
            <w:r w:rsidRPr="00BF1841">
              <w:rPr>
                <w:rFonts w:cstheme="minorHAnsi"/>
              </w:rPr>
              <w:t xml:space="preserve">Is there a way to streamline this and have the same team review just the EDT question in the consolidated application? </w:t>
            </w:r>
          </w:p>
        </w:tc>
      </w:tr>
      <w:tr w:rsidR="00783683" w:rsidRPr="00974AF6" w:rsidTr="006D1635">
        <w:trPr>
          <w:trHeight w:val="1610"/>
        </w:trPr>
        <w:tc>
          <w:tcPr>
            <w:tcW w:w="2145" w:type="dxa"/>
          </w:tcPr>
          <w:p w:rsidR="00783683" w:rsidRPr="00BF5BE3" w:rsidRDefault="00783683" w:rsidP="0065121D">
            <w:pPr>
              <w:rPr>
                <w:rFonts w:cstheme="minorHAnsi"/>
                <w:b/>
              </w:rPr>
            </w:pPr>
            <w:r w:rsidRPr="00BF5BE3">
              <w:rPr>
                <w:rFonts w:cstheme="minorHAnsi"/>
                <w:b/>
              </w:rPr>
              <w:t>2:30 – 3:00</w:t>
            </w:r>
          </w:p>
          <w:p w:rsidR="00783683" w:rsidRDefault="00783683" w:rsidP="0065121D">
            <w:r w:rsidRPr="00BF5BE3">
              <w:rPr>
                <w:b/>
              </w:rPr>
              <w:t>Open discussion: What do you need as the CoP to do your job effectively?</w:t>
            </w:r>
            <w:r>
              <w:t xml:space="preserve">  </w:t>
            </w:r>
          </w:p>
          <w:p w:rsidR="00783683" w:rsidRPr="00974AF6" w:rsidRDefault="00783683" w:rsidP="0065121D">
            <w:pPr>
              <w:rPr>
                <w:rFonts w:cstheme="minorHAnsi"/>
              </w:rPr>
            </w:pPr>
            <w:r>
              <w:t>Pat Chapman, Brad Bylsma</w:t>
            </w:r>
          </w:p>
        </w:tc>
        <w:tc>
          <w:tcPr>
            <w:tcW w:w="2001" w:type="dxa"/>
          </w:tcPr>
          <w:p w:rsidR="00783683" w:rsidRPr="00974AF6" w:rsidRDefault="00783683" w:rsidP="0065121D">
            <w:pPr>
              <w:rPr>
                <w:rFonts w:cstheme="minorHAnsi"/>
              </w:rPr>
            </w:pPr>
            <w:proofErr w:type="spellStart"/>
            <w:r>
              <w:rPr>
                <w:rFonts w:cstheme="minorHAnsi"/>
              </w:rPr>
              <w:t>CoP</w:t>
            </w:r>
            <w:proofErr w:type="spellEnd"/>
            <w:r>
              <w:rPr>
                <w:rFonts w:cstheme="minorHAnsi"/>
              </w:rPr>
              <w:t xml:space="preserve"> will provide input regarding their needs in order to be effective CoP members.</w:t>
            </w:r>
          </w:p>
        </w:tc>
        <w:tc>
          <w:tcPr>
            <w:tcW w:w="6829" w:type="dxa"/>
          </w:tcPr>
          <w:p w:rsidR="00783683" w:rsidRPr="00714B97" w:rsidRDefault="00783683" w:rsidP="0065121D">
            <w:pPr>
              <w:rPr>
                <w:rFonts w:cstheme="minorHAnsi"/>
                <w:b/>
                <w:u w:val="single"/>
              </w:rPr>
            </w:pPr>
            <w:proofErr w:type="spellStart"/>
            <w:r w:rsidRPr="00714B97">
              <w:rPr>
                <w:rFonts w:cstheme="minorHAnsi"/>
                <w:b/>
                <w:u w:val="single"/>
              </w:rPr>
              <w:t>CoP</w:t>
            </w:r>
            <w:proofErr w:type="spellEnd"/>
            <w:r w:rsidRPr="00714B97">
              <w:rPr>
                <w:rFonts w:cstheme="minorHAnsi"/>
                <w:b/>
                <w:u w:val="single"/>
              </w:rPr>
              <w:t xml:space="preserve"> Feedback: </w:t>
            </w:r>
          </w:p>
          <w:p w:rsidR="00783683" w:rsidRPr="0082432B" w:rsidRDefault="00783683" w:rsidP="0082432B">
            <w:pPr>
              <w:pStyle w:val="ListParagraph"/>
              <w:numPr>
                <w:ilvl w:val="0"/>
                <w:numId w:val="12"/>
              </w:numPr>
              <w:rPr>
                <w:rFonts w:cstheme="minorHAnsi"/>
              </w:rPr>
            </w:pPr>
            <w:r w:rsidRPr="0082432B">
              <w:rPr>
                <w:rFonts w:cstheme="minorHAnsi"/>
              </w:rPr>
              <w:t xml:space="preserve">Every other month is a possibility. </w:t>
            </w:r>
          </w:p>
          <w:p w:rsidR="00783683" w:rsidRDefault="00783683" w:rsidP="0082432B">
            <w:pPr>
              <w:pStyle w:val="ListParagraph"/>
              <w:numPr>
                <w:ilvl w:val="0"/>
                <w:numId w:val="12"/>
              </w:numPr>
              <w:rPr>
                <w:rFonts w:cstheme="minorHAnsi"/>
              </w:rPr>
            </w:pPr>
            <w:r w:rsidRPr="0082432B">
              <w:rPr>
                <w:rFonts w:cstheme="minorHAnsi"/>
              </w:rPr>
              <w:t xml:space="preserve">Hearing from other units is valuable. Please provide more opportunities to hear from other units when it pertains to the work. </w:t>
            </w:r>
          </w:p>
          <w:p w:rsidR="00783683" w:rsidRPr="0082432B" w:rsidRDefault="00783683" w:rsidP="0082432B">
            <w:pPr>
              <w:pStyle w:val="ListParagraph"/>
              <w:numPr>
                <w:ilvl w:val="0"/>
                <w:numId w:val="12"/>
              </w:numPr>
              <w:rPr>
                <w:rFonts w:cstheme="minorHAnsi"/>
              </w:rPr>
            </w:pPr>
            <w:r w:rsidRPr="0082432B">
              <w:rPr>
                <w:rFonts w:cstheme="minorHAnsi"/>
              </w:rPr>
              <w:t xml:space="preserve">How does a five-meeting span match the needs of the department? </w:t>
            </w:r>
          </w:p>
          <w:p w:rsidR="00783683" w:rsidRPr="00974AF6" w:rsidRDefault="0082432B" w:rsidP="003627C1">
            <w:pPr>
              <w:rPr>
                <w:rFonts w:cstheme="minorHAnsi"/>
              </w:rPr>
            </w:pPr>
            <w:r>
              <w:rPr>
                <w:rFonts w:cstheme="minorHAnsi"/>
              </w:rPr>
              <w:t>The 2019-2020 meeting dates will be decided during the May</w:t>
            </w:r>
            <w:r w:rsidR="003627C1">
              <w:rPr>
                <w:rFonts w:cstheme="minorHAnsi"/>
              </w:rPr>
              <w:t xml:space="preserve"> 23</w:t>
            </w:r>
            <w:r w:rsidR="003627C1" w:rsidRPr="003627C1">
              <w:rPr>
                <w:rFonts w:cstheme="minorHAnsi"/>
                <w:vertAlign w:val="superscript"/>
              </w:rPr>
              <w:t>rd</w:t>
            </w:r>
            <w:r w:rsidR="003627C1">
              <w:rPr>
                <w:rFonts w:cstheme="minorHAnsi"/>
              </w:rPr>
              <w:t xml:space="preserve"> </w:t>
            </w:r>
            <w:r>
              <w:rPr>
                <w:rFonts w:cstheme="minorHAnsi"/>
              </w:rPr>
              <w:t xml:space="preserve">virtual meeting. </w:t>
            </w:r>
          </w:p>
        </w:tc>
      </w:tr>
    </w:tbl>
    <w:p w:rsidR="00401814" w:rsidRPr="00974AF6" w:rsidRDefault="00401814" w:rsidP="00974AF6">
      <w:pPr>
        <w:jc w:val="center"/>
        <w:rPr>
          <w:rFonts w:cstheme="minorHAnsi"/>
        </w:rPr>
      </w:pPr>
      <w:bookmarkStart w:id="0" w:name="_GoBack"/>
      <w:bookmarkEnd w:id="0"/>
    </w:p>
    <w:sectPr w:rsidR="00401814" w:rsidRPr="00974AF6" w:rsidSect="0040181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32C" w:rsidRDefault="000C332C" w:rsidP="00401814">
      <w:pPr>
        <w:spacing w:after="0" w:line="240" w:lineRule="auto"/>
      </w:pPr>
      <w:r>
        <w:separator/>
      </w:r>
    </w:p>
  </w:endnote>
  <w:endnote w:type="continuationSeparator" w:id="0">
    <w:p w:rsidR="000C332C" w:rsidRDefault="000C332C" w:rsidP="0040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useo Slab 500">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32C" w:rsidRDefault="000C332C" w:rsidP="00401814">
      <w:pPr>
        <w:spacing w:after="0" w:line="240" w:lineRule="auto"/>
      </w:pPr>
      <w:r>
        <w:separator/>
      </w:r>
    </w:p>
  </w:footnote>
  <w:footnote w:type="continuationSeparator" w:id="0">
    <w:p w:rsidR="000C332C" w:rsidRDefault="000C332C" w:rsidP="004018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814" w:rsidRDefault="00401814">
    <w:pPr>
      <w:pStyle w:val="Header"/>
    </w:pPr>
    <w:r>
      <w:rPr>
        <w:noProof/>
      </w:rPr>
      <w:drawing>
        <wp:inline distT="0" distB="0" distL="0" distR="0">
          <wp:extent cx="6744739" cy="3079750"/>
          <wp:effectExtent l="0" t="0" r="0" b="6350"/>
          <wp:docPr id="10" name="Picture 10" descr="Includes CDE's Vision and Goals " title="CDE Meeting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50358" cy="30823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4D47"/>
    <w:multiLevelType w:val="hybridMultilevel"/>
    <w:tmpl w:val="A4B42BE8"/>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 w15:restartNumberingAfterBreak="0">
    <w:nsid w:val="091D5E08"/>
    <w:multiLevelType w:val="hybridMultilevel"/>
    <w:tmpl w:val="143A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61682"/>
    <w:multiLevelType w:val="hybridMultilevel"/>
    <w:tmpl w:val="36B2B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5696A"/>
    <w:multiLevelType w:val="hybridMultilevel"/>
    <w:tmpl w:val="A59A737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0A1E4182"/>
    <w:multiLevelType w:val="hybridMultilevel"/>
    <w:tmpl w:val="CF963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6254D"/>
    <w:multiLevelType w:val="hybridMultilevel"/>
    <w:tmpl w:val="91B0B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348FF"/>
    <w:multiLevelType w:val="hybridMultilevel"/>
    <w:tmpl w:val="0C1E36C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15:restartNumberingAfterBreak="0">
    <w:nsid w:val="1E474BFF"/>
    <w:multiLevelType w:val="hybridMultilevel"/>
    <w:tmpl w:val="1F4AD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16455"/>
    <w:multiLevelType w:val="hybridMultilevel"/>
    <w:tmpl w:val="2446E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25B68"/>
    <w:multiLevelType w:val="hybridMultilevel"/>
    <w:tmpl w:val="0B38E43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15:restartNumberingAfterBreak="0">
    <w:nsid w:val="27551924"/>
    <w:multiLevelType w:val="hybridMultilevel"/>
    <w:tmpl w:val="42004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016230"/>
    <w:multiLevelType w:val="hybridMultilevel"/>
    <w:tmpl w:val="76C4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977EFC"/>
    <w:multiLevelType w:val="hybridMultilevel"/>
    <w:tmpl w:val="60A63AB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2"/>
  </w:num>
  <w:num w:numId="2">
    <w:abstractNumId w:val="7"/>
  </w:num>
  <w:num w:numId="3">
    <w:abstractNumId w:val="1"/>
  </w:num>
  <w:num w:numId="4">
    <w:abstractNumId w:val="10"/>
  </w:num>
  <w:num w:numId="5">
    <w:abstractNumId w:val="4"/>
  </w:num>
  <w:num w:numId="6">
    <w:abstractNumId w:val="12"/>
  </w:num>
  <w:num w:numId="7">
    <w:abstractNumId w:val="9"/>
  </w:num>
  <w:num w:numId="8">
    <w:abstractNumId w:val="11"/>
  </w:num>
  <w:num w:numId="9">
    <w:abstractNumId w:val="8"/>
  </w:num>
  <w:num w:numId="10">
    <w:abstractNumId w:val="5"/>
  </w:num>
  <w:num w:numId="11">
    <w:abstractNumId w:val="6"/>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4"/>
    <w:rsid w:val="00001178"/>
    <w:rsid w:val="0001218D"/>
    <w:rsid w:val="00024746"/>
    <w:rsid w:val="0002535C"/>
    <w:rsid w:val="00040AB1"/>
    <w:rsid w:val="00046069"/>
    <w:rsid w:val="00050D80"/>
    <w:rsid w:val="00061AFE"/>
    <w:rsid w:val="00066DAD"/>
    <w:rsid w:val="0007136E"/>
    <w:rsid w:val="000726B8"/>
    <w:rsid w:val="00091F27"/>
    <w:rsid w:val="000941B9"/>
    <w:rsid w:val="000A1810"/>
    <w:rsid w:val="000B299C"/>
    <w:rsid w:val="000B50EF"/>
    <w:rsid w:val="000C332C"/>
    <w:rsid w:val="000D7B01"/>
    <w:rsid w:val="001179B4"/>
    <w:rsid w:val="00123271"/>
    <w:rsid w:val="00127E8E"/>
    <w:rsid w:val="00133514"/>
    <w:rsid w:val="001359EE"/>
    <w:rsid w:val="00170EAA"/>
    <w:rsid w:val="001716ED"/>
    <w:rsid w:val="00173971"/>
    <w:rsid w:val="00182838"/>
    <w:rsid w:val="0018512D"/>
    <w:rsid w:val="001921B7"/>
    <w:rsid w:val="0019401B"/>
    <w:rsid w:val="001945DF"/>
    <w:rsid w:val="001A3CDC"/>
    <w:rsid w:val="001A4749"/>
    <w:rsid w:val="001A6581"/>
    <w:rsid w:val="001C1302"/>
    <w:rsid w:val="001C5B76"/>
    <w:rsid w:val="001D1985"/>
    <w:rsid w:val="001D251F"/>
    <w:rsid w:val="001D3DFD"/>
    <w:rsid w:val="00204AF8"/>
    <w:rsid w:val="00210456"/>
    <w:rsid w:val="0022664B"/>
    <w:rsid w:val="00236E9D"/>
    <w:rsid w:val="0025486E"/>
    <w:rsid w:val="0027270C"/>
    <w:rsid w:val="00280E74"/>
    <w:rsid w:val="00284901"/>
    <w:rsid w:val="00291B7A"/>
    <w:rsid w:val="0029297A"/>
    <w:rsid w:val="00293489"/>
    <w:rsid w:val="00293D68"/>
    <w:rsid w:val="002A7D9C"/>
    <w:rsid w:val="002B7810"/>
    <w:rsid w:val="002C0550"/>
    <w:rsid w:val="002D43A7"/>
    <w:rsid w:val="0031443F"/>
    <w:rsid w:val="00315917"/>
    <w:rsid w:val="003247CF"/>
    <w:rsid w:val="0033000A"/>
    <w:rsid w:val="00337E72"/>
    <w:rsid w:val="00345003"/>
    <w:rsid w:val="00360D26"/>
    <w:rsid w:val="00361E7E"/>
    <w:rsid w:val="003627C1"/>
    <w:rsid w:val="00366318"/>
    <w:rsid w:val="00375B74"/>
    <w:rsid w:val="00381156"/>
    <w:rsid w:val="00384CD1"/>
    <w:rsid w:val="0038591D"/>
    <w:rsid w:val="003A0AB1"/>
    <w:rsid w:val="003B7131"/>
    <w:rsid w:val="003D622D"/>
    <w:rsid w:val="0040131B"/>
    <w:rsid w:val="00401814"/>
    <w:rsid w:val="00401D96"/>
    <w:rsid w:val="0040662C"/>
    <w:rsid w:val="00423BCA"/>
    <w:rsid w:val="00426BA5"/>
    <w:rsid w:val="00427EEE"/>
    <w:rsid w:val="004502D7"/>
    <w:rsid w:val="0045386D"/>
    <w:rsid w:val="00463DA8"/>
    <w:rsid w:val="004A035A"/>
    <w:rsid w:val="004A5E42"/>
    <w:rsid w:val="004B1AB5"/>
    <w:rsid w:val="004B5948"/>
    <w:rsid w:val="004D597B"/>
    <w:rsid w:val="004E091B"/>
    <w:rsid w:val="004E45DD"/>
    <w:rsid w:val="0052101A"/>
    <w:rsid w:val="00521C02"/>
    <w:rsid w:val="00541483"/>
    <w:rsid w:val="00576617"/>
    <w:rsid w:val="0058026F"/>
    <w:rsid w:val="00582EB9"/>
    <w:rsid w:val="005A6930"/>
    <w:rsid w:val="005C7DC6"/>
    <w:rsid w:val="005D1A27"/>
    <w:rsid w:val="005D2F71"/>
    <w:rsid w:val="006360B5"/>
    <w:rsid w:val="00644943"/>
    <w:rsid w:val="00646FB6"/>
    <w:rsid w:val="0065121D"/>
    <w:rsid w:val="006714FB"/>
    <w:rsid w:val="006730BA"/>
    <w:rsid w:val="00676AA6"/>
    <w:rsid w:val="00677DCC"/>
    <w:rsid w:val="006803B1"/>
    <w:rsid w:val="006B2E50"/>
    <w:rsid w:val="006C0A8D"/>
    <w:rsid w:val="006C0DEE"/>
    <w:rsid w:val="006C1D24"/>
    <w:rsid w:val="006C4E59"/>
    <w:rsid w:val="006C7293"/>
    <w:rsid w:val="006D1635"/>
    <w:rsid w:val="006D54BF"/>
    <w:rsid w:val="006D6204"/>
    <w:rsid w:val="007002CA"/>
    <w:rsid w:val="00705F19"/>
    <w:rsid w:val="00714B97"/>
    <w:rsid w:val="00721F6D"/>
    <w:rsid w:val="00730D6E"/>
    <w:rsid w:val="00750901"/>
    <w:rsid w:val="00772A02"/>
    <w:rsid w:val="00777715"/>
    <w:rsid w:val="007811EA"/>
    <w:rsid w:val="00783683"/>
    <w:rsid w:val="00790327"/>
    <w:rsid w:val="0079771D"/>
    <w:rsid w:val="007A37BF"/>
    <w:rsid w:val="007D2D0E"/>
    <w:rsid w:val="007D7A49"/>
    <w:rsid w:val="007E754E"/>
    <w:rsid w:val="007F37DF"/>
    <w:rsid w:val="007F73FC"/>
    <w:rsid w:val="00813DDF"/>
    <w:rsid w:val="0082432B"/>
    <w:rsid w:val="00835465"/>
    <w:rsid w:val="00837947"/>
    <w:rsid w:val="00844FA0"/>
    <w:rsid w:val="00885988"/>
    <w:rsid w:val="008872DF"/>
    <w:rsid w:val="008A2D7E"/>
    <w:rsid w:val="008A7693"/>
    <w:rsid w:val="008B46E8"/>
    <w:rsid w:val="008C1185"/>
    <w:rsid w:val="008C36CB"/>
    <w:rsid w:val="008D5C2D"/>
    <w:rsid w:val="008E14E2"/>
    <w:rsid w:val="008E1F2B"/>
    <w:rsid w:val="00910AA5"/>
    <w:rsid w:val="009117DF"/>
    <w:rsid w:val="009159A9"/>
    <w:rsid w:val="009265DF"/>
    <w:rsid w:val="00945FFA"/>
    <w:rsid w:val="00954D57"/>
    <w:rsid w:val="00956A37"/>
    <w:rsid w:val="00974AF6"/>
    <w:rsid w:val="00980DBD"/>
    <w:rsid w:val="009873D3"/>
    <w:rsid w:val="009920D3"/>
    <w:rsid w:val="009B15DF"/>
    <w:rsid w:val="009B4A3B"/>
    <w:rsid w:val="009D2908"/>
    <w:rsid w:val="009D35AC"/>
    <w:rsid w:val="009E2C2F"/>
    <w:rsid w:val="009E5159"/>
    <w:rsid w:val="00A02BB2"/>
    <w:rsid w:val="00A14A33"/>
    <w:rsid w:val="00A247BD"/>
    <w:rsid w:val="00A27BB0"/>
    <w:rsid w:val="00A3254F"/>
    <w:rsid w:val="00A331C3"/>
    <w:rsid w:val="00A4183D"/>
    <w:rsid w:val="00A460B2"/>
    <w:rsid w:val="00A50174"/>
    <w:rsid w:val="00A50583"/>
    <w:rsid w:val="00A51377"/>
    <w:rsid w:val="00A54DA7"/>
    <w:rsid w:val="00A55330"/>
    <w:rsid w:val="00A61C96"/>
    <w:rsid w:val="00A61E9E"/>
    <w:rsid w:val="00A67D18"/>
    <w:rsid w:val="00AB18CA"/>
    <w:rsid w:val="00AB696F"/>
    <w:rsid w:val="00AC727B"/>
    <w:rsid w:val="00AD595D"/>
    <w:rsid w:val="00AE0D1E"/>
    <w:rsid w:val="00AE3F8D"/>
    <w:rsid w:val="00AE781D"/>
    <w:rsid w:val="00AF1780"/>
    <w:rsid w:val="00AF6E60"/>
    <w:rsid w:val="00B058F5"/>
    <w:rsid w:val="00B05978"/>
    <w:rsid w:val="00B130FF"/>
    <w:rsid w:val="00B13DCA"/>
    <w:rsid w:val="00B2503A"/>
    <w:rsid w:val="00B25599"/>
    <w:rsid w:val="00B32330"/>
    <w:rsid w:val="00B41EF2"/>
    <w:rsid w:val="00B5147C"/>
    <w:rsid w:val="00B732E9"/>
    <w:rsid w:val="00B75584"/>
    <w:rsid w:val="00B96AA4"/>
    <w:rsid w:val="00BA719E"/>
    <w:rsid w:val="00BA7911"/>
    <w:rsid w:val="00BC647F"/>
    <w:rsid w:val="00BF1709"/>
    <w:rsid w:val="00BF1841"/>
    <w:rsid w:val="00BF41E1"/>
    <w:rsid w:val="00BF5BE3"/>
    <w:rsid w:val="00BF5CE4"/>
    <w:rsid w:val="00C03541"/>
    <w:rsid w:val="00C05D7B"/>
    <w:rsid w:val="00C15338"/>
    <w:rsid w:val="00C157EC"/>
    <w:rsid w:val="00C16868"/>
    <w:rsid w:val="00C177C5"/>
    <w:rsid w:val="00C35B8A"/>
    <w:rsid w:val="00C66D1B"/>
    <w:rsid w:val="00C66D6C"/>
    <w:rsid w:val="00C67420"/>
    <w:rsid w:val="00C70A81"/>
    <w:rsid w:val="00C75762"/>
    <w:rsid w:val="00CA5187"/>
    <w:rsid w:val="00CA6273"/>
    <w:rsid w:val="00CB6FAC"/>
    <w:rsid w:val="00CD15AF"/>
    <w:rsid w:val="00CD241D"/>
    <w:rsid w:val="00CE6D39"/>
    <w:rsid w:val="00D06432"/>
    <w:rsid w:val="00D07C11"/>
    <w:rsid w:val="00D1304F"/>
    <w:rsid w:val="00D134A9"/>
    <w:rsid w:val="00D1405B"/>
    <w:rsid w:val="00D55DB7"/>
    <w:rsid w:val="00D623B7"/>
    <w:rsid w:val="00D7282D"/>
    <w:rsid w:val="00D808DA"/>
    <w:rsid w:val="00D81A8B"/>
    <w:rsid w:val="00D97C34"/>
    <w:rsid w:val="00DA5FFC"/>
    <w:rsid w:val="00DA7D98"/>
    <w:rsid w:val="00DB702D"/>
    <w:rsid w:val="00DC1D12"/>
    <w:rsid w:val="00DD1552"/>
    <w:rsid w:val="00E143CC"/>
    <w:rsid w:val="00E17753"/>
    <w:rsid w:val="00E310DB"/>
    <w:rsid w:val="00E42E12"/>
    <w:rsid w:val="00E6168C"/>
    <w:rsid w:val="00E75672"/>
    <w:rsid w:val="00E93C06"/>
    <w:rsid w:val="00EA2FCA"/>
    <w:rsid w:val="00EB6621"/>
    <w:rsid w:val="00EC1ED7"/>
    <w:rsid w:val="00EC57EA"/>
    <w:rsid w:val="00EC7876"/>
    <w:rsid w:val="00ED17BF"/>
    <w:rsid w:val="00ED5387"/>
    <w:rsid w:val="00EE120F"/>
    <w:rsid w:val="00EF362A"/>
    <w:rsid w:val="00EF6AD3"/>
    <w:rsid w:val="00F076C4"/>
    <w:rsid w:val="00F13265"/>
    <w:rsid w:val="00F149D7"/>
    <w:rsid w:val="00F24D78"/>
    <w:rsid w:val="00F26703"/>
    <w:rsid w:val="00F422CA"/>
    <w:rsid w:val="00F5150F"/>
    <w:rsid w:val="00F6591E"/>
    <w:rsid w:val="00F70669"/>
    <w:rsid w:val="00F90143"/>
    <w:rsid w:val="00FB4FBE"/>
    <w:rsid w:val="00FC09A0"/>
    <w:rsid w:val="00FE1248"/>
    <w:rsid w:val="00FE3968"/>
    <w:rsid w:val="00FE5D30"/>
    <w:rsid w:val="00FF6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A208599-6CF8-492B-957B-F6E3D13F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14"/>
  </w:style>
  <w:style w:type="paragraph" w:styleId="Footer">
    <w:name w:val="footer"/>
    <w:basedOn w:val="Normal"/>
    <w:link w:val="FooterChar"/>
    <w:uiPriority w:val="99"/>
    <w:unhideWhenUsed/>
    <w:rsid w:val="00401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814"/>
  </w:style>
  <w:style w:type="character" w:styleId="Hyperlink">
    <w:name w:val="Hyperlink"/>
    <w:basedOn w:val="DefaultParagraphFont"/>
    <w:uiPriority w:val="99"/>
    <w:unhideWhenUsed/>
    <w:rsid w:val="00401814"/>
    <w:rPr>
      <w:color w:val="0563C1" w:themeColor="hyperlink"/>
      <w:u w:val="single"/>
    </w:rPr>
  </w:style>
  <w:style w:type="table" w:styleId="TableGrid">
    <w:name w:val="Table Grid"/>
    <w:basedOn w:val="TableNormal"/>
    <w:uiPriority w:val="39"/>
    <w:rsid w:val="00401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1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302"/>
    <w:rPr>
      <w:rFonts w:ascii="Segoe UI" w:hAnsi="Segoe UI" w:cs="Segoe UI"/>
      <w:sz w:val="18"/>
      <w:szCs w:val="18"/>
    </w:rPr>
  </w:style>
  <w:style w:type="paragraph" w:styleId="ListParagraph">
    <w:name w:val="List Paragraph"/>
    <w:basedOn w:val="Normal"/>
    <w:uiPriority w:val="34"/>
    <w:qFormat/>
    <w:rsid w:val="00CD1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ventbrite.com/e/essa-committee-of-practitioners-meeting-april-25-2019-tickets-59726031167?aff=erelexp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6</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dc:creator>
  <cp:keywords/>
  <dc:description/>
  <cp:lastModifiedBy>Smith, Rachel</cp:lastModifiedBy>
  <cp:revision>258</cp:revision>
  <cp:lastPrinted>2019-04-22T19:39:00Z</cp:lastPrinted>
  <dcterms:created xsi:type="dcterms:W3CDTF">2019-04-25T15:47:00Z</dcterms:created>
  <dcterms:modified xsi:type="dcterms:W3CDTF">2019-09-09T21:48:00Z</dcterms:modified>
</cp:coreProperties>
</file>