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14" w:rsidRDefault="00401814" w:rsidP="00401814">
      <w:pPr>
        <w:jc w:val="both"/>
        <w:rPr>
          <w:rFonts w:ascii="Museo Slab 500" w:hAnsi="Museo Slab 500"/>
          <w:sz w:val="28"/>
          <w:szCs w:val="28"/>
          <w:u w:val="single"/>
        </w:rPr>
      </w:pPr>
      <w:r w:rsidRPr="00401814">
        <w:rPr>
          <w:rFonts w:ascii="Museo Slab 500" w:hAnsi="Museo Slab 500"/>
          <w:sz w:val="28"/>
          <w:szCs w:val="28"/>
          <w:u w:val="single"/>
        </w:rPr>
        <w:t>Meeting Logistics &amp; Desired Outcomes</w:t>
      </w:r>
    </w:p>
    <w:p w:rsidR="00401814" w:rsidRPr="00FF4AB6" w:rsidRDefault="00401814" w:rsidP="00401814">
      <w:pPr>
        <w:contextualSpacing/>
      </w:pPr>
      <w:r w:rsidRPr="00FF4AB6">
        <w:t xml:space="preserve">Meeting:  </w:t>
      </w:r>
      <w:r w:rsidRPr="00FF4AB6">
        <w:tab/>
        <w:t xml:space="preserve">ESSA Committee of Practitioners </w:t>
      </w:r>
    </w:p>
    <w:p w:rsidR="00401814" w:rsidRPr="00FF4AB6" w:rsidRDefault="00401814" w:rsidP="00401814">
      <w:pPr>
        <w:contextualSpacing/>
      </w:pPr>
      <w:r w:rsidRPr="00FF4AB6">
        <w:t>Date &amp; Time:</w:t>
      </w:r>
      <w:r w:rsidRPr="00FF4AB6">
        <w:tab/>
      </w:r>
      <w:r w:rsidR="00063A2B">
        <w:t>February 21, 2019</w:t>
      </w:r>
      <w:r w:rsidR="00AF1780">
        <w:t xml:space="preserve">; </w:t>
      </w:r>
      <w:r w:rsidR="00063A2B">
        <w:t>10:00 am</w:t>
      </w:r>
      <w:r>
        <w:t>– 3:00</w:t>
      </w:r>
      <w:r w:rsidR="00063A2B">
        <w:t xml:space="preserve"> pm </w:t>
      </w:r>
    </w:p>
    <w:p w:rsidR="00401814" w:rsidRDefault="00401814" w:rsidP="00401814">
      <w:pPr>
        <w:contextualSpacing/>
      </w:pPr>
      <w:r w:rsidRPr="00FF4AB6">
        <w:t>Location:</w:t>
      </w:r>
      <w:r w:rsidRPr="00FF4AB6">
        <w:tab/>
      </w:r>
      <w:r w:rsidR="00C40A60">
        <w:t>1560 Broadway, Suite 1900</w:t>
      </w:r>
      <w:r w:rsidR="005D1A27">
        <w:t xml:space="preserve"> </w:t>
      </w:r>
      <w:r w:rsidR="006C46FE" w:rsidRPr="003835AA">
        <w:rPr>
          <w:rStyle w:val="Hyperlink"/>
        </w:rPr>
        <w:t>February 21, 2019 Webinar Link</w:t>
      </w:r>
    </w:p>
    <w:p w:rsidR="00401814" w:rsidRPr="00FF4AB6" w:rsidRDefault="00401814" w:rsidP="00401814">
      <w:pPr>
        <w:contextualSpacing/>
      </w:pPr>
      <w:r w:rsidRPr="00FF4AB6">
        <w:t>Meeting Lead</w:t>
      </w:r>
      <w:r>
        <w:t xml:space="preserve">s: Clint Allison, </w:t>
      </w:r>
      <w:r w:rsidR="00B32330">
        <w:t xml:space="preserve">Laura Gorman, </w:t>
      </w:r>
      <w:r>
        <w:t>Brad Bylsma</w:t>
      </w:r>
    </w:p>
    <w:p w:rsidR="00401814" w:rsidRDefault="00401814" w:rsidP="00401814">
      <w:pPr>
        <w:ind w:left="1440" w:hanging="1440"/>
        <w:contextualSpacing/>
      </w:pPr>
      <w:r>
        <w:t>Objectives:</w:t>
      </w:r>
      <w:r>
        <w:tab/>
        <w:t>To allow the Colorado Department of Education the opportunity to provide updates to and elicit recommendations from the Colorado Committee of Practitioners regarding relevant and timely issues related to CDE’s responsibilities under the Elementary and Secondary Education Act, including:</w:t>
      </w:r>
    </w:p>
    <w:p w:rsidR="00401814" w:rsidRDefault="001C06F8" w:rsidP="00B35654">
      <w:pPr>
        <w:ind w:left="1440" w:hanging="1440"/>
        <w:contextualSpacing/>
      </w:pPr>
      <w:r>
        <w:rPr>
          <w:b/>
          <w:u w:val="single"/>
        </w:rPr>
        <w:t>Attendees:</w:t>
      </w:r>
      <w:r w:rsidRPr="005E278F">
        <w:t xml:space="preserve"> </w:t>
      </w:r>
      <w:r w:rsidR="005E278F" w:rsidRPr="005E278F">
        <w:t xml:space="preserve"> </w:t>
      </w:r>
      <w:r>
        <w:t>Mitzi</w:t>
      </w:r>
      <w:r w:rsidR="005E278F">
        <w:t xml:space="preserve"> </w:t>
      </w:r>
      <w:proofErr w:type="spellStart"/>
      <w:r w:rsidR="005E278F">
        <w:t>Swiatkowski</w:t>
      </w:r>
      <w:proofErr w:type="spellEnd"/>
      <w:r>
        <w:t xml:space="preserve">, Mary Ellen Good, Lori Cooper, </w:t>
      </w:r>
      <w:proofErr w:type="spellStart"/>
      <w:r>
        <w:t>Heathre</w:t>
      </w:r>
      <w:proofErr w:type="spellEnd"/>
      <w:r>
        <w:t xml:space="preserve"> </w:t>
      </w:r>
      <w:proofErr w:type="spellStart"/>
      <w:r>
        <w:t>Palige</w:t>
      </w:r>
      <w:proofErr w:type="spellEnd"/>
      <w:r>
        <w:t xml:space="preserve">, Moses </w:t>
      </w:r>
      <w:proofErr w:type="spellStart"/>
      <w:r>
        <w:t>Rigidor</w:t>
      </w:r>
      <w:proofErr w:type="spellEnd"/>
      <w:r>
        <w:t>, Clinton Allison, Jesus</w:t>
      </w:r>
      <w:r w:rsidR="005E278F">
        <w:t xml:space="preserve"> </w:t>
      </w:r>
      <w:proofErr w:type="spellStart"/>
      <w:r w:rsidR="005E278F">
        <w:t>Escarcega</w:t>
      </w:r>
      <w:proofErr w:type="spellEnd"/>
      <w:r>
        <w:t xml:space="preserve">, Amy </w:t>
      </w:r>
      <w:proofErr w:type="spellStart"/>
      <w:r>
        <w:t>Beruan</w:t>
      </w:r>
      <w:proofErr w:type="spellEnd"/>
      <w:r>
        <w:t xml:space="preserve">, Clare </w:t>
      </w:r>
      <w:proofErr w:type="spellStart"/>
      <w:r>
        <w:t>Vickland</w:t>
      </w:r>
      <w:proofErr w:type="spellEnd"/>
      <w:r>
        <w:t xml:space="preserve">, Paul Freeman, </w:t>
      </w:r>
      <w:r w:rsidR="005E278F">
        <w:t>Laura Gorman</w:t>
      </w:r>
    </w:p>
    <w:p w:rsidR="00B35654" w:rsidRPr="001C06F8" w:rsidRDefault="00B35654" w:rsidP="00B35654">
      <w:pPr>
        <w:ind w:left="1440" w:hanging="1440"/>
        <w:contextualSpacing/>
      </w:pPr>
      <w:r>
        <w:rPr>
          <w:b/>
          <w:u w:val="single"/>
        </w:rPr>
        <w:t>Virtual Attendees:</w:t>
      </w:r>
      <w:r>
        <w:t xml:space="preserve"> </w:t>
      </w:r>
      <w:r w:rsidR="005E278F">
        <w:t xml:space="preserve"> </w:t>
      </w:r>
      <w:bookmarkStart w:id="0" w:name="_GoBack"/>
      <w:bookmarkEnd w:id="0"/>
      <w:r>
        <w:t xml:space="preserve">John McKay, </w:t>
      </w:r>
      <w:proofErr w:type="spellStart"/>
      <w:r>
        <w:t>Chaile</w:t>
      </w:r>
      <w:proofErr w:type="spellEnd"/>
      <w:r>
        <w:t xml:space="preserve"> </w:t>
      </w:r>
      <w:proofErr w:type="spellStart"/>
      <w:r>
        <w:t>Hymes</w:t>
      </w:r>
      <w:proofErr w:type="spellEnd"/>
      <w:r>
        <w:t xml:space="preserve">, Myra Westfall </w:t>
      </w:r>
    </w:p>
    <w:p w:rsidR="00401814" w:rsidRDefault="00401814" w:rsidP="00401814">
      <w:pPr>
        <w:ind w:left="1440" w:hanging="1440"/>
        <w:contextualSpacing/>
        <w:rPr>
          <w:b/>
          <w:u w:val="single"/>
        </w:rPr>
      </w:pPr>
    </w:p>
    <w:p w:rsidR="00401814" w:rsidRPr="00401814" w:rsidRDefault="00401814" w:rsidP="00401814">
      <w:pPr>
        <w:ind w:left="1440" w:hanging="1440"/>
        <w:contextualSpacing/>
        <w:rPr>
          <w:rFonts w:ascii="Museo Slab 500" w:hAnsi="Museo Slab 500"/>
          <w:sz w:val="28"/>
          <w:szCs w:val="28"/>
          <w:u w:val="single"/>
        </w:rPr>
      </w:pPr>
      <w:r w:rsidRPr="00401814">
        <w:rPr>
          <w:rFonts w:ascii="Museo Slab 500" w:hAnsi="Museo Slab 500"/>
          <w:sz w:val="28"/>
          <w:szCs w:val="28"/>
          <w:u w:val="single"/>
        </w:rPr>
        <w:t>Agenda Items and Next Steps</w:t>
      </w:r>
    </w:p>
    <w:tbl>
      <w:tblPr>
        <w:tblStyle w:val="TableGrid"/>
        <w:tblW w:w="0" w:type="auto"/>
        <w:tblLook w:val="04A0" w:firstRow="1" w:lastRow="0" w:firstColumn="1" w:lastColumn="0" w:noHBand="0" w:noVBand="1"/>
        <w:tblCaption w:val="CoP Notes and Agenda Items"/>
        <w:tblDescription w:val="CoP Notes and Agenda Items "/>
      </w:tblPr>
      <w:tblGrid>
        <w:gridCol w:w="2124"/>
        <w:gridCol w:w="1649"/>
        <w:gridCol w:w="2471"/>
        <w:gridCol w:w="1894"/>
        <w:gridCol w:w="2652"/>
      </w:tblGrid>
      <w:tr w:rsidR="00974AF6" w:rsidRPr="00974AF6" w:rsidTr="003542C3">
        <w:trPr>
          <w:tblHeader/>
        </w:trPr>
        <w:tc>
          <w:tcPr>
            <w:tcW w:w="2131" w:type="dxa"/>
            <w:shd w:val="clear" w:color="auto" w:fill="DEEAF6" w:themeFill="accent1" w:themeFillTint="33"/>
          </w:tcPr>
          <w:p w:rsidR="00974AF6" w:rsidRPr="00974AF6" w:rsidRDefault="00974AF6" w:rsidP="007E599A">
            <w:pPr>
              <w:tabs>
                <w:tab w:val="center" w:pos="971"/>
                <w:tab w:val="right" w:pos="1942"/>
              </w:tabs>
              <w:jc w:val="center"/>
              <w:rPr>
                <w:rFonts w:cstheme="minorHAnsi"/>
                <w:b/>
              </w:rPr>
            </w:pPr>
            <w:r w:rsidRPr="00974AF6">
              <w:rPr>
                <w:rFonts w:cstheme="minorHAnsi"/>
                <w:b/>
              </w:rPr>
              <w:t>Headline</w:t>
            </w:r>
          </w:p>
          <w:p w:rsidR="00974AF6" w:rsidRPr="00974AF6" w:rsidRDefault="00974AF6" w:rsidP="007E599A">
            <w:pPr>
              <w:jc w:val="center"/>
              <w:rPr>
                <w:rFonts w:cstheme="minorHAnsi"/>
                <w:b/>
              </w:rPr>
            </w:pPr>
            <w:r w:rsidRPr="00974AF6">
              <w:rPr>
                <w:rFonts w:cstheme="minorHAnsi"/>
                <w:b/>
              </w:rPr>
              <w:t>Time</w:t>
            </w:r>
          </w:p>
          <w:p w:rsidR="00974AF6" w:rsidRPr="00974AF6" w:rsidRDefault="00974AF6" w:rsidP="007E599A">
            <w:pPr>
              <w:jc w:val="center"/>
              <w:rPr>
                <w:rFonts w:cstheme="minorHAnsi"/>
              </w:rPr>
            </w:pPr>
            <w:r w:rsidRPr="00974AF6">
              <w:rPr>
                <w:rFonts w:cstheme="minorHAnsi"/>
                <w:b/>
              </w:rPr>
              <w:t>Presenters</w:t>
            </w:r>
          </w:p>
        </w:tc>
        <w:tc>
          <w:tcPr>
            <w:tcW w:w="1649" w:type="dxa"/>
            <w:shd w:val="clear" w:color="auto" w:fill="DEEAF6" w:themeFill="accent1" w:themeFillTint="33"/>
          </w:tcPr>
          <w:p w:rsidR="00974AF6" w:rsidRPr="00974AF6" w:rsidRDefault="00974AF6" w:rsidP="00974AF6">
            <w:pPr>
              <w:jc w:val="center"/>
              <w:rPr>
                <w:rFonts w:cstheme="minorHAnsi"/>
                <w:b/>
              </w:rPr>
            </w:pPr>
            <w:r w:rsidRPr="00974AF6">
              <w:rPr>
                <w:rFonts w:cstheme="minorHAnsi"/>
                <w:b/>
              </w:rPr>
              <w:t>Topic</w:t>
            </w:r>
          </w:p>
        </w:tc>
        <w:tc>
          <w:tcPr>
            <w:tcW w:w="2479" w:type="dxa"/>
            <w:shd w:val="clear" w:color="auto" w:fill="DEEAF6" w:themeFill="accent1" w:themeFillTint="33"/>
          </w:tcPr>
          <w:p w:rsidR="00974AF6" w:rsidRPr="00974AF6" w:rsidRDefault="00974AF6" w:rsidP="00974AF6">
            <w:pPr>
              <w:jc w:val="center"/>
              <w:rPr>
                <w:rFonts w:cstheme="minorHAnsi"/>
                <w:b/>
              </w:rPr>
            </w:pPr>
            <w:r w:rsidRPr="00974AF6">
              <w:rPr>
                <w:rFonts w:cstheme="minorHAnsi"/>
                <w:b/>
              </w:rPr>
              <w:t>Presentation and Process</w:t>
            </w:r>
          </w:p>
        </w:tc>
        <w:tc>
          <w:tcPr>
            <w:tcW w:w="1872" w:type="dxa"/>
            <w:shd w:val="clear" w:color="auto" w:fill="DEEAF6" w:themeFill="accent1" w:themeFillTint="33"/>
          </w:tcPr>
          <w:p w:rsidR="00974AF6" w:rsidRPr="00974AF6" w:rsidRDefault="00974AF6" w:rsidP="00974AF6">
            <w:pPr>
              <w:jc w:val="center"/>
              <w:rPr>
                <w:rFonts w:cstheme="minorHAnsi"/>
                <w:b/>
              </w:rPr>
            </w:pPr>
            <w:r w:rsidRPr="00974AF6">
              <w:rPr>
                <w:rFonts w:cstheme="minorHAnsi"/>
                <w:b/>
              </w:rPr>
              <w:t>Expected Outcome</w:t>
            </w:r>
          </w:p>
        </w:tc>
        <w:tc>
          <w:tcPr>
            <w:tcW w:w="2659" w:type="dxa"/>
            <w:shd w:val="clear" w:color="auto" w:fill="DEEAF6" w:themeFill="accent1" w:themeFillTint="33"/>
          </w:tcPr>
          <w:p w:rsidR="00974AF6" w:rsidRPr="00974AF6" w:rsidRDefault="00974AF6" w:rsidP="00401814">
            <w:pPr>
              <w:jc w:val="both"/>
              <w:rPr>
                <w:rFonts w:cstheme="minorHAnsi"/>
                <w:b/>
              </w:rPr>
            </w:pPr>
            <w:r w:rsidRPr="00974AF6">
              <w:rPr>
                <w:rFonts w:cstheme="minorHAnsi"/>
                <w:b/>
              </w:rPr>
              <w:t>Summary/Notes</w:t>
            </w:r>
          </w:p>
        </w:tc>
      </w:tr>
      <w:tr w:rsidR="00974AF6" w:rsidRPr="00974AF6" w:rsidTr="003542C3">
        <w:trPr>
          <w:trHeight w:val="1862"/>
        </w:trPr>
        <w:tc>
          <w:tcPr>
            <w:tcW w:w="2131" w:type="dxa"/>
          </w:tcPr>
          <w:p w:rsidR="00974AF6" w:rsidRPr="00974AF6" w:rsidRDefault="00974AF6" w:rsidP="007E599A">
            <w:pPr>
              <w:rPr>
                <w:rFonts w:cstheme="minorHAnsi"/>
                <w:b/>
              </w:rPr>
            </w:pPr>
            <w:r w:rsidRPr="00974AF6">
              <w:rPr>
                <w:rFonts w:cstheme="minorHAnsi"/>
                <w:b/>
              </w:rPr>
              <w:t>Committee Business</w:t>
            </w:r>
          </w:p>
          <w:p w:rsidR="00974AF6" w:rsidRPr="00974AF6" w:rsidRDefault="007E599A" w:rsidP="007E599A">
            <w:pPr>
              <w:rPr>
                <w:rFonts w:cstheme="minorHAnsi"/>
                <w:b/>
              </w:rPr>
            </w:pPr>
            <w:r>
              <w:rPr>
                <w:rFonts w:cstheme="minorHAnsi"/>
                <w:b/>
              </w:rPr>
              <w:t>10:00-10:15</w:t>
            </w:r>
          </w:p>
          <w:p w:rsidR="007E599A" w:rsidRDefault="007E599A" w:rsidP="007E599A">
            <w:pPr>
              <w:rPr>
                <w:rFonts w:cstheme="minorHAnsi"/>
                <w:i/>
              </w:rPr>
            </w:pPr>
          </w:p>
          <w:p w:rsidR="00974AF6" w:rsidRPr="00974AF6" w:rsidRDefault="00974AF6" w:rsidP="007E599A">
            <w:pPr>
              <w:rPr>
                <w:rFonts w:cstheme="minorHAnsi"/>
                <w:i/>
              </w:rPr>
            </w:pPr>
            <w:r w:rsidRPr="00974AF6">
              <w:rPr>
                <w:rFonts w:cstheme="minorHAnsi"/>
                <w:i/>
              </w:rPr>
              <w:t>Clint, Laura, Brad</w:t>
            </w:r>
          </w:p>
        </w:tc>
        <w:tc>
          <w:tcPr>
            <w:tcW w:w="1649" w:type="dxa"/>
          </w:tcPr>
          <w:p w:rsidR="00974AF6" w:rsidRPr="00974AF6" w:rsidRDefault="007E599A" w:rsidP="00974AF6">
            <w:pPr>
              <w:jc w:val="center"/>
              <w:rPr>
                <w:rFonts w:cstheme="minorHAnsi"/>
              </w:rPr>
            </w:pPr>
            <w:r>
              <w:rPr>
                <w:rFonts w:cstheme="minorHAnsi"/>
              </w:rPr>
              <w:t>Approval of Nov. 8, 2018 Notes</w:t>
            </w:r>
          </w:p>
        </w:tc>
        <w:tc>
          <w:tcPr>
            <w:tcW w:w="2479" w:type="dxa"/>
          </w:tcPr>
          <w:p w:rsidR="00974AF6" w:rsidRPr="00974AF6" w:rsidRDefault="00FF330D" w:rsidP="007E599A">
            <w:pPr>
              <w:rPr>
                <w:rFonts w:cstheme="minorHAnsi"/>
              </w:rPr>
            </w:pPr>
            <w:proofErr w:type="spellStart"/>
            <w:r>
              <w:rPr>
                <w:rFonts w:cstheme="minorHAnsi"/>
              </w:rPr>
              <w:t>CoP</w:t>
            </w:r>
            <w:proofErr w:type="spellEnd"/>
            <w:r>
              <w:rPr>
                <w:rFonts w:cstheme="minorHAnsi"/>
              </w:rPr>
              <w:t xml:space="preserve"> </w:t>
            </w:r>
            <w:r w:rsidR="00974AF6">
              <w:rPr>
                <w:rFonts w:cstheme="minorHAnsi"/>
              </w:rPr>
              <w:t xml:space="preserve">Prep: </w:t>
            </w:r>
            <w:r w:rsidR="009A6A64">
              <w:rPr>
                <w:rFonts w:cstheme="minorHAnsi"/>
              </w:rPr>
              <w:t xml:space="preserve"> Read Nov. 8 Meeting Minutes prior to Feb. 21, 2019 meeting.</w:t>
            </w:r>
          </w:p>
        </w:tc>
        <w:tc>
          <w:tcPr>
            <w:tcW w:w="1872" w:type="dxa"/>
          </w:tcPr>
          <w:p w:rsidR="00974AF6" w:rsidRPr="00974AF6" w:rsidRDefault="009A6A64" w:rsidP="009A6A64">
            <w:pPr>
              <w:rPr>
                <w:rFonts w:cstheme="minorHAnsi"/>
              </w:rPr>
            </w:pPr>
            <w:proofErr w:type="spellStart"/>
            <w:r>
              <w:rPr>
                <w:rFonts w:cstheme="minorHAnsi"/>
              </w:rPr>
              <w:t>CoP</w:t>
            </w:r>
            <w:proofErr w:type="spellEnd"/>
            <w:r>
              <w:rPr>
                <w:rFonts w:cstheme="minorHAnsi"/>
              </w:rPr>
              <w:t xml:space="preserve"> members will have an opportunity to review Nov. 8 meeting minutes, amend if needed, and approve.</w:t>
            </w:r>
          </w:p>
        </w:tc>
        <w:tc>
          <w:tcPr>
            <w:tcW w:w="2659" w:type="dxa"/>
          </w:tcPr>
          <w:p w:rsidR="00974AF6" w:rsidRDefault="00FD01E3" w:rsidP="00B35654">
            <w:pPr>
              <w:rPr>
                <w:rFonts w:cstheme="minorHAnsi"/>
              </w:rPr>
            </w:pPr>
            <w:r>
              <w:rPr>
                <w:rFonts w:cstheme="minorHAnsi"/>
              </w:rPr>
              <w:t>The November 8, 2018 minutes were approved. (A</w:t>
            </w:r>
            <w:r w:rsidR="001F681E">
              <w:rPr>
                <w:rFonts w:cstheme="minorHAnsi"/>
              </w:rPr>
              <w:t xml:space="preserve">my </w:t>
            </w:r>
            <w:r>
              <w:rPr>
                <w:rFonts w:cstheme="minorHAnsi"/>
              </w:rPr>
              <w:t>approved and Mary Ellen Seconded)</w:t>
            </w:r>
            <w:r w:rsidR="001F681E">
              <w:rPr>
                <w:rFonts w:cstheme="minorHAnsi"/>
              </w:rPr>
              <w:t xml:space="preserve">. </w:t>
            </w:r>
          </w:p>
          <w:p w:rsidR="00766A1A" w:rsidRDefault="00766A1A" w:rsidP="00B35654">
            <w:pPr>
              <w:rPr>
                <w:rFonts w:cstheme="minorHAnsi"/>
                <w:b/>
                <w:u w:val="single"/>
              </w:rPr>
            </w:pPr>
            <w:r w:rsidRPr="00766A1A">
              <w:rPr>
                <w:rFonts w:cstheme="minorHAnsi"/>
                <w:b/>
                <w:u w:val="single"/>
              </w:rPr>
              <w:t xml:space="preserve">Application from Carrie </w:t>
            </w:r>
            <w:proofErr w:type="spellStart"/>
            <w:r w:rsidRPr="00766A1A">
              <w:rPr>
                <w:rFonts w:cstheme="minorHAnsi"/>
                <w:b/>
                <w:u w:val="single"/>
              </w:rPr>
              <w:t>Maffoni</w:t>
            </w:r>
            <w:proofErr w:type="spellEnd"/>
            <w:r w:rsidRPr="00766A1A">
              <w:rPr>
                <w:rFonts w:cstheme="minorHAnsi"/>
                <w:b/>
                <w:u w:val="single"/>
              </w:rPr>
              <w:t xml:space="preserve">: </w:t>
            </w:r>
          </w:p>
          <w:p w:rsidR="00480A05" w:rsidRPr="00766A1A" w:rsidRDefault="004E1F56" w:rsidP="00855B08">
            <w:pPr>
              <w:rPr>
                <w:rFonts w:cstheme="minorHAnsi"/>
              </w:rPr>
            </w:pPr>
            <w:r>
              <w:rPr>
                <w:rFonts w:cstheme="minorHAnsi"/>
              </w:rPr>
              <w:t xml:space="preserve">Decision: Re-evaluate this application at the end of membership terms. </w:t>
            </w:r>
            <w:r w:rsidR="00855B08">
              <w:rPr>
                <w:rFonts w:cstheme="minorHAnsi"/>
              </w:rPr>
              <w:t xml:space="preserve"> </w:t>
            </w:r>
            <w:r w:rsidR="00480A05">
              <w:rPr>
                <w:rFonts w:cstheme="minorHAnsi"/>
              </w:rPr>
              <w:t xml:space="preserve"> </w:t>
            </w:r>
          </w:p>
        </w:tc>
      </w:tr>
      <w:tr w:rsidR="003542C3" w:rsidRPr="00974AF6" w:rsidTr="003542C3">
        <w:trPr>
          <w:trHeight w:val="1610"/>
        </w:trPr>
        <w:tc>
          <w:tcPr>
            <w:tcW w:w="2131" w:type="dxa"/>
          </w:tcPr>
          <w:p w:rsidR="003542C3" w:rsidRPr="007E599A" w:rsidRDefault="003542C3" w:rsidP="003542C3">
            <w:pPr>
              <w:rPr>
                <w:rFonts w:cstheme="minorHAnsi"/>
                <w:b/>
              </w:rPr>
            </w:pPr>
            <w:r w:rsidRPr="007E599A">
              <w:rPr>
                <w:rFonts w:cstheme="minorHAnsi"/>
                <w:b/>
              </w:rPr>
              <w:t>Equitable Distribution of Teachers</w:t>
            </w:r>
          </w:p>
          <w:p w:rsidR="003542C3" w:rsidRPr="007E599A" w:rsidRDefault="003542C3" w:rsidP="003542C3">
            <w:pPr>
              <w:rPr>
                <w:rFonts w:cstheme="minorHAnsi"/>
                <w:b/>
              </w:rPr>
            </w:pPr>
            <w:r w:rsidRPr="007E599A">
              <w:rPr>
                <w:rFonts w:cstheme="minorHAnsi"/>
                <w:b/>
              </w:rPr>
              <w:t>10:15 – 11:15</w:t>
            </w:r>
          </w:p>
          <w:p w:rsidR="003542C3" w:rsidRPr="00974AF6" w:rsidRDefault="003542C3" w:rsidP="003542C3">
            <w:pPr>
              <w:rPr>
                <w:rFonts w:cstheme="minorHAnsi"/>
              </w:rPr>
            </w:pPr>
            <w:r>
              <w:rPr>
                <w:rFonts w:cstheme="minorHAnsi"/>
              </w:rPr>
              <w:lastRenderedPageBreak/>
              <w:t xml:space="preserve">Jeremy Meredith, </w:t>
            </w:r>
            <w:proofErr w:type="spellStart"/>
            <w:r>
              <w:rPr>
                <w:rFonts w:cstheme="minorHAnsi"/>
              </w:rPr>
              <w:t>Nazie</w:t>
            </w:r>
            <w:proofErr w:type="spellEnd"/>
            <w:r>
              <w:rPr>
                <w:rFonts w:cstheme="minorHAnsi"/>
              </w:rPr>
              <w:t xml:space="preserve"> Mohajeri-Nelson</w:t>
            </w:r>
          </w:p>
        </w:tc>
        <w:tc>
          <w:tcPr>
            <w:tcW w:w="1649" w:type="dxa"/>
            <w:tcBorders>
              <w:top w:val="single" w:sz="8" w:space="0" w:color="auto"/>
              <w:left w:val="nil"/>
              <w:bottom w:val="single" w:sz="8" w:space="0" w:color="auto"/>
              <w:right w:val="single" w:sz="8" w:space="0" w:color="auto"/>
            </w:tcBorders>
            <w:shd w:val="clear" w:color="auto" w:fill="auto"/>
          </w:tcPr>
          <w:p w:rsidR="003542C3" w:rsidRDefault="003542C3" w:rsidP="003542C3">
            <w:pPr>
              <w:rPr>
                <w:b/>
                <w:bCs/>
              </w:rPr>
            </w:pPr>
            <w:r>
              <w:rPr>
                <w:b/>
                <w:bCs/>
              </w:rPr>
              <w:lastRenderedPageBreak/>
              <w:t>Topic</w:t>
            </w:r>
          </w:p>
          <w:p w:rsidR="003542C3" w:rsidRDefault="003542C3" w:rsidP="00C45C7D">
            <w:pPr>
              <w:jc w:val="center"/>
            </w:pPr>
            <w:r>
              <w:t>Towards EDT Gap Sizes</w:t>
            </w:r>
          </w:p>
        </w:tc>
        <w:tc>
          <w:tcPr>
            <w:tcW w:w="2479" w:type="dxa"/>
            <w:tcBorders>
              <w:top w:val="single" w:sz="8" w:space="0" w:color="auto"/>
              <w:left w:val="nil"/>
              <w:bottom w:val="single" w:sz="8" w:space="0" w:color="auto"/>
              <w:right w:val="single" w:sz="8" w:space="0" w:color="auto"/>
            </w:tcBorders>
            <w:shd w:val="clear" w:color="auto" w:fill="auto"/>
          </w:tcPr>
          <w:p w:rsidR="003542C3" w:rsidRDefault="003542C3" w:rsidP="003542C3">
            <w:pPr>
              <w:rPr>
                <w:b/>
                <w:bCs/>
              </w:rPr>
            </w:pPr>
            <w:proofErr w:type="spellStart"/>
            <w:r>
              <w:rPr>
                <w:b/>
                <w:bCs/>
              </w:rPr>
              <w:t>CoP</w:t>
            </w:r>
            <w:proofErr w:type="spellEnd"/>
            <w:r>
              <w:rPr>
                <w:b/>
                <w:bCs/>
              </w:rPr>
              <w:t xml:space="preserve"> Prep:</w:t>
            </w:r>
          </w:p>
          <w:p w:rsidR="003542C3" w:rsidRDefault="003542C3" w:rsidP="003542C3">
            <w:r>
              <w:t>Review E</w:t>
            </w:r>
            <w:r w:rsidR="00C45C7D">
              <w:t xml:space="preserve">DT gap size proposal in advance. </w:t>
            </w:r>
          </w:p>
        </w:tc>
        <w:tc>
          <w:tcPr>
            <w:tcW w:w="1872" w:type="dxa"/>
            <w:tcBorders>
              <w:top w:val="single" w:sz="8" w:space="0" w:color="auto"/>
              <w:left w:val="nil"/>
              <w:bottom w:val="single" w:sz="8" w:space="0" w:color="auto"/>
              <w:right w:val="single" w:sz="8" w:space="0" w:color="auto"/>
            </w:tcBorders>
            <w:shd w:val="clear" w:color="auto" w:fill="auto"/>
          </w:tcPr>
          <w:p w:rsidR="003542C3" w:rsidRDefault="003542C3" w:rsidP="003542C3">
            <w:pPr>
              <w:rPr>
                <w:b/>
                <w:bCs/>
              </w:rPr>
            </w:pPr>
            <w:proofErr w:type="spellStart"/>
            <w:r>
              <w:rPr>
                <w:b/>
                <w:bCs/>
              </w:rPr>
              <w:t>CoP</w:t>
            </w:r>
            <w:proofErr w:type="spellEnd"/>
            <w:r>
              <w:rPr>
                <w:b/>
                <w:bCs/>
              </w:rPr>
              <w:t xml:space="preserve"> will…</w:t>
            </w:r>
          </w:p>
          <w:p w:rsidR="003542C3" w:rsidRDefault="003542C3" w:rsidP="006A3D1A">
            <w:pPr>
              <w:spacing w:line="252" w:lineRule="auto"/>
            </w:pPr>
            <w:r>
              <w:t>Review justification for using gap size analyses</w:t>
            </w:r>
            <w:r w:rsidR="006A3D1A">
              <w:t xml:space="preserve">. </w:t>
            </w:r>
            <w:r>
              <w:t xml:space="preserve">Discuss </w:t>
            </w:r>
            <w:r>
              <w:lastRenderedPageBreak/>
              <w:t>two models to define gap size</w:t>
            </w:r>
            <w:r w:rsidR="006A3D1A">
              <w:t xml:space="preserve">. </w:t>
            </w:r>
            <w:r>
              <w:t>Discuss possible LEA actions and CDE supports according to gap size</w:t>
            </w:r>
            <w:r w:rsidR="006A3D1A">
              <w:t xml:space="preserve">. </w:t>
            </w:r>
          </w:p>
        </w:tc>
        <w:tc>
          <w:tcPr>
            <w:tcW w:w="2659" w:type="dxa"/>
          </w:tcPr>
          <w:p w:rsidR="00353025" w:rsidRDefault="008430A8" w:rsidP="00353025">
            <w:pPr>
              <w:rPr>
                <w:rFonts w:cstheme="minorHAnsi"/>
              </w:rPr>
            </w:pPr>
            <w:r>
              <w:rPr>
                <w:rFonts w:cstheme="minorHAnsi"/>
              </w:rPr>
              <w:lastRenderedPageBreak/>
              <w:t xml:space="preserve">1. </w:t>
            </w:r>
            <w:r w:rsidR="00353025">
              <w:rPr>
                <w:rFonts w:cstheme="minorHAnsi"/>
              </w:rPr>
              <w:t>CDE wants fee</w:t>
            </w:r>
            <w:r>
              <w:rPr>
                <w:rFonts w:cstheme="minorHAnsi"/>
              </w:rPr>
              <w:t xml:space="preserve">dback from </w:t>
            </w:r>
            <w:proofErr w:type="spellStart"/>
            <w:r>
              <w:rPr>
                <w:rFonts w:cstheme="minorHAnsi"/>
              </w:rPr>
              <w:t>CoP</w:t>
            </w:r>
            <w:proofErr w:type="spellEnd"/>
            <w:r>
              <w:rPr>
                <w:rFonts w:cstheme="minorHAnsi"/>
              </w:rPr>
              <w:t xml:space="preserve"> members on if this gap should be address in the UIP, Cons App, or another place. </w:t>
            </w:r>
          </w:p>
          <w:p w:rsidR="0073075A" w:rsidRDefault="0073075A" w:rsidP="00353025">
            <w:pPr>
              <w:rPr>
                <w:rFonts w:cstheme="minorHAnsi"/>
              </w:rPr>
            </w:pPr>
            <w:proofErr w:type="spellStart"/>
            <w:r w:rsidRPr="00583B05">
              <w:rPr>
                <w:rFonts w:cstheme="minorHAnsi"/>
                <w:b/>
                <w:u w:val="single"/>
              </w:rPr>
              <w:t>CoP</w:t>
            </w:r>
            <w:proofErr w:type="spellEnd"/>
            <w:r w:rsidRPr="00583B05">
              <w:rPr>
                <w:rFonts w:cstheme="minorHAnsi"/>
                <w:b/>
                <w:u w:val="single"/>
              </w:rPr>
              <w:t xml:space="preserve"> Feedback</w:t>
            </w:r>
            <w:r>
              <w:rPr>
                <w:rFonts w:cstheme="minorHAnsi"/>
              </w:rPr>
              <w:t xml:space="preserve">: </w:t>
            </w:r>
          </w:p>
          <w:p w:rsidR="0073075A" w:rsidRDefault="0073075A" w:rsidP="00353025">
            <w:pPr>
              <w:rPr>
                <w:rFonts w:cstheme="minorHAnsi"/>
              </w:rPr>
            </w:pPr>
            <w:r>
              <w:rPr>
                <w:rFonts w:cstheme="minorHAnsi"/>
              </w:rPr>
              <w:lastRenderedPageBreak/>
              <w:t>-The use of percentile mig</w:t>
            </w:r>
            <w:r w:rsidR="006D4896">
              <w:rPr>
                <w:rFonts w:cstheme="minorHAnsi"/>
              </w:rPr>
              <w:t xml:space="preserve">ht not provide authentic data because district </w:t>
            </w:r>
            <w:r>
              <w:rPr>
                <w:rFonts w:cstheme="minorHAnsi"/>
              </w:rPr>
              <w:t>variability makes it dif</w:t>
            </w:r>
            <w:r w:rsidR="006D4896">
              <w:rPr>
                <w:rFonts w:cstheme="minorHAnsi"/>
              </w:rPr>
              <w:t xml:space="preserve">ficult to determine cut points. </w:t>
            </w:r>
          </w:p>
          <w:p w:rsidR="0073075A" w:rsidRDefault="0073075A" w:rsidP="00353025">
            <w:pPr>
              <w:rPr>
                <w:rFonts w:cstheme="minorHAnsi"/>
              </w:rPr>
            </w:pPr>
            <w:r>
              <w:rPr>
                <w:rFonts w:cstheme="minorHAnsi"/>
              </w:rPr>
              <w:t>-</w:t>
            </w:r>
            <w:proofErr w:type="spellStart"/>
            <w:r w:rsidR="00583B05">
              <w:rPr>
                <w:rFonts w:cstheme="minorHAnsi"/>
              </w:rPr>
              <w:t>CoP</w:t>
            </w:r>
            <w:proofErr w:type="spellEnd"/>
            <w:r w:rsidR="00583B05">
              <w:rPr>
                <w:rFonts w:cstheme="minorHAnsi"/>
              </w:rPr>
              <w:t xml:space="preserve"> appreciates that ‘experience’ is a factor because it is quantifiable</w:t>
            </w:r>
            <w:r>
              <w:rPr>
                <w:rFonts w:cstheme="minorHAnsi"/>
              </w:rPr>
              <w:t xml:space="preserve">, </w:t>
            </w:r>
          </w:p>
          <w:p w:rsidR="000B0C1D" w:rsidRDefault="0073075A" w:rsidP="00353025">
            <w:pPr>
              <w:rPr>
                <w:rFonts w:cstheme="minorHAnsi"/>
              </w:rPr>
            </w:pPr>
            <w:r>
              <w:rPr>
                <w:rFonts w:cstheme="minorHAnsi"/>
              </w:rPr>
              <w:t>-</w:t>
            </w:r>
            <w:r w:rsidR="000B0C1D">
              <w:rPr>
                <w:rFonts w:cstheme="minorHAnsi"/>
              </w:rPr>
              <w:t xml:space="preserve">Charter schools should be taken into consideration with EDT as they </w:t>
            </w:r>
            <w:r w:rsidR="008F6C17">
              <w:rPr>
                <w:rFonts w:cstheme="minorHAnsi"/>
              </w:rPr>
              <w:t xml:space="preserve">may or may not have a waiver to do the evaluation. </w:t>
            </w:r>
          </w:p>
          <w:p w:rsidR="00BB6773" w:rsidRDefault="000B0C1D" w:rsidP="00353025">
            <w:pPr>
              <w:rPr>
                <w:rFonts w:cstheme="minorHAnsi"/>
              </w:rPr>
            </w:pPr>
            <w:r>
              <w:rPr>
                <w:rFonts w:cstheme="minorHAnsi"/>
              </w:rPr>
              <w:t>-</w:t>
            </w:r>
            <w:r w:rsidR="00BB6773">
              <w:rPr>
                <w:rFonts w:cstheme="minorHAnsi"/>
              </w:rPr>
              <w:t xml:space="preserve"> Are there common components across districts that CDE could utilize? </w:t>
            </w:r>
          </w:p>
          <w:p w:rsidR="007C2950" w:rsidRDefault="002D58A5" w:rsidP="002D58A5">
            <w:pPr>
              <w:rPr>
                <w:rFonts w:cstheme="minorHAnsi"/>
              </w:rPr>
            </w:pPr>
            <w:r>
              <w:rPr>
                <w:rFonts w:cstheme="minorHAnsi"/>
              </w:rPr>
              <w:t>-</w:t>
            </w:r>
            <w:r w:rsidR="003D2B51">
              <w:rPr>
                <w:rFonts w:cstheme="minorHAnsi"/>
              </w:rPr>
              <w:t>Testing data</w:t>
            </w:r>
            <w:r>
              <w:rPr>
                <w:rFonts w:cstheme="minorHAnsi"/>
              </w:rPr>
              <w:t xml:space="preserve"> is not available until after teacher evaluations are done.</w:t>
            </w:r>
          </w:p>
          <w:p w:rsidR="00C64808" w:rsidRDefault="00760BA4" w:rsidP="00353025">
            <w:pPr>
              <w:rPr>
                <w:rFonts w:cstheme="minorHAnsi"/>
              </w:rPr>
            </w:pPr>
            <w:r>
              <w:rPr>
                <w:rFonts w:cstheme="minorHAnsi"/>
              </w:rPr>
              <w:t>2</w:t>
            </w:r>
            <w:r w:rsidR="00675E93">
              <w:rPr>
                <w:rFonts w:cstheme="minorHAnsi"/>
              </w:rPr>
              <w:t xml:space="preserve">. </w:t>
            </w:r>
            <w:r w:rsidR="00FA0283">
              <w:rPr>
                <w:rFonts w:cstheme="minorHAnsi"/>
              </w:rPr>
              <w:t>One</w:t>
            </w:r>
            <w:r w:rsidR="006E10F3">
              <w:rPr>
                <w:rFonts w:cstheme="minorHAnsi"/>
              </w:rPr>
              <w:t xml:space="preserve"> solution is to</w:t>
            </w:r>
            <w:r w:rsidR="00675E93">
              <w:rPr>
                <w:rFonts w:cstheme="minorHAnsi"/>
              </w:rPr>
              <w:t xml:space="preserve"> run the analyses at the student </w:t>
            </w:r>
            <w:r w:rsidR="006E10F3">
              <w:rPr>
                <w:rFonts w:cstheme="minorHAnsi"/>
              </w:rPr>
              <w:t xml:space="preserve">level using </w:t>
            </w:r>
            <w:r w:rsidR="00675E93">
              <w:rPr>
                <w:rFonts w:cstheme="minorHAnsi"/>
              </w:rPr>
              <w:t xml:space="preserve">your own local data. </w:t>
            </w:r>
          </w:p>
          <w:p w:rsidR="006351C4" w:rsidRDefault="00760BA4" w:rsidP="00353025">
            <w:pPr>
              <w:rPr>
                <w:rFonts w:cstheme="minorHAnsi"/>
              </w:rPr>
            </w:pPr>
            <w:r>
              <w:rPr>
                <w:rFonts w:cstheme="minorHAnsi"/>
              </w:rPr>
              <w:t>3</w:t>
            </w:r>
            <w:r w:rsidR="006351C4">
              <w:rPr>
                <w:rFonts w:cstheme="minorHAnsi"/>
              </w:rPr>
              <w:t xml:space="preserve">. </w:t>
            </w:r>
            <w:r w:rsidR="002D58A5">
              <w:rPr>
                <w:rFonts w:cstheme="minorHAnsi"/>
              </w:rPr>
              <w:t>CDE encourages the field to think ab</w:t>
            </w:r>
            <w:r w:rsidR="006351C4">
              <w:rPr>
                <w:rFonts w:cstheme="minorHAnsi"/>
              </w:rPr>
              <w:t xml:space="preserve">out teacher recruitment </w:t>
            </w:r>
            <w:r w:rsidR="006351C4">
              <w:rPr>
                <w:rFonts w:cstheme="minorHAnsi"/>
              </w:rPr>
              <w:lastRenderedPageBreak/>
              <w:t>strategies, human</w:t>
            </w:r>
            <w:r w:rsidR="00B912C8">
              <w:rPr>
                <w:rFonts w:cstheme="minorHAnsi"/>
              </w:rPr>
              <w:t xml:space="preserve"> capital strategies and systems. </w:t>
            </w:r>
          </w:p>
          <w:p w:rsidR="007C2950" w:rsidRDefault="00760BA4" w:rsidP="00A1162B">
            <w:pPr>
              <w:rPr>
                <w:rFonts w:cstheme="minorHAnsi"/>
              </w:rPr>
            </w:pPr>
            <w:r>
              <w:rPr>
                <w:rFonts w:cstheme="minorHAnsi"/>
              </w:rPr>
              <w:t>4</w:t>
            </w:r>
            <w:r w:rsidR="007C2950">
              <w:rPr>
                <w:rFonts w:cstheme="minorHAnsi"/>
              </w:rPr>
              <w:t xml:space="preserve">. </w:t>
            </w:r>
            <w:r w:rsidR="000931B2">
              <w:rPr>
                <w:rFonts w:cstheme="minorHAnsi"/>
              </w:rPr>
              <w:t>CDE will need</w:t>
            </w:r>
            <w:r w:rsidR="00B912C8">
              <w:rPr>
                <w:rFonts w:cstheme="minorHAnsi"/>
              </w:rPr>
              <w:t xml:space="preserve"> to see that there is</w:t>
            </w:r>
            <w:r w:rsidR="00AC77D2">
              <w:rPr>
                <w:rFonts w:cstheme="minorHAnsi"/>
              </w:rPr>
              <w:t xml:space="preserve"> a plan </w:t>
            </w:r>
            <w:r w:rsidR="003E7F00">
              <w:rPr>
                <w:rFonts w:cstheme="minorHAnsi"/>
              </w:rPr>
              <w:t xml:space="preserve">in place to address these gaps, and </w:t>
            </w:r>
            <w:r w:rsidR="00B912C8">
              <w:rPr>
                <w:rFonts w:cstheme="minorHAnsi"/>
              </w:rPr>
              <w:t xml:space="preserve">that the plan has begun. </w:t>
            </w:r>
          </w:p>
          <w:p w:rsidR="00A02E6C" w:rsidRDefault="00760BA4" w:rsidP="00A1162B">
            <w:pPr>
              <w:rPr>
                <w:rFonts w:cstheme="minorHAnsi"/>
              </w:rPr>
            </w:pPr>
            <w:r>
              <w:rPr>
                <w:rFonts w:cstheme="minorHAnsi"/>
              </w:rPr>
              <w:t>5</w:t>
            </w:r>
            <w:r w:rsidR="00970D58">
              <w:rPr>
                <w:rFonts w:cstheme="minorHAnsi"/>
              </w:rPr>
              <w:t xml:space="preserve">. </w:t>
            </w:r>
            <w:r w:rsidR="00FA0283">
              <w:rPr>
                <w:rFonts w:cstheme="minorHAnsi"/>
              </w:rPr>
              <w:t>EDT</w:t>
            </w:r>
            <w:r w:rsidR="00D55207">
              <w:rPr>
                <w:rFonts w:cstheme="minorHAnsi"/>
              </w:rPr>
              <w:t xml:space="preserve"> requirements will not interfere with SB 191 expectations. </w:t>
            </w:r>
            <w:r w:rsidR="00E767DE">
              <w:rPr>
                <w:rFonts w:cstheme="minorHAnsi"/>
              </w:rPr>
              <w:t xml:space="preserve"> </w:t>
            </w:r>
            <w:r w:rsidR="005B4413">
              <w:rPr>
                <w:rFonts w:cstheme="minorHAnsi"/>
              </w:rPr>
              <w:t>There’s a 4.67% gap between the lowest minority schools and the highest minority schools in terms of effective</w:t>
            </w:r>
            <w:r w:rsidR="00B912C8">
              <w:rPr>
                <w:rFonts w:cstheme="minorHAnsi"/>
              </w:rPr>
              <w:t>ness</w:t>
            </w:r>
            <w:r w:rsidR="005B4413">
              <w:rPr>
                <w:rFonts w:cstheme="minorHAnsi"/>
              </w:rPr>
              <w:t xml:space="preserve">. </w:t>
            </w:r>
            <w:r w:rsidR="00803AA6">
              <w:rPr>
                <w:rFonts w:cstheme="minorHAnsi"/>
              </w:rPr>
              <w:t xml:space="preserve"> </w:t>
            </w:r>
          </w:p>
          <w:p w:rsidR="0084736B" w:rsidRDefault="00760BA4" w:rsidP="00A1162B">
            <w:pPr>
              <w:rPr>
                <w:rFonts w:cstheme="minorHAnsi"/>
              </w:rPr>
            </w:pPr>
            <w:r>
              <w:rPr>
                <w:rFonts w:cstheme="minorHAnsi"/>
              </w:rPr>
              <w:t>6</w:t>
            </w:r>
            <w:r w:rsidR="0072229B">
              <w:rPr>
                <w:rFonts w:cstheme="minorHAnsi"/>
              </w:rPr>
              <w:t xml:space="preserve">. </w:t>
            </w:r>
            <w:r w:rsidR="00E62B19">
              <w:rPr>
                <w:rFonts w:cstheme="minorHAnsi"/>
              </w:rPr>
              <w:t xml:space="preserve">This EDT indicator is here just to ensure that students have equitable access to effective teachers. </w:t>
            </w:r>
            <w:r w:rsidR="0084736B">
              <w:rPr>
                <w:rFonts w:cstheme="minorHAnsi"/>
              </w:rPr>
              <w:t xml:space="preserve"> </w:t>
            </w:r>
          </w:p>
          <w:p w:rsidR="007A3249" w:rsidRDefault="00760BA4" w:rsidP="007C2950">
            <w:pPr>
              <w:rPr>
                <w:rFonts w:cstheme="minorHAnsi"/>
              </w:rPr>
            </w:pPr>
            <w:r>
              <w:rPr>
                <w:rFonts w:cstheme="minorHAnsi"/>
              </w:rPr>
              <w:t>7</w:t>
            </w:r>
            <w:r w:rsidR="00443BB0">
              <w:rPr>
                <w:rFonts w:cstheme="minorHAnsi"/>
              </w:rPr>
              <w:t xml:space="preserve">. </w:t>
            </w:r>
            <w:r w:rsidR="00F07017">
              <w:rPr>
                <w:rFonts w:cstheme="minorHAnsi"/>
              </w:rPr>
              <w:t>CDE has developed an FAQ guide, guidanc</w:t>
            </w:r>
            <w:r w:rsidR="007C2950">
              <w:rPr>
                <w:rFonts w:cstheme="minorHAnsi"/>
              </w:rPr>
              <w:t xml:space="preserve">e, </w:t>
            </w:r>
            <w:r w:rsidR="00B912C8">
              <w:rPr>
                <w:rFonts w:cstheme="minorHAnsi"/>
              </w:rPr>
              <w:t xml:space="preserve">and </w:t>
            </w:r>
            <w:r w:rsidR="007C2950">
              <w:rPr>
                <w:rFonts w:cstheme="minorHAnsi"/>
              </w:rPr>
              <w:t xml:space="preserve">a </w:t>
            </w:r>
            <w:r w:rsidR="00C84895">
              <w:rPr>
                <w:rFonts w:cstheme="minorHAnsi"/>
              </w:rPr>
              <w:t xml:space="preserve">slide </w:t>
            </w:r>
            <w:r w:rsidR="007C2950">
              <w:rPr>
                <w:rFonts w:cstheme="minorHAnsi"/>
              </w:rPr>
              <w:t>deck that district leaders</w:t>
            </w:r>
            <w:r w:rsidR="00D55207">
              <w:rPr>
                <w:rFonts w:cstheme="minorHAnsi"/>
              </w:rPr>
              <w:t xml:space="preserve"> can utilize</w:t>
            </w:r>
            <w:r w:rsidR="007C2950">
              <w:rPr>
                <w:rFonts w:cstheme="minorHAnsi"/>
              </w:rPr>
              <w:t>.</w:t>
            </w:r>
          </w:p>
          <w:p w:rsidR="00287064" w:rsidRDefault="00760BA4" w:rsidP="00A1162B">
            <w:pPr>
              <w:rPr>
                <w:rFonts w:cstheme="minorHAnsi"/>
              </w:rPr>
            </w:pPr>
            <w:r>
              <w:rPr>
                <w:rFonts w:cstheme="minorHAnsi"/>
              </w:rPr>
              <w:t>8</w:t>
            </w:r>
            <w:r w:rsidR="00287064">
              <w:rPr>
                <w:rFonts w:cstheme="minorHAnsi"/>
              </w:rPr>
              <w:t>. CDE will o</w:t>
            </w:r>
            <w:r w:rsidR="000931B2">
              <w:rPr>
                <w:rFonts w:cstheme="minorHAnsi"/>
              </w:rPr>
              <w:t>nly be asking the field to include</w:t>
            </w:r>
            <w:r w:rsidR="00287064">
              <w:rPr>
                <w:rFonts w:cstheme="minorHAnsi"/>
              </w:rPr>
              <w:t xml:space="preserve"> their plan in their UIP if they have a large gap. </w:t>
            </w:r>
            <w:r w:rsidR="00AC1C00">
              <w:rPr>
                <w:rFonts w:cstheme="minorHAnsi"/>
              </w:rPr>
              <w:t xml:space="preserve">There is funding available to help address the gaps that exist. </w:t>
            </w:r>
            <w:r w:rsidR="005373EA">
              <w:rPr>
                <w:rFonts w:cstheme="minorHAnsi"/>
              </w:rPr>
              <w:t xml:space="preserve"> </w:t>
            </w:r>
          </w:p>
          <w:p w:rsidR="00497B13" w:rsidRDefault="00760BA4" w:rsidP="00A1162B">
            <w:pPr>
              <w:rPr>
                <w:rFonts w:cstheme="minorHAnsi"/>
              </w:rPr>
            </w:pPr>
            <w:r>
              <w:rPr>
                <w:rFonts w:cstheme="minorHAnsi"/>
              </w:rPr>
              <w:lastRenderedPageBreak/>
              <w:t>9</w:t>
            </w:r>
            <w:r w:rsidR="00D55207">
              <w:rPr>
                <w:rFonts w:cstheme="minorHAnsi"/>
              </w:rPr>
              <w:t xml:space="preserve">. </w:t>
            </w:r>
            <w:proofErr w:type="spellStart"/>
            <w:r w:rsidR="00D55207">
              <w:rPr>
                <w:rFonts w:cstheme="minorHAnsi"/>
              </w:rPr>
              <w:t>CoP</w:t>
            </w:r>
            <w:proofErr w:type="spellEnd"/>
            <w:r w:rsidR="00D55207">
              <w:rPr>
                <w:rFonts w:cstheme="minorHAnsi"/>
              </w:rPr>
              <w:t xml:space="preserve"> would like CDE to develop m</w:t>
            </w:r>
            <w:r w:rsidR="00BD588F">
              <w:rPr>
                <w:rFonts w:cstheme="minorHAnsi"/>
              </w:rPr>
              <w:t xml:space="preserve">ore guidance </w:t>
            </w:r>
            <w:r w:rsidR="00D55207">
              <w:rPr>
                <w:rFonts w:cstheme="minorHAnsi"/>
              </w:rPr>
              <w:t>on</w:t>
            </w:r>
            <w:r w:rsidR="00BD588F">
              <w:rPr>
                <w:rFonts w:cstheme="minorHAnsi"/>
              </w:rPr>
              <w:t xml:space="preserve"> the ‘effective’ range</w:t>
            </w:r>
            <w:r w:rsidR="00D55207">
              <w:rPr>
                <w:rFonts w:cstheme="minorHAnsi"/>
              </w:rPr>
              <w:t xml:space="preserve"> within EDT</w:t>
            </w:r>
            <w:r w:rsidR="00BD588F">
              <w:rPr>
                <w:rFonts w:cstheme="minorHAnsi"/>
              </w:rPr>
              <w:t xml:space="preserve">. </w:t>
            </w:r>
            <w:r w:rsidR="00FD3811">
              <w:rPr>
                <w:rFonts w:cstheme="minorHAnsi"/>
              </w:rPr>
              <w:t xml:space="preserve"> </w:t>
            </w:r>
          </w:p>
          <w:p w:rsidR="000C3880" w:rsidRDefault="00760BA4" w:rsidP="000C3880">
            <w:pPr>
              <w:rPr>
                <w:rFonts w:cstheme="minorHAnsi"/>
              </w:rPr>
            </w:pPr>
            <w:r>
              <w:rPr>
                <w:rFonts w:cstheme="minorHAnsi"/>
              </w:rPr>
              <w:t>10</w:t>
            </w:r>
            <w:r w:rsidR="00235FAD">
              <w:rPr>
                <w:rFonts w:cstheme="minorHAnsi"/>
              </w:rPr>
              <w:t xml:space="preserve">. </w:t>
            </w:r>
            <w:r w:rsidR="000C3880">
              <w:rPr>
                <w:rFonts w:cstheme="minorHAnsi"/>
              </w:rPr>
              <w:t>Decision: .</w:t>
            </w:r>
            <w:proofErr w:type="spellStart"/>
            <w:r w:rsidR="000C3880">
              <w:rPr>
                <w:rFonts w:cstheme="minorHAnsi"/>
              </w:rPr>
              <w:t>CoP</w:t>
            </w:r>
            <w:proofErr w:type="spellEnd"/>
            <w:r w:rsidR="000C3880">
              <w:rPr>
                <w:rFonts w:cstheme="minorHAnsi"/>
              </w:rPr>
              <w:t xml:space="preserve"> members voted on using Model B. This model affords flexibility for districts with minimal gaps.  </w:t>
            </w:r>
          </w:p>
          <w:p w:rsidR="00235FAD" w:rsidRDefault="00A13F78" w:rsidP="00A1162B">
            <w:pPr>
              <w:rPr>
                <w:rFonts w:cstheme="minorHAnsi"/>
              </w:rPr>
            </w:pPr>
            <w:r>
              <w:rPr>
                <w:rFonts w:cstheme="minorHAnsi"/>
              </w:rPr>
              <w:t xml:space="preserve">Vote for Model B: Mary Ellen made a motion to vote for Model B, Jesus seconds, motion passed. </w:t>
            </w:r>
          </w:p>
          <w:p w:rsidR="00A1162B" w:rsidRPr="00974AF6" w:rsidRDefault="00A1162B" w:rsidP="00A1162B">
            <w:pPr>
              <w:rPr>
                <w:rFonts w:cstheme="minorHAnsi"/>
              </w:rPr>
            </w:pPr>
          </w:p>
        </w:tc>
      </w:tr>
      <w:tr w:rsidR="003542C3" w:rsidRPr="00974AF6" w:rsidTr="003542C3">
        <w:trPr>
          <w:trHeight w:val="1610"/>
        </w:trPr>
        <w:tc>
          <w:tcPr>
            <w:tcW w:w="2131" w:type="dxa"/>
          </w:tcPr>
          <w:p w:rsidR="003542C3" w:rsidRPr="009B3EF2" w:rsidRDefault="003542C3" w:rsidP="003542C3">
            <w:pPr>
              <w:rPr>
                <w:rFonts w:cstheme="minorHAnsi"/>
                <w:b/>
              </w:rPr>
            </w:pPr>
            <w:r w:rsidRPr="009B3EF2">
              <w:rPr>
                <w:rFonts w:cstheme="minorHAnsi"/>
                <w:b/>
              </w:rPr>
              <w:lastRenderedPageBreak/>
              <w:t>1% Alternative Assessment</w:t>
            </w:r>
          </w:p>
          <w:p w:rsidR="003542C3" w:rsidRPr="009B3EF2" w:rsidRDefault="003542C3" w:rsidP="003542C3">
            <w:pPr>
              <w:rPr>
                <w:rFonts w:cstheme="minorHAnsi"/>
                <w:b/>
              </w:rPr>
            </w:pPr>
            <w:r w:rsidRPr="009B3EF2">
              <w:rPr>
                <w:rFonts w:cstheme="minorHAnsi"/>
                <w:b/>
              </w:rPr>
              <w:t>11:15 – 11:30</w:t>
            </w:r>
          </w:p>
          <w:p w:rsidR="003542C3" w:rsidRPr="00974AF6" w:rsidRDefault="003542C3" w:rsidP="003542C3">
            <w:pPr>
              <w:rPr>
                <w:rFonts w:cstheme="minorHAnsi"/>
              </w:rPr>
            </w:pPr>
            <w:r>
              <w:rPr>
                <w:rFonts w:cstheme="minorHAnsi"/>
              </w:rPr>
              <w:t>Paul Foster, Gina Herrera</w:t>
            </w:r>
          </w:p>
        </w:tc>
        <w:tc>
          <w:tcPr>
            <w:tcW w:w="1649" w:type="dxa"/>
          </w:tcPr>
          <w:p w:rsidR="003542C3" w:rsidRPr="00974AF6" w:rsidRDefault="003E260B" w:rsidP="003542C3">
            <w:pPr>
              <w:jc w:val="center"/>
              <w:rPr>
                <w:rFonts w:cstheme="minorHAnsi"/>
              </w:rPr>
            </w:pPr>
            <w:r>
              <w:rPr>
                <w:rFonts w:cstheme="minorHAnsi"/>
              </w:rPr>
              <w:t>Update on 1% Alternative Assessment</w:t>
            </w:r>
          </w:p>
        </w:tc>
        <w:tc>
          <w:tcPr>
            <w:tcW w:w="2479" w:type="dxa"/>
          </w:tcPr>
          <w:p w:rsidR="003542C3" w:rsidRPr="00974AF6" w:rsidRDefault="003542C3" w:rsidP="003542C3">
            <w:pPr>
              <w:rPr>
                <w:rFonts w:cstheme="minorHAnsi"/>
              </w:rPr>
            </w:pPr>
            <w:proofErr w:type="spellStart"/>
            <w:r>
              <w:rPr>
                <w:rFonts w:cstheme="minorHAnsi"/>
              </w:rPr>
              <w:t>CoP</w:t>
            </w:r>
            <w:proofErr w:type="spellEnd"/>
            <w:r>
              <w:rPr>
                <w:rFonts w:cstheme="minorHAnsi"/>
              </w:rPr>
              <w:t xml:space="preserve"> Prep:</w:t>
            </w:r>
            <w:r w:rsidR="003E260B">
              <w:rPr>
                <w:rFonts w:cstheme="minorHAnsi"/>
              </w:rPr>
              <w:t xml:space="preserve"> None</w:t>
            </w:r>
          </w:p>
        </w:tc>
        <w:tc>
          <w:tcPr>
            <w:tcW w:w="1872" w:type="dxa"/>
          </w:tcPr>
          <w:p w:rsidR="003542C3" w:rsidRPr="00974AF6" w:rsidRDefault="003E260B" w:rsidP="003E260B">
            <w:pPr>
              <w:jc w:val="center"/>
              <w:rPr>
                <w:rFonts w:cstheme="minorHAnsi"/>
              </w:rPr>
            </w:pPr>
            <w:r>
              <w:t> Members will have an opportunity to respond to the Alternate Assessment Update</w:t>
            </w:r>
            <w:r w:rsidR="006A3D1A">
              <w:t xml:space="preserve">. </w:t>
            </w:r>
          </w:p>
        </w:tc>
        <w:tc>
          <w:tcPr>
            <w:tcW w:w="2659" w:type="dxa"/>
          </w:tcPr>
          <w:p w:rsidR="005433EF" w:rsidRPr="00974AF6" w:rsidRDefault="005433EF" w:rsidP="005433EF">
            <w:pPr>
              <w:rPr>
                <w:rFonts w:cstheme="minorHAnsi"/>
              </w:rPr>
            </w:pPr>
            <w:r>
              <w:rPr>
                <w:rFonts w:cstheme="minorHAnsi"/>
              </w:rPr>
              <w:t>Paul was not present. This will be continued on April 25</w:t>
            </w:r>
            <w:r w:rsidRPr="005433EF">
              <w:rPr>
                <w:rFonts w:cstheme="minorHAnsi"/>
                <w:vertAlign w:val="superscript"/>
              </w:rPr>
              <w:t>th</w:t>
            </w:r>
            <w:r>
              <w:rPr>
                <w:rFonts w:cstheme="minorHAnsi"/>
              </w:rPr>
              <w:t xml:space="preserve">. </w:t>
            </w:r>
          </w:p>
          <w:p w:rsidR="00E15C5F" w:rsidRPr="00974AF6" w:rsidRDefault="00E15C5F" w:rsidP="0098421F">
            <w:pPr>
              <w:rPr>
                <w:rFonts w:cstheme="minorHAnsi"/>
              </w:rPr>
            </w:pPr>
          </w:p>
        </w:tc>
      </w:tr>
      <w:tr w:rsidR="003542C3" w:rsidRPr="00974AF6" w:rsidTr="003542C3">
        <w:trPr>
          <w:trHeight w:val="1610"/>
        </w:trPr>
        <w:tc>
          <w:tcPr>
            <w:tcW w:w="2131" w:type="dxa"/>
          </w:tcPr>
          <w:p w:rsidR="003542C3" w:rsidRPr="009B3EF2" w:rsidRDefault="003542C3" w:rsidP="003542C3">
            <w:pPr>
              <w:rPr>
                <w:rFonts w:cstheme="minorHAnsi"/>
                <w:b/>
              </w:rPr>
            </w:pPr>
            <w:r w:rsidRPr="009B3EF2">
              <w:rPr>
                <w:rFonts w:cstheme="minorHAnsi"/>
                <w:b/>
              </w:rPr>
              <w:t>Alternative Diploma</w:t>
            </w:r>
          </w:p>
          <w:p w:rsidR="003542C3" w:rsidRPr="009B3EF2" w:rsidRDefault="003542C3" w:rsidP="003542C3">
            <w:pPr>
              <w:rPr>
                <w:rFonts w:cstheme="minorHAnsi"/>
                <w:b/>
              </w:rPr>
            </w:pPr>
            <w:r w:rsidRPr="009B3EF2">
              <w:rPr>
                <w:rFonts w:cstheme="minorHAnsi"/>
                <w:b/>
              </w:rPr>
              <w:t>11:30 – 12:00</w:t>
            </w:r>
          </w:p>
          <w:p w:rsidR="003542C3" w:rsidRPr="00974AF6" w:rsidRDefault="003542C3" w:rsidP="003542C3">
            <w:pPr>
              <w:rPr>
                <w:rFonts w:cstheme="minorHAnsi"/>
              </w:rPr>
            </w:pPr>
            <w:r>
              <w:rPr>
                <w:rFonts w:cstheme="minorHAnsi"/>
              </w:rPr>
              <w:t>Paul Foster, Gina Herrera</w:t>
            </w:r>
          </w:p>
        </w:tc>
        <w:tc>
          <w:tcPr>
            <w:tcW w:w="1649" w:type="dxa"/>
            <w:tcBorders>
              <w:top w:val="nil"/>
              <w:left w:val="nil"/>
              <w:bottom w:val="single" w:sz="8" w:space="0" w:color="auto"/>
              <w:right w:val="single" w:sz="8" w:space="0" w:color="auto"/>
            </w:tcBorders>
            <w:shd w:val="clear" w:color="auto" w:fill="auto"/>
          </w:tcPr>
          <w:p w:rsidR="003542C3" w:rsidRDefault="003542C3" w:rsidP="003542C3">
            <w:pPr>
              <w:jc w:val="center"/>
            </w:pPr>
            <w:r>
              <w:t> Update on Alternate Diploma </w:t>
            </w:r>
          </w:p>
        </w:tc>
        <w:tc>
          <w:tcPr>
            <w:tcW w:w="2479" w:type="dxa"/>
            <w:tcBorders>
              <w:top w:val="nil"/>
              <w:left w:val="nil"/>
              <w:bottom w:val="single" w:sz="8" w:space="0" w:color="auto"/>
              <w:right w:val="single" w:sz="8" w:space="0" w:color="auto"/>
            </w:tcBorders>
            <w:shd w:val="clear" w:color="auto" w:fill="auto"/>
          </w:tcPr>
          <w:p w:rsidR="003542C3" w:rsidRDefault="003542C3" w:rsidP="003542C3">
            <w:proofErr w:type="spellStart"/>
            <w:r>
              <w:t>CoP</w:t>
            </w:r>
            <w:proofErr w:type="spellEnd"/>
            <w:r>
              <w:t xml:space="preserve"> Prep: None</w:t>
            </w:r>
          </w:p>
        </w:tc>
        <w:tc>
          <w:tcPr>
            <w:tcW w:w="1872" w:type="dxa"/>
            <w:tcBorders>
              <w:top w:val="nil"/>
              <w:left w:val="nil"/>
              <w:bottom w:val="single" w:sz="8" w:space="0" w:color="auto"/>
              <w:right w:val="single" w:sz="8" w:space="0" w:color="auto"/>
            </w:tcBorders>
            <w:shd w:val="clear" w:color="auto" w:fill="auto"/>
          </w:tcPr>
          <w:p w:rsidR="003542C3" w:rsidRDefault="003542C3" w:rsidP="003542C3">
            <w:pPr>
              <w:jc w:val="center"/>
            </w:pPr>
            <w:r>
              <w:t> Members will have an opportunity to respond and provide feedback related to Alternate Diploma.</w:t>
            </w:r>
          </w:p>
        </w:tc>
        <w:tc>
          <w:tcPr>
            <w:tcW w:w="2659" w:type="dxa"/>
          </w:tcPr>
          <w:p w:rsidR="003542C3" w:rsidRDefault="00A10BE3" w:rsidP="00A10BE3">
            <w:pPr>
              <w:rPr>
                <w:rFonts w:cstheme="minorHAnsi"/>
              </w:rPr>
            </w:pPr>
            <w:r>
              <w:rPr>
                <w:rFonts w:cstheme="minorHAnsi"/>
              </w:rPr>
              <w:t xml:space="preserve">Paul was not present. Pat Chapman gave a brief overview: </w:t>
            </w:r>
          </w:p>
          <w:p w:rsidR="008E517A" w:rsidRDefault="008E517A" w:rsidP="00A10BE3">
            <w:pPr>
              <w:rPr>
                <w:rFonts w:cstheme="minorHAnsi"/>
              </w:rPr>
            </w:pPr>
            <w:r>
              <w:rPr>
                <w:rFonts w:cstheme="minorHAnsi"/>
              </w:rPr>
              <w:t xml:space="preserve">1.  </w:t>
            </w:r>
            <w:r w:rsidR="00A10BE3">
              <w:rPr>
                <w:rFonts w:cstheme="minorHAnsi"/>
              </w:rPr>
              <w:t>There has not been much interest</w:t>
            </w:r>
            <w:r w:rsidR="00495206">
              <w:rPr>
                <w:rFonts w:cstheme="minorHAnsi"/>
              </w:rPr>
              <w:t xml:space="preserve"> in creating an alternate diploma for CO</w:t>
            </w:r>
            <w:r w:rsidR="00A10BE3">
              <w:rPr>
                <w:rFonts w:cstheme="minorHAnsi"/>
              </w:rPr>
              <w:t>, but it has</w:t>
            </w:r>
            <w:r w:rsidR="00C472DD">
              <w:rPr>
                <w:rFonts w:cstheme="minorHAnsi"/>
              </w:rPr>
              <w:t xml:space="preserve"> raised other questions/issues such as </w:t>
            </w:r>
            <w:r w:rsidR="00C472DD">
              <w:rPr>
                <w:rFonts w:cstheme="minorHAnsi"/>
              </w:rPr>
              <w:lastRenderedPageBreak/>
              <w:t xml:space="preserve">inconsistency in graduation rates. </w:t>
            </w:r>
          </w:p>
          <w:p w:rsidR="00A10BE3" w:rsidRDefault="00495206" w:rsidP="00A10BE3">
            <w:pPr>
              <w:rPr>
                <w:rFonts w:cstheme="minorHAnsi"/>
              </w:rPr>
            </w:pPr>
            <w:r>
              <w:rPr>
                <w:rFonts w:cstheme="minorHAnsi"/>
              </w:rPr>
              <w:t>2</w:t>
            </w:r>
            <w:r w:rsidR="008E517A">
              <w:rPr>
                <w:rFonts w:cstheme="minorHAnsi"/>
              </w:rPr>
              <w:t xml:space="preserve">. </w:t>
            </w:r>
            <w:r w:rsidR="00CB440F">
              <w:rPr>
                <w:rFonts w:cstheme="minorHAnsi"/>
              </w:rPr>
              <w:t xml:space="preserve">The goal is to engage in dialogue with the field to deal with this specific issue in order to ensure that the students’ diplomas are meaningful and </w:t>
            </w:r>
            <w:r>
              <w:rPr>
                <w:rFonts w:cstheme="minorHAnsi"/>
              </w:rPr>
              <w:t>a</w:t>
            </w:r>
            <w:r w:rsidR="00CB440F">
              <w:rPr>
                <w:rFonts w:cstheme="minorHAnsi"/>
              </w:rPr>
              <w:t xml:space="preserve">ppropriate based on their high school work. </w:t>
            </w:r>
          </w:p>
          <w:p w:rsidR="008E517A" w:rsidRDefault="00495206" w:rsidP="00A10BE3">
            <w:pPr>
              <w:rPr>
                <w:rFonts w:cstheme="minorHAnsi"/>
              </w:rPr>
            </w:pPr>
            <w:r>
              <w:rPr>
                <w:rFonts w:cstheme="minorHAnsi"/>
              </w:rPr>
              <w:t>3</w:t>
            </w:r>
            <w:r w:rsidR="00F01CE4">
              <w:rPr>
                <w:rFonts w:cstheme="minorHAnsi"/>
              </w:rPr>
              <w:t xml:space="preserve">. </w:t>
            </w:r>
            <w:r w:rsidR="00B3548B">
              <w:rPr>
                <w:rFonts w:cstheme="minorHAnsi"/>
              </w:rPr>
              <w:t xml:space="preserve">This will be determined at the local level. </w:t>
            </w:r>
          </w:p>
          <w:p w:rsidR="00495206" w:rsidRPr="00974AF6" w:rsidRDefault="00495206" w:rsidP="00495206">
            <w:pPr>
              <w:rPr>
                <w:rFonts w:cstheme="minorHAnsi"/>
              </w:rPr>
            </w:pPr>
            <w:r>
              <w:rPr>
                <w:rFonts w:cstheme="minorHAnsi"/>
              </w:rPr>
              <w:t xml:space="preserve">This will be continued on the April agenda. </w:t>
            </w:r>
          </w:p>
          <w:p w:rsidR="003858E4" w:rsidRPr="00974AF6" w:rsidRDefault="003858E4" w:rsidP="00A10BE3">
            <w:pPr>
              <w:rPr>
                <w:rFonts w:cstheme="minorHAnsi"/>
              </w:rPr>
            </w:pPr>
          </w:p>
        </w:tc>
      </w:tr>
      <w:tr w:rsidR="003542C3" w:rsidRPr="00974AF6" w:rsidTr="009B3EF2">
        <w:trPr>
          <w:trHeight w:val="710"/>
        </w:trPr>
        <w:tc>
          <w:tcPr>
            <w:tcW w:w="10790" w:type="dxa"/>
            <w:gridSpan w:val="5"/>
          </w:tcPr>
          <w:p w:rsidR="003542C3" w:rsidRPr="00E33A42" w:rsidRDefault="003542C3" w:rsidP="003542C3">
            <w:pPr>
              <w:rPr>
                <w:rFonts w:cstheme="minorHAnsi"/>
                <w:b/>
              </w:rPr>
            </w:pPr>
            <w:r w:rsidRPr="00E33A42">
              <w:rPr>
                <w:rFonts w:cstheme="minorHAnsi"/>
                <w:b/>
              </w:rPr>
              <w:lastRenderedPageBreak/>
              <w:t>Lunch:</w:t>
            </w:r>
          </w:p>
          <w:p w:rsidR="003542C3" w:rsidRPr="00974AF6" w:rsidRDefault="003542C3" w:rsidP="003542C3">
            <w:pPr>
              <w:jc w:val="center"/>
              <w:rPr>
                <w:rFonts w:cstheme="minorHAnsi"/>
              </w:rPr>
            </w:pPr>
            <w:r w:rsidRPr="00E33A42">
              <w:rPr>
                <w:rFonts w:cstheme="minorHAnsi"/>
                <w:b/>
              </w:rPr>
              <w:t>12:00 – 12:30</w:t>
            </w:r>
          </w:p>
        </w:tc>
      </w:tr>
      <w:tr w:rsidR="003542C3" w:rsidRPr="00974AF6" w:rsidTr="003542C3">
        <w:trPr>
          <w:trHeight w:val="1610"/>
        </w:trPr>
        <w:tc>
          <w:tcPr>
            <w:tcW w:w="2131" w:type="dxa"/>
          </w:tcPr>
          <w:p w:rsidR="003542C3" w:rsidRPr="00E33A42" w:rsidRDefault="003542C3" w:rsidP="003542C3">
            <w:pPr>
              <w:rPr>
                <w:rFonts w:cstheme="minorHAnsi"/>
                <w:b/>
              </w:rPr>
            </w:pPr>
            <w:r w:rsidRPr="00E33A42">
              <w:rPr>
                <w:rFonts w:cstheme="minorHAnsi"/>
                <w:b/>
              </w:rPr>
              <w:t xml:space="preserve">ESSA “Other Indicator” </w:t>
            </w:r>
          </w:p>
          <w:p w:rsidR="003542C3" w:rsidRPr="00E33A42" w:rsidRDefault="003542C3" w:rsidP="003542C3">
            <w:pPr>
              <w:rPr>
                <w:rFonts w:cstheme="minorHAnsi"/>
                <w:b/>
              </w:rPr>
            </w:pPr>
            <w:r w:rsidRPr="00E33A42">
              <w:rPr>
                <w:rFonts w:cstheme="minorHAnsi"/>
                <w:b/>
              </w:rPr>
              <w:t>12:30 – 1:00</w:t>
            </w:r>
          </w:p>
          <w:p w:rsidR="003542C3" w:rsidRDefault="003542C3" w:rsidP="003542C3">
            <w:pPr>
              <w:rPr>
                <w:rFonts w:cstheme="minorHAnsi"/>
              </w:rPr>
            </w:pPr>
            <w:proofErr w:type="spellStart"/>
            <w:r>
              <w:rPr>
                <w:rFonts w:cstheme="minorHAnsi"/>
              </w:rPr>
              <w:t>Nazie</w:t>
            </w:r>
            <w:proofErr w:type="spellEnd"/>
            <w:r>
              <w:rPr>
                <w:rFonts w:cstheme="minorHAnsi"/>
              </w:rPr>
              <w:t xml:space="preserve"> Mohajeri-Nelson</w:t>
            </w:r>
          </w:p>
          <w:p w:rsidR="003542C3" w:rsidRPr="00974AF6" w:rsidRDefault="003542C3" w:rsidP="003542C3">
            <w:pPr>
              <w:jc w:val="center"/>
              <w:rPr>
                <w:rFonts w:cstheme="minorHAnsi"/>
              </w:rPr>
            </w:pPr>
          </w:p>
        </w:tc>
        <w:tc>
          <w:tcPr>
            <w:tcW w:w="1649" w:type="dxa"/>
          </w:tcPr>
          <w:p w:rsidR="003542C3" w:rsidRPr="006A3D1A" w:rsidRDefault="00836E2D" w:rsidP="00836E2D">
            <w:pPr>
              <w:rPr>
                <w:rFonts w:cstheme="minorHAnsi"/>
              </w:rPr>
            </w:pPr>
            <w:r w:rsidRPr="006A3D1A">
              <w:t xml:space="preserve">Update on Other indicator. LEAs that have schools identified for Targeted Support and Improvement have to establish the criteria and </w:t>
            </w:r>
            <w:r w:rsidRPr="006A3D1A">
              <w:lastRenderedPageBreak/>
              <w:t>timeline for exiting schools</w:t>
            </w:r>
          </w:p>
        </w:tc>
        <w:tc>
          <w:tcPr>
            <w:tcW w:w="2479" w:type="dxa"/>
          </w:tcPr>
          <w:p w:rsidR="003542C3" w:rsidRPr="006A3D1A" w:rsidRDefault="003542C3" w:rsidP="003542C3">
            <w:pPr>
              <w:rPr>
                <w:rFonts w:cstheme="minorHAnsi"/>
              </w:rPr>
            </w:pPr>
            <w:proofErr w:type="spellStart"/>
            <w:r w:rsidRPr="006A3D1A">
              <w:rPr>
                <w:rFonts w:cstheme="minorHAnsi"/>
              </w:rPr>
              <w:lastRenderedPageBreak/>
              <w:t>CoP</w:t>
            </w:r>
            <w:proofErr w:type="spellEnd"/>
            <w:r w:rsidRPr="006A3D1A">
              <w:rPr>
                <w:rFonts w:cstheme="minorHAnsi"/>
              </w:rPr>
              <w:t xml:space="preserve"> Prep:</w:t>
            </w:r>
          </w:p>
          <w:p w:rsidR="00B92683" w:rsidRPr="006A3D1A" w:rsidRDefault="00B92683" w:rsidP="003542C3">
            <w:pPr>
              <w:rPr>
                <w:rFonts w:cstheme="minorHAnsi"/>
              </w:rPr>
            </w:pPr>
            <w:r w:rsidRPr="006A3D1A">
              <w:t>Review §1111(d)(2)</w:t>
            </w:r>
          </w:p>
        </w:tc>
        <w:tc>
          <w:tcPr>
            <w:tcW w:w="1872" w:type="dxa"/>
          </w:tcPr>
          <w:p w:rsidR="00B92683" w:rsidRPr="006A3D1A" w:rsidRDefault="00B92683" w:rsidP="00B92683">
            <w:r w:rsidRPr="006A3D1A">
              <w:t xml:space="preserve">Recommendations on: </w:t>
            </w:r>
          </w:p>
          <w:p w:rsidR="00B92683" w:rsidRPr="006A3D1A" w:rsidRDefault="00F8280A" w:rsidP="00F8280A">
            <w:pPr>
              <w:spacing w:line="252" w:lineRule="auto"/>
            </w:pPr>
            <w:r w:rsidRPr="006A3D1A">
              <w:t xml:space="preserve">1. </w:t>
            </w:r>
            <w:r w:rsidR="00B92683" w:rsidRPr="006A3D1A">
              <w:t xml:space="preserve">How to improve quality of absenteeism data. </w:t>
            </w:r>
          </w:p>
          <w:p w:rsidR="00B92683" w:rsidRPr="006A3D1A" w:rsidRDefault="00F8280A" w:rsidP="00F8280A">
            <w:pPr>
              <w:spacing w:line="252" w:lineRule="auto"/>
            </w:pPr>
            <w:r w:rsidRPr="006A3D1A">
              <w:t xml:space="preserve">2. </w:t>
            </w:r>
            <w:r w:rsidR="00B92683" w:rsidRPr="006A3D1A">
              <w:t xml:space="preserve">How to collect input from LEAs regarding TS exit criteria and timeline. </w:t>
            </w:r>
          </w:p>
          <w:p w:rsidR="003542C3" w:rsidRPr="006A3D1A" w:rsidRDefault="00B92683" w:rsidP="00B92683">
            <w:pPr>
              <w:rPr>
                <w:rFonts w:cstheme="minorHAnsi"/>
              </w:rPr>
            </w:pPr>
            <w:r w:rsidRPr="006A3D1A">
              <w:t xml:space="preserve">Recommended exit criteria and </w:t>
            </w:r>
            <w:r w:rsidRPr="006A3D1A">
              <w:lastRenderedPageBreak/>
              <w:t>timeline to which LEAs could just refer (instead of establishing own</w:t>
            </w:r>
          </w:p>
        </w:tc>
        <w:tc>
          <w:tcPr>
            <w:tcW w:w="2659" w:type="dxa"/>
          </w:tcPr>
          <w:p w:rsidR="005A7E3F" w:rsidRDefault="00BC284C" w:rsidP="00D139C4">
            <w:pPr>
              <w:rPr>
                <w:rFonts w:cstheme="minorHAnsi"/>
              </w:rPr>
            </w:pPr>
            <w:r w:rsidRPr="00BC284C">
              <w:rPr>
                <w:rFonts w:cstheme="minorHAnsi"/>
                <w:b/>
                <w:u w:val="single"/>
              </w:rPr>
              <w:lastRenderedPageBreak/>
              <w:t xml:space="preserve">Definition of </w:t>
            </w:r>
            <w:r w:rsidR="00C54D2B" w:rsidRPr="00BC284C">
              <w:rPr>
                <w:rFonts w:cstheme="minorHAnsi"/>
                <w:b/>
                <w:u w:val="single"/>
              </w:rPr>
              <w:t>Chroni</w:t>
            </w:r>
            <w:r w:rsidRPr="00BC284C">
              <w:rPr>
                <w:rFonts w:cstheme="minorHAnsi"/>
                <w:b/>
                <w:u w:val="single"/>
              </w:rPr>
              <w:t>c Absenteeism</w:t>
            </w:r>
            <w:r>
              <w:rPr>
                <w:rFonts w:cstheme="minorHAnsi"/>
              </w:rPr>
              <w:t>: Students who are chronically absent from school 10% or more of the time</w:t>
            </w:r>
            <w:r w:rsidR="00C54D2B">
              <w:rPr>
                <w:rFonts w:cstheme="minorHAnsi"/>
              </w:rPr>
              <w:t xml:space="preserve">. </w:t>
            </w:r>
          </w:p>
          <w:p w:rsidR="00817631" w:rsidRDefault="00817631" w:rsidP="00D139C4">
            <w:pPr>
              <w:rPr>
                <w:rFonts w:cstheme="minorHAnsi"/>
              </w:rPr>
            </w:pPr>
            <w:r>
              <w:rPr>
                <w:rFonts w:cstheme="minorHAnsi"/>
              </w:rPr>
              <w:t xml:space="preserve">1. 16-17 was the first year that CDE had collected the chronic absenteeism data. </w:t>
            </w:r>
          </w:p>
          <w:p w:rsidR="00817631" w:rsidRDefault="005A7E3F" w:rsidP="00D139C4">
            <w:pPr>
              <w:rPr>
                <w:rFonts w:cstheme="minorHAnsi"/>
              </w:rPr>
            </w:pPr>
            <w:r>
              <w:rPr>
                <w:rFonts w:cstheme="minorHAnsi"/>
              </w:rPr>
              <w:t>2</w:t>
            </w:r>
            <w:r w:rsidR="00817631">
              <w:rPr>
                <w:rFonts w:cstheme="minorHAnsi"/>
              </w:rPr>
              <w:t xml:space="preserve">. CDE will be using chronic absenteeism in 19-20. </w:t>
            </w:r>
          </w:p>
          <w:p w:rsidR="00465FDB" w:rsidRDefault="005A7E3F" w:rsidP="00D139C4">
            <w:pPr>
              <w:rPr>
                <w:rFonts w:cstheme="minorHAnsi"/>
              </w:rPr>
            </w:pPr>
            <w:r>
              <w:rPr>
                <w:rFonts w:cstheme="minorHAnsi"/>
              </w:rPr>
              <w:lastRenderedPageBreak/>
              <w:t>3</w:t>
            </w:r>
            <w:r w:rsidR="00465FDB">
              <w:rPr>
                <w:rFonts w:cstheme="minorHAnsi"/>
              </w:rPr>
              <w:t>. There are low rates of chronic absenteeis</w:t>
            </w:r>
            <w:r>
              <w:rPr>
                <w:rFonts w:cstheme="minorHAnsi"/>
              </w:rPr>
              <w:t>m in districts across the state</w:t>
            </w:r>
            <w:r w:rsidR="00465FDB">
              <w:rPr>
                <w:rFonts w:cstheme="minorHAnsi"/>
              </w:rPr>
              <w:t xml:space="preserve">. </w:t>
            </w:r>
          </w:p>
          <w:p w:rsidR="00F61FB4" w:rsidRDefault="005A7E3F" w:rsidP="00D139C4">
            <w:pPr>
              <w:rPr>
                <w:rFonts w:cstheme="minorHAnsi"/>
              </w:rPr>
            </w:pPr>
            <w:r>
              <w:rPr>
                <w:rFonts w:cstheme="minorHAnsi"/>
              </w:rPr>
              <w:t>4</w:t>
            </w:r>
            <w:r w:rsidR="00F61FB4">
              <w:rPr>
                <w:rFonts w:cstheme="minorHAnsi"/>
              </w:rPr>
              <w:t xml:space="preserve">. Exit Criteria Timeline for TS Schools: </w:t>
            </w:r>
          </w:p>
          <w:p w:rsidR="00F61FB4" w:rsidRDefault="00F61FB4" w:rsidP="00D139C4">
            <w:pPr>
              <w:rPr>
                <w:rFonts w:cstheme="minorHAnsi"/>
              </w:rPr>
            </w:pPr>
            <w:r>
              <w:rPr>
                <w:rFonts w:cstheme="minorHAnsi"/>
              </w:rPr>
              <w:t xml:space="preserve">-Schools identified under ESSA must create a plan of improvement. </w:t>
            </w:r>
          </w:p>
          <w:p w:rsidR="00F61FB4" w:rsidRDefault="00F61FB4" w:rsidP="00D139C4">
            <w:pPr>
              <w:rPr>
                <w:rFonts w:cstheme="minorHAnsi"/>
              </w:rPr>
            </w:pPr>
            <w:r>
              <w:rPr>
                <w:rFonts w:cstheme="minorHAnsi"/>
              </w:rPr>
              <w:t>-</w:t>
            </w:r>
            <w:r w:rsidR="00297A52">
              <w:rPr>
                <w:rFonts w:cstheme="minorHAnsi"/>
              </w:rPr>
              <w:t xml:space="preserve">SEAs are responsible for reviewing and approving improvement plans. </w:t>
            </w:r>
          </w:p>
          <w:p w:rsidR="006B682D" w:rsidRDefault="00297A52" w:rsidP="00BC284C">
            <w:pPr>
              <w:rPr>
                <w:rFonts w:cstheme="minorHAnsi"/>
              </w:rPr>
            </w:pPr>
            <w:r>
              <w:rPr>
                <w:rFonts w:cstheme="minorHAnsi"/>
              </w:rPr>
              <w:t>-LEAs are responsible f</w:t>
            </w:r>
            <w:r w:rsidR="008F013F">
              <w:rPr>
                <w:rFonts w:cstheme="minorHAnsi"/>
              </w:rPr>
              <w:t xml:space="preserve">or developing CS and TS plans. </w:t>
            </w:r>
          </w:p>
          <w:p w:rsidR="00817631" w:rsidRPr="00757FD9" w:rsidRDefault="00817631" w:rsidP="00D139C4">
            <w:pPr>
              <w:rPr>
                <w:rFonts w:cstheme="minorHAnsi"/>
                <w:b/>
                <w:u w:val="single"/>
              </w:rPr>
            </w:pPr>
            <w:proofErr w:type="spellStart"/>
            <w:r w:rsidRPr="00757FD9">
              <w:rPr>
                <w:rFonts w:cstheme="minorHAnsi"/>
                <w:b/>
                <w:u w:val="single"/>
              </w:rPr>
              <w:t>CoP</w:t>
            </w:r>
            <w:proofErr w:type="spellEnd"/>
            <w:r w:rsidRPr="00757FD9">
              <w:rPr>
                <w:rFonts w:cstheme="minorHAnsi"/>
                <w:b/>
                <w:u w:val="single"/>
              </w:rPr>
              <w:t xml:space="preserve"> Feedback</w:t>
            </w:r>
            <w:r w:rsidR="006B682D" w:rsidRPr="00757FD9">
              <w:rPr>
                <w:rFonts w:cstheme="minorHAnsi"/>
                <w:b/>
                <w:u w:val="single"/>
              </w:rPr>
              <w:t>/Input</w:t>
            </w:r>
            <w:r w:rsidRPr="00757FD9">
              <w:rPr>
                <w:rFonts w:cstheme="minorHAnsi"/>
                <w:b/>
                <w:u w:val="single"/>
              </w:rPr>
              <w:t xml:space="preserve">: </w:t>
            </w:r>
          </w:p>
          <w:p w:rsidR="00757FD9" w:rsidRDefault="006B682D" w:rsidP="00D139C4">
            <w:pPr>
              <w:rPr>
                <w:rFonts w:cstheme="minorHAnsi"/>
              </w:rPr>
            </w:pPr>
            <w:r>
              <w:rPr>
                <w:rFonts w:cstheme="minorHAnsi"/>
              </w:rPr>
              <w:t>-</w:t>
            </w:r>
            <w:r w:rsidR="006F163E">
              <w:rPr>
                <w:rFonts w:cstheme="minorHAnsi"/>
              </w:rPr>
              <w:t xml:space="preserve">Low participation on tests will always be identified because there is </w:t>
            </w:r>
            <w:r w:rsidR="00F0724E">
              <w:rPr>
                <w:rFonts w:cstheme="minorHAnsi"/>
              </w:rPr>
              <w:t xml:space="preserve">an opt-out option (parent choice is noted in the state plan). </w:t>
            </w:r>
          </w:p>
          <w:p w:rsidR="007E6541" w:rsidRDefault="00A37D13" w:rsidP="00D139C4">
            <w:pPr>
              <w:rPr>
                <w:rFonts w:cstheme="minorHAnsi"/>
              </w:rPr>
            </w:pPr>
            <w:r>
              <w:rPr>
                <w:rFonts w:cstheme="minorHAnsi"/>
              </w:rPr>
              <w:t>--</w:t>
            </w:r>
            <w:r w:rsidR="007E6541">
              <w:rPr>
                <w:rFonts w:cstheme="minorHAnsi"/>
              </w:rPr>
              <w:t xml:space="preserve">-One idea is to use the same platform from the first page of EASI to be applicable to all districts and schools. </w:t>
            </w:r>
          </w:p>
          <w:p w:rsidR="00025944" w:rsidRDefault="00F26A82" w:rsidP="00D139C4">
            <w:pPr>
              <w:rPr>
                <w:rFonts w:cstheme="minorHAnsi"/>
              </w:rPr>
            </w:pPr>
            <w:r>
              <w:rPr>
                <w:rFonts w:cstheme="minorHAnsi"/>
              </w:rPr>
              <w:t xml:space="preserve">5. </w:t>
            </w:r>
            <w:r w:rsidR="00025944">
              <w:rPr>
                <w:rFonts w:cstheme="minorHAnsi"/>
              </w:rPr>
              <w:t xml:space="preserve">CDE selected a 3-year timeline for CS schools. </w:t>
            </w:r>
          </w:p>
          <w:p w:rsidR="00025944" w:rsidRDefault="00F26A82" w:rsidP="00D139C4">
            <w:pPr>
              <w:rPr>
                <w:rFonts w:cstheme="minorHAnsi"/>
              </w:rPr>
            </w:pPr>
            <w:r>
              <w:rPr>
                <w:rFonts w:cstheme="minorHAnsi"/>
              </w:rPr>
              <w:t>6</w:t>
            </w:r>
            <w:r w:rsidR="00025944">
              <w:rPr>
                <w:rFonts w:cstheme="minorHAnsi"/>
              </w:rPr>
              <w:t xml:space="preserve">. CDE wants </w:t>
            </w:r>
            <w:proofErr w:type="spellStart"/>
            <w:r w:rsidR="00025944">
              <w:rPr>
                <w:rFonts w:cstheme="minorHAnsi"/>
              </w:rPr>
              <w:t>CoP’s</w:t>
            </w:r>
            <w:proofErr w:type="spellEnd"/>
            <w:r w:rsidR="00025944">
              <w:rPr>
                <w:rFonts w:cstheme="minorHAnsi"/>
              </w:rPr>
              <w:t xml:space="preserve"> recommendations on the </w:t>
            </w:r>
            <w:r w:rsidR="00025944">
              <w:rPr>
                <w:rFonts w:cstheme="minorHAnsi"/>
              </w:rPr>
              <w:lastRenderedPageBreak/>
              <w:t xml:space="preserve">timeline for CS schools not meeting deadlines. </w:t>
            </w:r>
            <w:r w:rsidR="0048034E">
              <w:rPr>
                <w:rFonts w:cstheme="minorHAnsi"/>
              </w:rPr>
              <w:t xml:space="preserve"> </w:t>
            </w:r>
          </w:p>
          <w:p w:rsidR="0048034E" w:rsidRDefault="0048034E" w:rsidP="00D139C4">
            <w:pPr>
              <w:rPr>
                <w:rFonts w:cstheme="minorHAnsi"/>
              </w:rPr>
            </w:pPr>
            <w:r>
              <w:rPr>
                <w:rFonts w:cstheme="minorHAnsi"/>
              </w:rPr>
              <w:t xml:space="preserve">CDE needs </w:t>
            </w:r>
            <w:proofErr w:type="spellStart"/>
            <w:r>
              <w:rPr>
                <w:rFonts w:cstheme="minorHAnsi"/>
              </w:rPr>
              <w:t>CoP’s</w:t>
            </w:r>
            <w:proofErr w:type="spellEnd"/>
            <w:r>
              <w:rPr>
                <w:rFonts w:cstheme="minorHAnsi"/>
              </w:rPr>
              <w:t xml:space="preserve"> recommendations on the frequency of information that LEAs should submit. </w:t>
            </w:r>
          </w:p>
          <w:p w:rsidR="006B682D" w:rsidRPr="00974AF6" w:rsidRDefault="00C268B5" w:rsidP="00F26A82">
            <w:pPr>
              <w:rPr>
                <w:rFonts w:cstheme="minorHAnsi"/>
              </w:rPr>
            </w:pPr>
            <w:proofErr w:type="spellStart"/>
            <w:r>
              <w:rPr>
                <w:rFonts w:cstheme="minorHAnsi"/>
              </w:rPr>
              <w:t>CoP</w:t>
            </w:r>
            <w:proofErr w:type="spellEnd"/>
            <w:r>
              <w:rPr>
                <w:rFonts w:cstheme="minorHAnsi"/>
              </w:rPr>
              <w:t xml:space="preserve"> will capture their thoughts/feedback on the note-catcher. </w:t>
            </w:r>
            <w:r w:rsidR="0022407A">
              <w:rPr>
                <w:rFonts w:cstheme="minorHAnsi"/>
              </w:rPr>
              <w:t xml:space="preserve"> </w:t>
            </w:r>
          </w:p>
        </w:tc>
      </w:tr>
      <w:tr w:rsidR="003542C3" w:rsidRPr="00974AF6" w:rsidTr="003542C3">
        <w:trPr>
          <w:trHeight w:val="1610"/>
        </w:trPr>
        <w:tc>
          <w:tcPr>
            <w:tcW w:w="2131" w:type="dxa"/>
          </w:tcPr>
          <w:p w:rsidR="003542C3" w:rsidRPr="009833C5" w:rsidRDefault="003542C3" w:rsidP="003542C3">
            <w:pPr>
              <w:rPr>
                <w:rFonts w:cstheme="minorHAnsi"/>
                <w:b/>
              </w:rPr>
            </w:pPr>
            <w:r w:rsidRPr="009833C5">
              <w:rPr>
                <w:rFonts w:cstheme="minorHAnsi"/>
                <w:b/>
              </w:rPr>
              <w:lastRenderedPageBreak/>
              <w:t>Migrant Education</w:t>
            </w:r>
          </w:p>
          <w:p w:rsidR="003542C3" w:rsidRPr="009833C5" w:rsidRDefault="000201FB" w:rsidP="003542C3">
            <w:pPr>
              <w:rPr>
                <w:rFonts w:cstheme="minorHAnsi"/>
                <w:b/>
              </w:rPr>
            </w:pPr>
            <w:r>
              <w:rPr>
                <w:rFonts w:cstheme="minorHAnsi"/>
                <w:b/>
              </w:rPr>
              <w:t>1:00 – 1:40</w:t>
            </w:r>
          </w:p>
          <w:p w:rsidR="003542C3" w:rsidRPr="00974AF6" w:rsidRDefault="003542C3" w:rsidP="003542C3">
            <w:pPr>
              <w:rPr>
                <w:rFonts w:cstheme="minorHAnsi"/>
              </w:rPr>
            </w:pPr>
            <w:r>
              <w:rPr>
                <w:rFonts w:cstheme="minorHAnsi"/>
              </w:rPr>
              <w:t xml:space="preserve">Tomas Mejia </w:t>
            </w:r>
          </w:p>
        </w:tc>
        <w:tc>
          <w:tcPr>
            <w:tcW w:w="1649" w:type="dxa"/>
          </w:tcPr>
          <w:p w:rsidR="003542C3" w:rsidRPr="00974AF6" w:rsidRDefault="003542C3" w:rsidP="00527EE5">
            <w:pPr>
              <w:rPr>
                <w:rFonts w:cstheme="minorHAnsi"/>
              </w:rPr>
            </w:pPr>
            <w:r>
              <w:rPr>
                <w:rFonts w:cstheme="minorHAnsi"/>
              </w:rPr>
              <w:t xml:space="preserve">Migrant </w:t>
            </w:r>
            <w:r w:rsidR="00527EE5">
              <w:rPr>
                <w:rFonts w:cstheme="minorHAnsi"/>
              </w:rPr>
              <w:t xml:space="preserve">Education  Program </w:t>
            </w:r>
          </w:p>
        </w:tc>
        <w:tc>
          <w:tcPr>
            <w:tcW w:w="2479" w:type="dxa"/>
          </w:tcPr>
          <w:p w:rsidR="003542C3" w:rsidRDefault="003542C3" w:rsidP="00836E2D">
            <w:pPr>
              <w:rPr>
                <w:rFonts w:cstheme="minorHAnsi"/>
              </w:rPr>
            </w:pPr>
            <w:proofErr w:type="spellStart"/>
            <w:r w:rsidRPr="00527EE5">
              <w:rPr>
                <w:rFonts w:cstheme="minorHAnsi"/>
              </w:rPr>
              <w:t>CoP</w:t>
            </w:r>
            <w:proofErr w:type="spellEnd"/>
            <w:r w:rsidRPr="00527EE5">
              <w:rPr>
                <w:rFonts w:cstheme="minorHAnsi"/>
              </w:rPr>
              <w:t xml:space="preserve"> Prep:</w:t>
            </w:r>
            <w:r w:rsidR="00CD26B9">
              <w:rPr>
                <w:rFonts w:cstheme="minorHAnsi"/>
              </w:rPr>
              <w:t xml:space="preserve"> </w:t>
            </w:r>
          </w:p>
          <w:p w:rsidR="008E339D" w:rsidRDefault="008E339D" w:rsidP="008E339D">
            <w:pPr>
              <w:shd w:val="clear" w:color="auto" w:fill="FFFFFF"/>
            </w:pPr>
            <w:r>
              <w:rPr>
                <w:b/>
                <w:bCs/>
              </w:rPr>
              <w:t>Statutory Requirement:</w:t>
            </w:r>
            <w:r>
              <w:t xml:space="preserve"> 1309 of Title I, Part C</w:t>
            </w:r>
          </w:p>
          <w:p w:rsidR="008E339D" w:rsidRPr="00527EE5" w:rsidRDefault="008E339D" w:rsidP="008E339D">
            <w:pPr>
              <w:rPr>
                <w:rFonts w:cstheme="minorHAnsi"/>
              </w:rPr>
            </w:pPr>
            <w:r>
              <w:rPr>
                <w:b/>
                <w:bCs/>
                <w:color w:val="262626"/>
              </w:rPr>
              <w:t>Regulatory Requirements:</w:t>
            </w:r>
            <w:r>
              <w:rPr>
                <w:color w:val="262626"/>
              </w:rPr>
              <w:t xml:space="preserve"> Title I: C-CFR 200.81 and 200.103</w:t>
            </w:r>
          </w:p>
          <w:p w:rsidR="00836E2D" w:rsidRPr="00450638" w:rsidRDefault="00836E2D" w:rsidP="00836E2D">
            <w:pPr>
              <w:rPr>
                <w:rFonts w:cstheme="minorHAnsi"/>
                <w:highlight w:val="yellow"/>
              </w:rPr>
            </w:pPr>
          </w:p>
        </w:tc>
        <w:tc>
          <w:tcPr>
            <w:tcW w:w="1872" w:type="dxa"/>
          </w:tcPr>
          <w:p w:rsidR="008E339D" w:rsidRPr="00042758" w:rsidRDefault="008E339D" w:rsidP="008E339D">
            <w:pPr>
              <w:spacing w:line="252" w:lineRule="auto"/>
            </w:pPr>
            <w:r w:rsidRPr="00042758">
              <w:t>1. COP will have an understanding of current district notification processes of eligible migrant students.</w:t>
            </w:r>
          </w:p>
          <w:p w:rsidR="003542C3" w:rsidRPr="00042758" w:rsidRDefault="008E339D" w:rsidP="008E339D">
            <w:pPr>
              <w:rPr>
                <w:rFonts w:cstheme="minorHAnsi"/>
              </w:rPr>
            </w:pPr>
            <w:r w:rsidRPr="00042758">
              <w:t xml:space="preserve">2. </w:t>
            </w:r>
            <w:proofErr w:type="spellStart"/>
            <w:r w:rsidRPr="00042758">
              <w:t>CoP</w:t>
            </w:r>
            <w:proofErr w:type="spellEnd"/>
            <w:r w:rsidRPr="00042758">
              <w:t xml:space="preserve"> will have an opportunity to provide input on how they receive notifications of eligible migrant students.</w:t>
            </w:r>
          </w:p>
        </w:tc>
        <w:tc>
          <w:tcPr>
            <w:tcW w:w="2659" w:type="dxa"/>
          </w:tcPr>
          <w:p w:rsidR="00042758" w:rsidRDefault="00042758" w:rsidP="000842E4">
            <w:pPr>
              <w:rPr>
                <w:rFonts w:cstheme="minorHAnsi"/>
              </w:rPr>
            </w:pPr>
            <w:r w:rsidRPr="00042758">
              <w:rPr>
                <w:rFonts w:cstheme="minorHAnsi"/>
              </w:rPr>
              <w:t xml:space="preserve">1. </w:t>
            </w:r>
            <w:r w:rsidR="00942E7D">
              <w:rPr>
                <w:rFonts w:cstheme="minorHAnsi"/>
              </w:rPr>
              <w:t>Definition of</w:t>
            </w:r>
            <w:r>
              <w:rPr>
                <w:rFonts w:cstheme="minorHAnsi"/>
              </w:rPr>
              <w:t xml:space="preserve"> </w:t>
            </w:r>
            <w:r w:rsidR="00837AC3">
              <w:rPr>
                <w:rFonts w:cstheme="minorHAnsi"/>
              </w:rPr>
              <w:t>Migrant: children who have moved, changed schools due to economic factors</w:t>
            </w:r>
            <w:r w:rsidR="001C34C9">
              <w:rPr>
                <w:rFonts w:cstheme="minorHAnsi"/>
              </w:rPr>
              <w:t xml:space="preserve">. </w:t>
            </w:r>
          </w:p>
          <w:p w:rsidR="001C34C9" w:rsidRDefault="00942E7D" w:rsidP="000842E4">
            <w:pPr>
              <w:rPr>
                <w:rFonts w:cstheme="minorHAnsi"/>
              </w:rPr>
            </w:pPr>
            <w:r>
              <w:rPr>
                <w:rFonts w:cstheme="minorHAnsi"/>
              </w:rPr>
              <w:t>2</w:t>
            </w:r>
            <w:r w:rsidR="001C34C9">
              <w:rPr>
                <w:rFonts w:cstheme="minorHAnsi"/>
              </w:rPr>
              <w:t xml:space="preserve">. MEP has 5 regional programs to identify and prioritize these students. </w:t>
            </w:r>
          </w:p>
          <w:p w:rsidR="00C835C7" w:rsidRDefault="00942E7D" w:rsidP="000842E4">
            <w:pPr>
              <w:rPr>
                <w:rFonts w:cstheme="minorHAnsi"/>
              </w:rPr>
            </w:pPr>
            <w:r>
              <w:rPr>
                <w:rFonts w:cstheme="minorHAnsi"/>
              </w:rPr>
              <w:t>3</w:t>
            </w:r>
            <w:r w:rsidR="00C835C7">
              <w:rPr>
                <w:rFonts w:cstheme="minorHAnsi"/>
              </w:rPr>
              <w:t xml:space="preserve">. </w:t>
            </w:r>
            <w:proofErr w:type="spellStart"/>
            <w:r w:rsidR="00C835C7">
              <w:rPr>
                <w:rFonts w:cstheme="minorHAnsi"/>
              </w:rPr>
              <w:t>CoP</w:t>
            </w:r>
            <w:proofErr w:type="spellEnd"/>
            <w:r w:rsidR="00C835C7">
              <w:rPr>
                <w:rFonts w:cstheme="minorHAnsi"/>
              </w:rPr>
              <w:t xml:space="preserve"> Feedback: </w:t>
            </w:r>
            <w:r w:rsidR="002957CF">
              <w:rPr>
                <w:rFonts w:cstheme="minorHAnsi"/>
              </w:rPr>
              <w:t xml:space="preserve"> </w:t>
            </w:r>
          </w:p>
          <w:p w:rsidR="00DC0F9B" w:rsidRDefault="00DC0F9B" w:rsidP="000842E4">
            <w:pPr>
              <w:rPr>
                <w:rFonts w:cstheme="minorHAnsi"/>
              </w:rPr>
            </w:pPr>
            <w:r>
              <w:rPr>
                <w:rFonts w:cstheme="minorHAnsi"/>
              </w:rPr>
              <w:t>-</w:t>
            </w:r>
            <w:r w:rsidR="00AC56C0">
              <w:rPr>
                <w:rFonts w:cstheme="minorHAnsi"/>
              </w:rPr>
              <w:t xml:space="preserve">This survey has been most effective with schools who put it in their registration packets at the beginning of the school year. </w:t>
            </w:r>
          </w:p>
          <w:p w:rsidR="00F35229" w:rsidRDefault="00045085" w:rsidP="000842E4">
            <w:pPr>
              <w:rPr>
                <w:rFonts w:cstheme="minorHAnsi"/>
              </w:rPr>
            </w:pPr>
            <w:r>
              <w:rPr>
                <w:rFonts w:cstheme="minorHAnsi"/>
              </w:rPr>
              <w:t>-</w:t>
            </w:r>
            <w:r w:rsidR="00F35229">
              <w:rPr>
                <w:rFonts w:cstheme="minorHAnsi"/>
              </w:rPr>
              <w:t xml:space="preserve">What do we need, how can we get this information out, and who needs to know this information?  </w:t>
            </w:r>
          </w:p>
          <w:p w:rsidR="002D2D8D" w:rsidRDefault="00833611" w:rsidP="000842E4">
            <w:pPr>
              <w:rPr>
                <w:rFonts w:cstheme="minorHAnsi"/>
              </w:rPr>
            </w:pPr>
            <w:r>
              <w:rPr>
                <w:rFonts w:cstheme="minorHAnsi"/>
              </w:rPr>
              <w:t xml:space="preserve">-One piece that </w:t>
            </w:r>
            <w:r w:rsidR="00C134C9">
              <w:rPr>
                <w:rFonts w:cstheme="minorHAnsi"/>
              </w:rPr>
              <w:t xml:space="preserve">is missing </w:t>
            </w:r>
            <w:r>
              <w:rPr>
                <w:rFonts w:cstheme="minorHAnsi"/>
              </w:rPr>
              <w:t xml:space="preserve">is </w:t>
            </w:r>
            <w:r w:rsidR="00C134C9">
              <w:rPr>
                <w:rFonts w:cstheme="minorHAnsi"/>
              </w:rPr>
              <w:t xml:space="preserve">a notification </w:t>
            </w:r>
            <w:r>
              <w:rPr>
                <w:rFonts w:cstheme="minorHAnsi"/>
              </w:rPr>
              <w:t xml:space="preserve">when </w:t>
            </w:r>
            <w:r>
              <w:rPr>
                <w:rFonts w:cstheme="minorHAnsi"/>
              </w:rPr>
              <w:lastRenderedPageBreak/>
              <w:t>migrant student</w:t>
            </w:r>
            <w:r w:rsidR="00222126">
              <w:rPr>
                <w:rFonts w:cstheme="minorHAnsi"/>
              </w:rPr>
              <w:t>s</w:t>
            </w:r>
            <w:r>
              <w:rPr>
                <w:rFonts w:cstheme="minorHAnsi"/>
              </w:rPr>
              <w:t xml:space="preserve"> le</w:t>
            </w:r>
            <w:r w:rsidR="002D2D8D">
              <w:rPr>
                <w:rFonts w:cstheme="minorHAnsi"/>
              </w:rPr>
              <w:t xml:space="preserve">ave the state. </w:t>
            </w:r>
          </w:p>
          <w:p w:rsidR="00022428" w:rsidRDefault="00A71059" w:rsidP="00022428">
            <w:pPr>
              <w:rPr>
                <w:rFonts w:cstheme="minorHAnsi"/>
              </w:rPr>
            </w:pPr>
            <w:r>
              <w:rPr>
                <w:rFonts w:cstheme="minorHAnsi"/>
              </w:rPr>
              <w:t xml:space="preserve">4. </w:t>
            </w:r>
            <w:r w:rsidR="00022428">
              <w:rPr>
                <w:rFonts w:cstheme="minorHAnsi"/>
              </w:rPr>
              <w:t xml:space="preserve"> MEP is streamlining their data to provide the most accurate list of migrant students to districts. </w:t>
            </w:r>
          </w:p>
          <w:p w:rsidR="00144AAB" w:rsidRDefault="00A71059" w:rsidP="00022428">
            <w:pPr>
              <w:rPr>
                <w:rFonts w:cstheme="minorHAnsi"/>
              </w:rPr>
            </w:pPr>
            <w:r>
              <w:rPr>
                <w:rFonts w:cstheme="minorHAnsi"/>
              </w:rPr>
              <w:t>5</w:t>
            </w:r>
            <w:r w:rsidR="00144AAB">
              <w:rPr>
                <w:rFonts w:cstheme="minorHAnsi"/>
              </w:rPr>
              <w:t xml:space="preserve">. LEAs can have updated data on migrant students every day. </w:t>
            </w:r>
          </w:p>
          <w:p w:rsidR="00144AAB" w:rsidRDefault="00A71059" w:rsidP="00022428">
            <w:pPr>
              <w:rPr>
                <w:rFonts w:cstheme="minorHAnsi"/>
              </w:rPr>
            </w:pPr>
            <w:r>
              <w:rPr>
                <w:rFonts w:cstheme="minorHAnsi"/>
              </w:rPr>
              <w:t>6</w:t>
            </w:r>
            <w:r w:rsidR="00144AAB">
              <w:rPr>
                <w:rFonts w:cstheme="minorHAnsi"/>
              </w:rPr>
              <w:t xml:space="preserve">. </w:t>
            </w:r>
            <w:r w:rsidR="00647ED7">
              <w:rPr>
                <w:rFonts w:cstheme="minorHAnsi"/>
              </w:rPr>
              <w:t xml:space="preserve">Should there be a dedicated district personnel who can access the pipeline data? </w:t>
            </w:r>
          </w:p>
          <w:p w:rsidR="00144AAB" w:rsidRDefault="00A71059" w:rsidP="00022428">
            <w:pPr>
              <w:rPr>
                <w:rFonts w:cstheme="minorHAnsi"/>
              </w:rPr>
            </w:pPr>
            <w:r>
              <w:rPr>
                <w:rFonts w:cstheme="minorHAnsi"/>
              </w:rPr>
              <w:t>7</w:t>
            </w:r>
            <w:r w:rsidR="006874F5">
              <w:rPr>
                <w:rFonts w:cstheme="minorHAnsi"/>
              </w:rPr>
              <w:t xml:space="preserve">. Hemp is now a qualifying activity. </w:t>
            </w:r>
          </w:p>
          <w:p w:rsidR="006874F5" w:rsidRPr="00042758" w:rsidRDefault="00A71059" w:rsidP="00022428">
            <w:pPr>
              <w:rPr>
                <w:rFonts w:cstheme="minorHAnsi"/>
              </w:rPr>
            </w:pPr>
            <w:r>
              <w:rPr>
                <w:rFonts w:cstheme="minorHAnsi"/>
              </w:rPr>
              <w:t>8</w:t>
            </w:r>
            <w:r w:rsidR="006874F5">
              <w:rPr>
                <w:rFonts w:cstheme="minorHAnsi"/>
              </w:rPr>
              <w:t xml:space="preserve">. There are some fantastic opportunities for migrant students (refer to PowerPoint). </w:t>
            </w:r>
          </w:p>
        </w:tc>
      </w:tr>
      <w:tr w:rsidR="003542C3" w:rsidRPr="00974AF6" w:rsidTr="003542C3">
        <w:trPr>
          <w:trHeight w:val="1610"/>
        </w:trPr>
        <w:tc>
          <w:tcPr>
            <w:tcW w:w="2131" w:type="dxa"/>
          </w:tcPr>
          <w:p w:rsidR="003542C3" w:rsidRPr="009833C5" w:rsidRDefault="003542C3" w:rsidP="003542C3">
            <w:pPr>
              <w:rPr>
                <w:rFonts w:cstheme="minorHAnsi"/>
                <w:b/>
              </w:rPr>
            </w:pPr>
            <w:r w:rsidRPr="009833C5">
              <w:rPr>
                <w:rFonts w:cstheme="minorHAnsi"/>
                <w:b/>
              </w:rPr>
              <w:lastRenderedPageBreak/>
              <w:t>ESEA Fall Director’s Meeting</w:t>
            </w:r>
          </w:p>
          <w:p w:rsidR="003542C3" w:rsidRPr="009833C5" w:rsidRDefault="000201FB" w:rsidP="003542C3">
            <w:pPr>
              <w:rPr>
                <w:rFonts w:cstheme="minorHAnsi"/>
                <w:b/>
              </w:rPr>
            </w:pPr>
            <w:r>
              <w:rPr>
                <w:rFonts w:cstheme="minorHAnsi"/>
                <w:b/>
              </w:rPr>
              <w:t>1:40 – 2:15</w:t>
            </w:r>
          </w:p>
          <w:p w:rsidR="003542C3" w:rsidRPr="00974AF6" w:rsidRDefault="003542C3" w:rsidP="003542C3">
            <w:pPr>
              <w:rPr>
                <w:rFonts w:cstheme="minorHAnsi"/>
              </w:rPr>
            </w:pPr>
            <w:proofErr w:type="spellStart"/>
            <w:r>
              <w:rPr>
                <w:rFonts w:cstheme="minorHAnsi"/>
              </w:rPr>
              <w:t>Nazie</w:t>
            </w:r>
            <w:proofErr w:type="spellEnd"/>
            <w:r>
              <w:rPr>
                <w:rFonts w:cstheme="minorHAnsi"/>
              </w:rPr>
              <w:t xml:space="preserve"> Mohajeri-Nelson, DeLilah Collins</w:t>
            </w:r>
          </w:p>
        </w:tc>
        <w:tc>
          <w:tcPr>
            <w:tcW w:w="1649" w:type="dxa"/>
          </w:tcPr>
          <w:p w:rsidR="003542C3" w:rsidRPr="00974AF6" w:rsidRDefault="003542C3" w:rsidP="003542C3">
            <w:pPr>
              <w:rPr>
                <w:rFonts w:cstheme="minorHAnsi"/>
              </w:rPr>
            </w:pPr>
            <w:r>
              <w:rPr>
                <w:rFonts w:cstheme="minorHAnsi"/>
              </w:rPr>
              <w:t>ESEA Fall Director’s Meeting: Theme, Content, Timing, Location</w:t>
            </w:r>
          </w:p>
        </w:tc>
        <w:tc>
          <w:tcPr>
            <w:tcW w:w="2479" w:type="dxa"/>
          </w:tcPr>
          <w:p w:rsidR="00D22D6F" w:rsidRPr="00974AF6" w:rsidRDefault="003542C3" w:rsidP="005762E1">
            <w:pPr>
              <w:rPr>
                <w:rFonts w:cstheme="minorHAnsi"/>
              </w:rPr>
            </w:pPr>
            <w:proofErr w:type="spellStart"/>
            <w:r w:rsidRPr="00D22D6F">
              <w:rPr>
                <w:rFonts w:cstheme="minorHAnsi"/>
              </w:rPr>
              <w:t>CoP</w:t>
            </w:r>
            <w:proofErr w:type="spellEnd"/>
            <w:r w:rsidRPr="00D22D6F">
              <w:rPr>
                <w:rFonts w:cstheme="minorHAnsi"/>
              </w:rPr>
              <w:t xml:space="preserve"> Prep:</w:t>
            </w:r>
            <w:r w:rsidR="005762E1">
              <w:rPr>
                <w:rFonts w:cstheme="minorHAnsi"/>
              </w:rPr>
              <w:t xml:space="preserve"> </w:t>
            </w:r>
            <w:r w:rsidR="00D22D6F">
              <w:rPr>
                <w:rFonts w:cstheme="minorHAnsi"/>
              </w:rPr>
              <w:t>None</w:t>
            </w:r>
          </w:p>
        </w:tc>
        <w:tc>
          <w:tcPr>
            <w:tcW w:w="1872" w:type="dxa"/>
          </w:tcPr>
          <w:p w:rsidR="003542C3" w:rsidRPr="00974AF6" w:rsidRDefault="003542C3" w:rsidP="006A3D1A">
            <w:pPr>
              <w:rPr>
                <w:rFonts w:cstheme="minorHAnsi"/>
              </w:rPr>
            </w:pPr>
            <w:proofErr w:type="spellStart"/>
            <w:r>
              <w:rPr>
                <w:rFonts w:cstheme="minorHAnsi"/>
              </w:rPr>
              <w:t>CoP</w:t>
            </w:r>
            <w:proofErr w:type="spellEnd"/>
            <w:r>
              <w:rPr>
                <w:rFonts w:cstheme="minorHAnsi"/>
              </w:rPr>
              <w:t xml:space="preserve"> will provide input regarding content and timing of an ESEA Fall Director’s meeting sponsored by the CDE ESEA Programs Team</w:t>
            </w:r>
            <w:r w:rsidR="006A3D1A">
              <w:rPr>
                <w:rFonts w:cstheme="minorHAnsi"/>
              </w:rPr>
              <w:t xml:space="preserve">. </w:t>
            </w:r>
          </w:p>
        </w:tc>
        <w:tc>
          <w:tcPr>
            <w:tcW w:w="2659" w:type="dxa"/>
          </w:tcPr>
          <w:p w:rsidR="003542C3" w:rsidRDefault="00742504" w:rsidP="00742504">
            <w:pPr>
              <w:rPr>
                <w:rFonts w:cstheme="minorHAnsi"/>
              </w:rPr>
            </w:pPr>
            <w:r>
              <w:rPr>
                <w:rFonts w:cstheme="minorHAnsi"/>
              </w:rPr>
              <w:t xml:space="preserve">1. CDE would like to re-institute the ESEA Fall Director’s Meeting. </w:t>
            </w:r>
          </w:p>
          <w:p w:rsidR="00742504" w:rsidRDefault="00742504" w:rsidP="00742504">
            <w:pPr>
              <w:rPr>
                <w:rFonts w:cstheme="minorHAnsi"/>
              </w:rPr>
            </w:pPr>
            <w:r>
              <w:rPr>
                <w:rFonts w:cstheme="minorHAnsi"/>
              </w:rPr>
              <w:t xml:space="preserve">2. What topics would be most meaningful for us to cover at this conference?  </w:t>
            </w:r>
          </w:p>
          <w:p w:rsidR="00742504" w:rsidRDefault="00742504" w:rsidP="00742504">
            <w:pPr>
              <w:rPr>
                <w:rFonts w:cstheme="minorHAnsi"/>
              </w:rPr>
            </w:pPr>
            <w:r>
              <w:rPr>
                <w:rFonts w:cstheme="minorHAnsi"/>
              </w:rPr>
              <w:t xml:space="preserve">-Supplement not Supplant </w:t>
            </w:r>
          </w:p>
          <w:p w:rsidR="00742504" w:rsidRDefault="00742504" w:rsidP="00742504">
            <w:pPr>
              <w:rPr>
                <w:rFonts w:cstheme="minorHAnsi"/>
              </w:rPr>
            </w:pPr>
            <w:r>
              <w:rPr>
                <w:rFonts w:cstheme="minorHAnsi"/>
              </w:rPr>
              <w:t xml:space="preserve">-Successful Practices in Rural School Districts (Mitzi) </w:t>
            </w:r>
          </w:p>
          <w:p w:rsidR="00742504" w:rsidRDefault="00742504" w:rsidP="00742504">
            <w:pPr>
              <w:rPr>
                <w:rFonts w:cstheme="minorHAnsi"/>
              </w:rPr>
            </w:pPr>
            <w:r>
              <w:rPr>
                <w:rFonts w:cstheme="minorHAnsi"/>
              </w:rPr>
              <w:lastRenderedPageBreak/>
              <w:t>-</w:t>
            </w:r>
            <w:r w:rsidR="003D2C7C">
              <w:rPr>
                <w:rFonts w:cstheme="minorHAnsi"/>
              </w:rPr>
              <w:t xml:space="preserve">Integration of funds: how to maximize the funds that are granted to you? </w:t>
            </w:r>
          </w:p>
          <w:p w:rsidR="003D2C7C" w:rsidRDefault="003D2C7C" w:rsidP="00742504">
            <w:pPr>
              <w:rPr>
                <w:rFonts w:cstheme="minorHAnsi"/>
              </w:rPr>
            </w:pPr>
            <w:r>
              <w:rPr>
                <w:rFonts w:cstheme="minorHAnsi"/>
              </w:rPr>
              <w:t>-</w:t>
            </w:r>
            <w:r w:rsidR="00746C43">
              <w:rPr>
                <w:rFonts w:cstheme="minorHAnsi"/>
              </w:rPr>
              <w:t xml:space="preserve">Legal updates from Bruce. </w:t>
            </w:r>
          </w:p>
          <w:p w:rsidR="003D2C7C" w:rsidRDefault="003D2C7C" w:rsidP="00742504">
            <w:pPr>
              <w:rPr>
                <w:rFonts w:cstheme="minorHAnsi"/>
              </w:rPr>
            </w:pPr>
            <w:r>
              <w:rPr>
                <w:rFonts w:cstheme="minorHAnsi"/>
              </w:rPr>
              <w:t xml:space="preserve">-Overview of </w:t>
            </w:r>
            <w:r w:rsidR="00D17C3F">
              <w:rPr>
                <w:rFonts w:cstheme="minorHAnsi"/>
              </w:rPr>
              <w:t>funds spending on</w:t>
            </w:r>
            <w:r>
              <w:rPr>
                <w:rFonts w:cstheme="minorHAnsi"/>
              </w:rPr>
              <w:t xml:space="preserve"> different programs. </w:t>
            </w:r>
          </w:p>
          <w:p w:rsidR="003D2C7C" w:rsidRDefault="00D17C3F" w:rsidP="00742504">
            <w:pPr>
              <w:rPr>
                <w:rFonts w:cstheme="minorHAnsi"/>
              </w:rPr>
            </w:pPr>
            <w:r>
              <w:rPr>
                <w:rFonts w:cstheme="minorHAnsi"/>
              </w:rPr>
              <w:t>-Ideas/strategies</w:t>
            </w:r>
            <w:r w:rsidR="003D2C7C">
              <w:rPr>
                <w:rFonts w:cstheme="minorHAnsi"/>
              </w:rPr>
              <w:t xml:space="preserve"> from districts that have been monitored. </w:t>
            </w:r>
            <w:r>
              <w:rPr>
                <w:rFonts w:cstheme="minorHAnsi"/>
              </w:rPr>
              <w:t>“</w:t>
            </w:r>
            <w:r w:rsidR="003D2C7C">
              <w:rPr>
                <w:rFonts w:cstheme="minorHAnsi"/>
              </w:rPr>
              <w:t>How are they using their fund</w:t>
            </w:r>
            <w:r>
              <w:rPr>
                <w:rFonts w:cstheme="minorHAnsi"/>
              </w:rPr>
              <w:t>s and what are their practices?”</w:t>
            </w:r>
          </w:p>
          <w:p w:rsidR="00034DB3" w:rsidRDefault="00034DB3" w:rsidP="00742504">
            <w:pPr>
              <w:rPr>
                <w:rFonts w:cstheme="minorHAnsi"/>
              </w:rPr>
            </w:pPr>
            <w:r>
              <w:rPr>
                <w:rFonts w:cstheme="minorHAnsi"/>
              </w:rPr>
              <w:t xml:space="preserve">-Overview of monitoring (not heavy into detail). </w:t>
            </w:r>
          </w:p>
          <w:p w:rsidR="00FD0C53" w:rsidRDefault="00034DB3" w:rsidP="00742504">
            <w:pPr>
              <w:rPr>
                <w:rFonts w:cstheme="minorHAnsi"/>
              </w:rPr>
            </w:pPr>
            <w:r>
              <w:rPr>
                <w:rFonts w:cstheme="minorHAnsi"/>
              </w:rPr>
              <w:t>-</w:t>
            </w:r>
            <w:r w:rsidR="00FD0C53">
              <w:rPr>
                <w:rFonts w:cstheme="minorHAnsi"/>
              </w:rPr>
              <w:t xml:space="preserve">-Fiscal breakout session. </w:t>
            </w:r>
          </w:p>
          <w:p w:rsidR="00FD0C53" w:rsidRDefault="00FD0C53" w:rsidP="00742504">
            <w:pPr>
              <w:rPr>
                <w:rFonts w:cstheme="minorHAnsi"/>
              </w:rPr>
            </w:pPr>
            <w:r>
              <w:rPr>
                <w:rFonts w:cstheme="minorHAnsi"/>
              </w:rPr>
              <w:t>-</w:t>
            </w:r>
            <w:r w:rsidR="0098383A">
              <w:rPr>
                <w:rFonts w:cstheme="minorHAnsi"/>
              </w:rPr>
              <w:t>Title IV guidance</w:t>
            </w:r>
          </w:p>
          <w:p w:rsidR="00462DD0" w:rsidRDefault="00462DD0" w:rsidP="00742504">
            <w:pPr>
              <w:rPr>
                <w:rFonts w:cstheme="minorHAnsi"/>
              </w:rPr>
            </w:pPr>
            <w:r>
              <w:rPr>
                <w:rFonts w:cstheme="minorHAnsi"/>
              </w:rPr>
              <w:t>-</w:t>
            </w:r>
            <w:r w:rsidR="00D17C3F">
              <w:rPr>
                <w:rFonts w:cstheme="minorHAnsi"/>
              </w:rPr>
              <w:t>Year-at-a-glance calendar</w:t>
            </w:r>
            <w:r>
              <w:rPr>
                <w:rFonts w:cstheme="minorHAnsi"/>
              </w:rPr>
              <w:t xml:space="preserve"> with Regional Network Meetings. </w:t>
            </w:r>
          </w:p>
          <w:p w:rsidR="00462DD0" w:rsidRDefault="00462DD0" w:rsidP="00742504">
            <w:pPr>
              <w:rPr>
                <w:rFonts w:cstheme="minorHAnsi"/>
              </w:rPr>
            </w:pPr>
            <w:r>
              <w:rPr>
                <w:rFonts w:cstheme="minorHAnsi"/>
              </w:rPr>
              <w:t xml:space="preserve">-Discussion of the program evaluation trainings. </w:t>
            </w:r>
          </w:p>
          <w:p w:rsidR="00AF053B" w:rsidRDefault="00AF053B" w:rsidP="00742504">
            <w:pPr>
              <w:rPr>
                <w:rFonts w:cstheme="minorHAnsi"/>
              </w:rPr>
            </w:pPr>
            <w:r>
              <w:rPr>
                <w:rFonts w:cstheme="minorHAnsi"/>
              </w:rPr>
              <w:t xml:space="preserve">-BOCES session (birds of a feather session). </w:t>
            </w:r>
          </w:p>
          <w:p w:rsidR="00D17C3F" w:rsidRDefault="00D17C3F" w:rsidP="00742504">
            <w:pPr>
              <w:rPr>
                <w:rFonts w:cstheme="minorHAnsi"/>
              </w:rPr>
            </w:pPr>
            <w:r>
              <w:rPr>
                <w:rFonts w:cstheme="minorHAnsi"/>
              </w:rPr>
              <w:t>*Make it clear to the field that this is specifically for ESEA directors.*</w:t>
            </w:r>
          </w:p>
          <w:p w:rsidR="00F2300E" w:rsidRPr="00974AF6" w:rsidRDefault="007D4470" w:rsidP="007D4470">
            <w:pPr>
              <w:rPr>
                <w:rFonts w:cstheme="minorHAnsi"/>
              </w:rPr>
            </w:pPr>
            <w:r>
              <w:rPr>
                <w:rFonts w:cstheme="minorHAnsi"/>
              </w:rPr>
              <w:t xml:space="preserve">3. The location of this conference </w:t>
            </w:r>
            <w:r w:rsidR="00B62E97">
              <w:rPr>
                <w:rFonts w:cstheme="minorHAnsi"/>
              </w:rPr>
              <w:t xml:space="preserve">is TBD (CDE will consider other </w:t>
            </w:r>
            <w:r w:rsidR="00B62E97">
              <w:rPr>
                <w:rFonts w:cstheme="minorHAnsi"/>
              </w:rPr>
              <w:lastRenderedPageBreak/>
              <w:t xml:space="preserve">locations than the metro area). </w:t>
            </w:r>
          </w:p>
        </w:tc>
      </w:tr>
      <w:tr w:rsidR="00D10C96" w:rsidRPr="00974AF6" w:rsidTr="00D10C96">
        <w:trPr>
          <w:trHeight w:val="1610"/>
        </w:trPr>
        <w:tc>
          <w:tcPr>
            <w:tcW w:w="2131" w:type="dxa"/>
          </w:tcPr>
          <w:p w:rsidR="00D10C96" w:rsidRPr="009833C5" w:rsidRDefault="00D10C96" w:rsidP="00D10C96">
            <w:pPr>
              <w:rPr>
                <w:rFonts w:cstheme="minorHAnsi"/>
                <w:b/>
              </w:rPr>
            </w:pPr>
            <w:r w:rsidRPr="009833C5">
              <w:rPr>
                <w:rFonts w:cstheme="minorHAnsi"/>
                <w:b/>
              </w:rPr>
              <w:lastRenderedPageBreak/>
              <w:t>Consolidated Application</w:t>
            </w:r>
          </w:p>
          <w:p w:rsidR="00D10C96" w:rsidRPr="009833C5" w:rsidRDefault="00D10C96" w:rsidP="00D10C96">
            <w:pPr>
              <w:rPr>
                <w:rFonts w:cstheme="minorHAnsi"/>
                <w:b/>
              </w:rPr>
            </w:pPr>
            <w:r>
              <w:rPr>
                <w:rFonts w:cstheme="minorHAnsi"/>
                <w:b/>
              </w:rPr>
              <w:t>2:15</w:t>
            </w:r>
            <w:r w:rsidRPr="009833C5">
              <w:rPr>
                <w:rFonts w:cstheme="minorHAnsi"/>
                <w:b/>
              </w:rPr>
              <w:t xml:space="preserve"> – 3:00</w:t>
            </w:r>
          </w:p>
          <w:p w:rsidR="00D10C96" w:rsidRPr="00974AF6" w:rsidRDefault="00D10C96" w:rsidP="00D10C96">
            <w:pPr>
              <w:rPr>
                <w:rFonts w:cstheme="minorHAnsi"/>
              </w:rPr>
            </w:pPr>
            <w:r>
              <w:rPr>
                <w:rFonts w:cstheme="minorHAnsi"/>
              </w:rPr>
              <w:t xml:space="preserve">DeLilah Collins, </w:t>
            </w:r>
          </w:p>
        </w:tc>
        <w:tc>
          <w:tcPr>
            <w:tcW w:w="1649" w:type="dxa"/>
            <w:tcBorders>
              <w:top w:val="nil"/>
              <w:left w:val="nil"/>
              <w:bottom w:val="single" w:sz="8" w:space="0" w:color="auto"/>
              <w:right w:val="single" w:sz="8" w:space="0" w:color="auto"/>
            </w:tcBorders>
          </w:tcPr>
          <w:p w:rsidR="00D10C96" w:rsidRDefault="00D10C96" w:rsidP="00D10C96">
            <w:pPr>
              <w:pStyle w:val="ListParagraph"/>
              <w:numPr>
                <w:ilvl w:val="0"/>
                <w:numId w:val="3"/>
              </w:numPr>
            </w:pPr>
            <w:r>
              <w:t>Title II Question Clarification</w:t>
            </w:r>
          </w:p>
          <w:p w:rsidR="00D10C96" w:rsidRDefault="00D10C96" w:rsidP="00D10C96">
            <w:pPr>
              <w:pStyle w:val="ListParagraph"/>
              <w:numPr>
                <w:ilvl w:val="0"/>
                <w:numId w:val="3"/>
              </w:numPr>
            </w:pPr>
            <w:r w:rsidRPr="00D10C96">
              <w:t>Phased in Approach to Submission</w:t>
            </w:r>
          </w:p>
        </w:tc>
        <w:tc>
          <w:tcPr>
            <w:tcW w:w="2479" w:type="dxa"/>
            <w:tcBorders>
              <w:top w:val="nil"/>
              <w:left w:val="nil"/>
              <w:bottom w:val="single" w:sz="8" w:space="0" w:color="auto"/>
              <w:right w:val="single" w:sz="8" w:space="0" w:color="auto"/>
            </w:tcBorders>
            <w:shd w:val="clear" w:color="auto" w:fill="auto"/>
          </w:tcPr>
          <w:p w:rsidR="00D10C96" w:rsidRPr="00D10C96" w:rsidRDefault="00D10C96" w:rsidP="00D10C96">
            <w:proofErr w:type="spellStart"/>
            <w:r w:rsidRPr="00D10C96">
              <w:t>CoP</w:t>
            </w:r>
            <w:proofErr w:type="spellEnd"/>
            <w:r w:rsidRPr="00D10C96">
              <w:t xml:space="preserve"> Prep: Review the proposed Title II revised question. Provide edits and input on the type of response that will be provided based on the questions asked. </w:t>
            </w:r>
          </w:p>
          <w:p w:rsidR="00D10C96" w:rsidRPr="00D10C96" w:rsidRDefault="00D10C96" w:rsidP="00D10C96"/>
          <w:p w:rsidR="00D10C96" w:rsidRPr="00D10C96" w:rsidRDefault="00D10C96" w:rsidP="00D10C96">
            <w:r w:rsidRPr="00D10C96">
              <w:t xml:space="preserve">Do the updates help clarify what response is needed? </w:t>
            </w:r>
          </w:p>
          <w:p w:rsidR="00D10C96" w:rsidRPr="00D10C96" w:rsidRDefault="00D10C96" w:rsidP="00D10C96"/>
          <w:p w:rsidR="00D10C96" w:rsidRPr="00D10C96" w:rsidRDefault="00D10C96" w:rsidP="00D10C96">
            <w:r w:rsidRPr="00D10C96">
              <w:t>Are additional edits needed?</w:t>
            </w:r>
          </w:p>
        </w:tc>
        <w:tc>
          <w:tcPr>
            <w:tcW w:w="1872" w:type="dxa"/>
            <w:tcBorders>
              <w:top w:val="nil"/>
              <w:left w:val="nil"/>
              <w:bottom w:val="single" w:sz="8" w:space="0" w:color="auto"/>
              <w:right w:val="single" w:sz="8" w:space="0" w:color="auto"/>
            </w:tcBorders>
          </w:tcPr>
          <w:p w:rsidR="00D10C96" w:rsidRPr="00D10C96" w:rsidRDefault="00D10C96" w:rsidP="00D10C96">
            <w:r w:rsidRPr="00D10C96">
              <w:t xml:space="preserve">CDE staff will clarify expectations of the Title II </w:t>
            </w:r>
            <w:proofErr w:type="spellStart"/>
            <w:r w:rsidRPr="00D10C96">
              <w:t>Consap</w:t>
            </w:r>
            <w:proofErr w:type="spellEnd"/>
            <w:r w:rsidRPr="00D10C96">
              <w:t xml:space="preserve"> Question with </w:t>
            </w:r>
            <w:proofErr w:type="spellStart"/>
            <w:r w:rsidRPr="00D10C96">
              <w:t>CoP</w:t>
            </w:r>
            <w:proofErr w:type="spellEnd"/>
            <w:r w:rsidRPr="00D10C96">
              <w:t xml:space="preserve"> input.</w:t>
            </w:r>
          </w:p>
          <w:p w:rsidR="00D10C96" w:rsidRPr="00D10C96" w:rsidRDefault="00D10C96" w:rsidP="00D10C96"/>
          <w:p w:rsidR="00D10C96" w:rsidRPr="00D10C96" w:rsidRDefault="00D10C96" w:rsidP="00D10C96">
            <w:r w:rsidRPr="00D10C96">
              <w:t xml:space="preserve">CDE staff will ask for </w:t>
            </w:r>
            <w:proofErr w:type="spellStart"/>
            <w:r w:rsidRPr="00D10C96">
              <w:t>CoP</w:t>
            </w:r>
            <w:proofErr w:type="spellEnd"/>
            <w:r w:rsidRPr="00D10C96">
              <w:t xml:space="preserve"> input regarding a phased-in approach to the completion of the Consolidated Application</w:t>
            </w:r>
          </w:p>
        </w:tc>
        <w:tc>
          <w:tcPr>
            <w:tcW w:w="2659" w:type="dxa"/>
          </w:tcPr>
          <w:p w:rsidR="00FB04AF" w:rsidRDefault="00E50811" w:rsidP="00F75E1B">
            <w:pPr>
              <w:rPr>
                <w:rFonts w:cstheme="minorHAnsi"/>
              </w:rPr>
            </w:pPr>
            <w:r>
              <w:rPr>
                <w:rFonts w:cstheme="minorHAnsi"/>
              </w:rPr>
              <w:t xml:space="preserve">1. </w:t>
            </w:r>
            <w:r w:rsidR="00F75E1B">
              <w:rPr>
                <w:rFonts w:cstheme="minorHAnsi"/>
              </w:rPr>
              <w:t xml:space="preserve">The </w:t>
            </w:r>
            <w:r w:rsidR="000C6FA3">
              <w:rPr>
                <w:rFonts w:cstheme="minorHAnsi"/>
              </w:rPr>
              <w:t>Title II question</w:t>
            </w:r>
            <w:r w:rsidR="00271C9C">
              <w:rPr>
                <w:rFonts w:cstheme="minorHAnsi"/>
              </w:rPr>
              <w:t xml:space="preserve"> </w:t>
            </w:r>
            <w:r w:rsidR="00F75E1B">
              <w:rPr>
                <w:rFonts w:cstheme="minorHAnsi"/>
              </w:rPr>
              <w:t xml:space="preserve">asks: </w:t>
            </w:r>
            <w:r w:rsidR="000C6FA3">
              <w:rPr>
                <w:rFonts w:cstheme="minorHAnsi"/>
              </w:rPr>
              <w:t>H</w:t>
            </w:r>
            <w:r w:rsidR="00FB04AF">
              <w:rPr>
                <w:rFonts w:cstheme="minorHAnsi"/>
              </w:rPr>
              <w:t xml:space="preserve">ow are </w:t>
            </w:r>
            <w:r w:rsidR="00F75E1B">
              <w:rPr>
                <w:rFonts w:cstheme="minorHAnsi"/>
              </w:rPr>
              <w:t xml:space="preserve">districts </w:t>
            </w:r>
            <w:r w:rsidR="00FB04AF">
              <w:rPr>
                <w:rFonts w:cstheme="minorHAnsi"/>
              </w:rPr>
              <w:t xml:space="preserve">prioritizing </w:t>
            </w:r>
            <w:r w:rsidR="004E6E99">
              <w:rPr>
                <w:rFonts w:cstheme="minorHAnsi"/>
              </w:rPr>
              <w:t>Title II funds to meet the needs of</w:t>
            </w:r>
            <w:r w:rsidR="00271C9C">
              <w:rPr>
                <w:rFonts w:cstheme="minorHAnsi"/>
              </w:rPr>
              <w:t xml:space="preserve"> the</w:t>
            </w:r>
            <w:r w:rsidR="004E6E99">
              <w:rPr>
                <w:rFonts w:cstheme="minorHAnsi"/>
              </w:rPr>
              <w:t xml:space="preserve"> hi</w:t>
            </w:r>
            <w:r w:rsidR="00FB04AF">
              <w:rPr>
                <w:rFonts w:cstheme="minorHAnsi"/>
              </w:rPr>
              <w:t xml:space="preserve">ghest needs schools? </w:t>
            </w:r>
            <w:r w:rsidR="00F75E1B">
              <w:rPr>
                <w:rFonts w:cstheme="minorHAnsi"/>
              </w:rPr>
              <w:t xml:space="preserve">(ESSA, Title II). </w:t>
            </w:r>
          </w:p>
          <w:p w:rsidR="0057139F" w:rsidRDefault="009D65A0" w:rsidP="00F75E1B">
            <w:pPr>
              <w:rPr>
                <w:rFonts w:cstheme="minorHAnsi"/>
              </w:rPr>
            </w:pPr>
            <w:r>
              <w:rPr>
                <w:rFonts w:cstheme="minorHAnsi"/>
              </w:rPr>
              <w:t>2</w:t>
            </w:r>
            <w:r w:rsidR="004E6E99">
              <w:rPr>
                <w:rFonts w:cstheme="minorHAnsi"/>
              </w:rPr>
              <w:t xml:space="preserve">. </w:t>
            </w:r>
            <w:r w:rsidR="000359D7">
              <w:rPr>
                <w:rFonts w:cstheme="minorHAnsi"/>
              </w:rPr>
              <w:t>The district</w:t>
            </w:r>
            <w:r w:rsidR="00271C9C">
              <w:rPr>
                <w:rFonts w:cstheme="minorHAnsi"/>
              </w:rPr>
              <w:t xml:space="preserve"> will first</w:t>
            </w:r>
            <w:r w:rsidR="000359D7">
              <w:rPr>
                <w:rFonts w:cstheme="minorHAnsi"/>
              </w:rPr>
              <w:t xml:space="preserve"> need to identify the ‘highest poverty school.’ There’s no number attached to this.</w:t>
            </w:r>
          </w:p>
          <w:p w:rsidR="00B36179" w:rsidRDefault="009D65A0" w:rsidP="00F75E1B">
            <w:pPr>
              <w:rPr>
                <w:rFonts w:cstheme="minorHAnsi"/>
              </w:rPr>
            </w:pPr>
            <w:r>
              <w:rPr>
                <w:rFonts w:cstheme="minorHAnsi"/>
              </w:rPr>
              <w:t xml:space="preserve">3. </w:t>
            </w:r>
            <w:proofErr w:type="spellStart"/>
            <w:r w:rsidR="00B36179">
              <w:rPr>
                <w:rFonts w:cstheme="minorHAnsi"/>
              </w:rPr>
              <w:t>CoP</w:t>
            </w:r>
            <w:proofErr w:type="spellEnd"/>
            <w:r w:rsidR="00B36179">
              <w:rPr>
                <w:rFonts w:cstheme="minorHAnsi"/>
              </w:rPr>
              <w:t xml:space="preserve"> Feedback: </w:t>
            </w:r>
          </w:p>
          <w:p w:rsidR="00B36179" w:rsidRDefault="00B36179" w:rsidP="00F75E1B">
            <w:pPr>
              <w:rPr>
                <w:rFonts w:cstheme="minorHAnsi"/>
              </w:rPr>
            </w:pPr>
            <w:r>
              <w:rPr>
                <w:rFonts w:cstheme="minorHAnsi"/>
              </w:rPr>
              <w:t xml:space="preserve">-Is this a requirement? </w:t>
            </w:r>
          </w:p>
          <w:p w:rsidR="00BE45F0" w:rsidRDefault="00876F7C" w:rsidP="00F75E1B">
            <w:pPr>
              <w:rPr>
                <w:rFonts w:cstheme="minorHAnsi"/>
              </w:rPr>
            </w:pPr>
            <w:r>
              <w:rPr>
                <w:rFonts w:cstheme="minorHAnsi"/>
              </w:rPr>
              <w:t>-</w:t>
            </w:r>
            <w:r w:rsidR="00BE45F0">
              <w:rPr>
                <w:rFonts w:cstheme="minorHAnsi"/>
              </w:rPr>
              <w:t xml:space="preserve">Add a scenario to the Title II Question. </w:t>
            </w:r>
          </w:p>
          <w:p w:rsidR="007D57D2" w:rsidRDefault="0060454D" w:rsidP="00F75E1B">
            <w:pPr>
              <w:rPr>
                <w:rFonts w:cstheme="minorHAnsi"/>
              </w:rPr>
            </w:pPr>
            <w:r>
              <w:rPr>
                <w:rFonts w:cstheme="minorHAnsi"/>
              </w:rPr>
              <w:t xml:space="preserve">-Break this out into two questions: </w:t>
            </w:r>
          </w:p>
          <w:p w:rsidR="0060454D" w:rsidRDefault="004D7DDD" w:rsidP="00F75E1B">
            <w:pPr>
              <w:rPr>
                <w:rFonts w:cstheme="minorHAnsi"/>
              </w:rPr>
            </w:pPr>
            <w:r>
              <w:rPr>
                <w:rFonts w:cstheme="minorHAnsi"/>
              </w:rPr>
              <w:t>**</w:t>
            </w:r>
            <w:r w:rsidR="007D57D2">
              <w:rPr>
                <w:rFonts w:cstheme="minorHAnsi"/>
              </w:rPr>
              <w:t xml:space="preserve">How are Title II funds being used to ensure the inclusion of all schools? </w:t>
            </w:r>
          </w:p>
          <w:p w:rsidR="007D57D2" w:rsidRDefault="004D7DDD" w:rsidP="00F75E1B">
            <w:pPr>
              <w:rPr>
                <w:rFonts w:cstheme="minorHAnsi"/>
              </w:rPr>
            </w:pPr>
            <w:r>
              <w:rPr>
                <w:rFonts w:cstheme="minorHAnsi"/>
              </w:rPr>
              <w:t>**</w:t>
            </w:r>
            <w:r w:rsidR="007D57D2">
              <w:rPr>
                <w:rFonts w:cstheme="minorHAnsi"/>
              </w:rPr>
              <w:t xml:space="preserve">If there are not enough Title II funds available how are they being </w:t>
            </w:r>
            <w:r w:rsidR="007C150D">
              <w:rPr>
                <w:rFonts w:cstheme="minorHAnsi"/>
              </w:rPr>
              <w:t xml:space="preserve">prioritized? </w:t>
            </w:r>
          </w:p>
          <w:p w:rsidR="006E1D1B" w:rsidRDefault="004D7DDD" w:rsidP="00F75E1B">
            <w:pPr>
              <w:rPr>
                <w:rFonts w:cstheme="minorHAnsi"/>
              </w:rPr>
            </w:pPr>
            <w:r>
              <w:rPr>
                <w:rFonts w:cstheme="minorHAnsi"/>
              </w:rPr>
              <w:lastRenderedPageBreak/>
              <w:t>4</w:t>
            </w:r>
            <w:r w:rsidR="006E1D1B">
              <w:rPr>
                <w:rFonts w:cstheme="minorHAnsi"/>
              </w:rPr>
              <w:t xml:space="preserve">. </w:t>
            </w:r>
            <w:r>
              <w:rPr>
                <w:rFonts w:cstheme="minorHAnsi"/>
              </w:rPr>
              <w:t>CDE</w:t>
            </w:r>
            <w:r w:rsidR="0089523F">
              <w:rPr>
                <w:rFonts w:cstheme="minorHAnsi"/>
              </w:rPr>
              <w:t xml:space="preserve"> will work to i</w:t>
            </w:r>
            <w:r w:rsidR="006E1D1B">
              <w:rPr>
                <w:rFonts w:cstheme="minorHAnsi"/>
              </w:rPr>
              <w:t xml:space="preserve">llustrate some of the flexibilities available under this statutory language. </w:t>
            </w:r>
          </w:p>
          <w:p w:rsidR="00633F60" w:rsidRDefault="004D7DDD" w:rsidP="00F75E1B">
            <w:pPr>
              <w:rPr>
                <w:rFonts w:cstheme="minorHAnsi"/>
              </w:rPr>
            </w:pPr>
            <w:r>
              <w:rPr>
                <w:rFonts w:cstheme="minorHAnsi"/>
              </w:rPr>
              <w:t>5</w:t>
            </w:r>
            <w:r w:rsidR="0089523F">
              <w:rPr>
                <w:rFonts w:cstheme="minorHAnsi"/>
              </w:rPr>
              <w:t xml:space="preserve">. </w:t>
            </w:r>
            <w:r>
              <w:rPr>
                <w:rFonts w:cstheme="minorHAnsi"/>
              </w:rPr>
              <w:t xml:space="preserve">It would be beneficial to </w:t>
            </w:r>
            <w:proofErr w:type="spellStart"/>
            <w:r>
              <w:rPr>
                <w:rFonts w:cstheme="minorHAnsi"/>
              </w:rPr>
              <w:t>CoP</w:t>
            </w:r>
            <w:proofErr w:type="spellEnd"/>
            <w:r>
              <w:rPr>
                <w:rFonts w:cstheme="minorHAnsi"/>
              </w:rPr>
              <w:t xml:space="preserve"> if there were p</w:t>
            </w:r>
            <w:r w:rsidR="0089523F">
              <w:rPr>
                <w:rFonts w:cstheme="minorHAnsi"/>
              </w:rPr>
              <w:t>arenthetical statement on the end</w:t>
            </w:r>
            <w:r w:rsidR="00742101">
              <w:rPr>
                <w:rFonts w:cstheme="minorHAnsi"/>
              </w:rPr>
              <w:t xml:space="preserve"> of the question to clarify the expectations.</w:t>
            </w:r>
          </w:p>
          <w:p w:rsidR="00C0526D" w:rsidRDefault="004D7DDD" w:rsidP="00F75E1B">
            <w:pPr>
              <w:rPr>
                <w:rFonts w:cstheme="minorHAnsi"/>
              </w:rPr>
            </w:pPr>
            <w:r>
              <w:rPr>
                <w:rFonts w:cstheme="minorHAnsi"/>
              </w:rPr>
              <w:t>6</w:t>
            </w:r>
            <w:r w:rsidR="00633F60">
              <w:rPr>
                <w:rFonts w:cstheme="minorHAnsi"/>
              </w:rPr>
              <w:t xml:space="preserve">. </w:t>
            </w:r>
            <w:r w:rsidR="00742101">
              <w:rPr>
                <w:rFonts w:cstheme="minorHAnsi"/>
              </w:rPr>
              <w:t xml:space="preserve"> </w:t>
            </w:r>
            <w:r w:rsidR="00C0526D">
              <w:rPr>
                <w:rFonts w:cstheme="minorHAnsi"/>
              </w:rPr>
              <w:t xml:space="preserve">CDE may not be able to bring back to </w:t>
            </w:r>
            <w:proofErr w:type="spellStart"/>
            <w:r w:rsidR="00C0526D">
              <w:rPr>
                <w:rFonts w:cstheme="minorHAnsi"/>
              </w:rPr>
              <w:t>CoP</w:t>
            </w:r>
            <w:proofErr w:type="spellEnd"/>
            <w:r w:rsidR="00C0526D">
              <w:rPr>
                <w:rFonts w:cstheme="minorHAnsi"/>
              </w:rPr>
              <w:t xml:space="preserve"> in April but we will route this via email for your feedback.  </w:t>
            </w:r>
          </w:p>
          <w:p w:rsidR="004E6E99" w:rsidRPr="00974AF6" w:rsidRDefault="004E6E99" w:rsidP="00F75E1B">
            <w:pPr>
              <w:rPr>
                <w:rFonts w:cstheme="minorHAnsi"/>
              </w:rPr>
            </w:pPr>
            <w:r>
              <w:rPr>
                <w:rFonts w:cstheme="minorHAnsi"/>
              </w:rPr>
              <w:t xml:space="preserve"> </w:t>
            </w:r>
          </w:p>
        </w:tc>
      </w:tr>
    </w:tbl>
    <w:p w:rsidR="00401814" w:rsidRPr="00974AF6" w:rsidRDefault="00401814" w:rsidP="00974AF6">
      <w:pPr>
        <w:jc w:val="center"/>
        <w:rPr>
          <w:rFonts w:cstheme="minorHAnsi"/>
        </w:rPr>
      </w:pPr>
    </w:p>
    <w:sectPr w:rsidR="00401814" w:rsidRPr="00974AF6" w:rsidSect="0040181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AC6" w:rsidRDefault="00DB6AC6" w:rsidP="00401814">
      <w:pPr>
        <w:spacing w:after="0" w:line="240" w:lineRule="auto"/>
      </w:pPr>
      <w:r>
        <w:separator/>
      </w:r>
    </w:p>
  </w:endnote>
  <w:endnote w:type="continuationSeparator" w:id="0">
    <w:p w:rsidR="00DB6AC6" w:rsidRDefault="00DB6AC6" w:rsidP="0040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149448"/>
      <w:docPartObj>
        <w:docPartGallery w:val="Page Numbers (Bottom of Page)"/>
        <w:docPartUnique/>
      </w:docPartObj>
    </w:sdtPr>
    <w:sdtEndPr>
      <w:rPr>
        <w:noProof/>
      </w:rPr>
    </w:sdtEndPr>
    <w:sdtContent>
      <w:p w:rsidR="006A3D1A" w:rsidRDefault="006A3D1A">
        <w:pPr>
          <w:pStyle w:val="Footer"/>
          <w:jc w:val="right"/>
        </w:pPr>
        <w:r>
          <w:fldChar w:fldCharType="begin"/>
        </w:r>
        <w:r>
          <w:instrText xml:space="preserve"> PAGE   \* MERGEFORMAT </w:instrText>
        </w:r>
        <w:r>
          <w:fldChar w:fldCharType="separate"/>
        </w:r>
        <w:r w:rsidR="005E278F">
          <w:rPr>
            <w:noProof/>
          </w:rPr>
          <w:t>11</w:t>
        </w:r>
        <w:r>
          <w:rPr>
            <w:noProof/>
          </w:rPr>
          <w:fldChar w:fldCharType="end"/>
        </w:r>
      </w:p>
    </w:sdtContent>
  </w:sdt>
  <w:p w:rsidR="006A3D1A" w:rsidRDefault="006A3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AC6" w:rsidRDefault="00DB6AC6" w:rsidP="00401814">
      <w:pPr>
        <w:spacing w:after="0" w:line="240" w:lineRule="auto"/>
      </w:pPr>
      <w:r>
        <w:separator/>
      </w:r>
    </w:p>
  </w:footnote>
  <w:footnote w:type="continuationSeparator" w:id="0">
    <w:p w:rsidR="00DB6AC6" w:rsidRDefault="00DB6AC6" w:rsidP="00401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14" w:rsidRDefault="00401814">
    <w:pPr>
      <w:pStyle w:val="Header"/>
    </w:pPr>
    <w:r>
      <w:rPr>
        <w:noProof/>
      </w:rPr>
      <w:drawing>
        <wp:inline distT="0" distB="0" distL="0" distR="0">
          <wp:extent cx="6744739" cy="3079750"/>
          <wp:effectExtent l="0" t="0" r="0" b="6350"/>
          <wp:docPr id="10" name="Picture 10" descr="Includes CDE's Vision and Goals " title="CDE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358" cy="30823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E14"/>
    <w:multiLevelType w:val="hybridMultilevel"/>
    <w:tmpl w:val="44B08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111B6E"/>
    <w:multiLevelType w:val="hybridMultilevel"/>
    <w:tmpl w:val="F968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0A353C5"/>
    <w:multiLevelType w:val="hybridMultilevel"/>
    <w:tmpl w:val="AD80B11A"/>
    <w:lvl w:ilvl="0" w:tplc="90AEE4D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4755F3"/>
    <w:multiLevelType w:val="hybridMultilevel"/>
    <w:tmpl w:val="286C2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4"/>
    <w:rsid w:val="00000248"/>
    <w:rsid w:val="000171C8"/>
    <w:rsid w:val="000201FB"/>
    <w:rsid w:val="00022428"/>
    <w:rsid w:val="00024746"/>
    <w:rsid w:val="00025944"/>
    <w:rsid w:val="00034DB3"/>
    <w:rsid w:val="000359D7"/>
    <w:rsid w:val="00042758"/>
    <w:rsid w:val="00042AFC"/>
    <w:rsid w:val="00044097"/>
    <w:rsid w:val="00045085"/>
    <w:rsid w:val="00063A2B"/>
    <w:rsid w:val="00077505"/>
    <w:rsid w:val="000842E4"/>
    <w:rsid w:val="000931B2"/>
    <w:rsid w:val="00094ECA"/>
    <w:rsid w:val="000B0C1D"/>
    <w:rsid w:val="000B50EF"/>
    <w:rsid w:val="000C3880"/>
    <w:rsid w:val="000C6FA3"/>
    <w:rsid w:val="000D362B"/>
    <w:rsid w:val="000F780C"/>
    <w:rsid w:val="00100589"/>
    <w:rsid w:val="00144AAB"/>
    <w:rsid w:val="00146B6A"/>
    <w:rsid w:val="001568CE"/>
    <w:rsid w:val="001726B6"/>
    <w:rsid w:val="001834BC"/>
    <w:rsid w:val="001A7D3C"/>
    <w:rsid w:val="001C06F8"/>
    <w:rsid w:val="001C22E6"/>
    <w:rsid w:val="001C34C9"/>
    <w:rsid w:val="001C60D9"/>
    <w:rsid w:val="001F681E"/>
    <w:rsid w:val="002123B5"/>
    <w:rsid w:val="002148C0"/>
    <w:rsid w:val="00217E07"/>
    <w:rsid w:val="00222126"/>
    <w:rsid w:val="0022407A"/>
    <w:rsid w:val="0023055A"/>
    <w:rsid w:val="00235FAD"/>
    <w:rsid w:val="002362B4"/>
    <w:rsid w:val="002505FA"/>
    <w:rsid w:val="00271C9C"/>
    <w:rsid w:val="00287064"/>
    <w:rsid w:val="002957CF"/>
    <w:rsid w:val="00297A52"/>
    <w:rsid w:val="002A584E"/>
    <w:rsid w:val="002D2D8D"/>
    <w:rsid w:val="002D58A5"/>
    <w:rsid w:val="003041E9"/>
    <w:rsid w:val="00305B1F"/>
    <w:rsid w:val="00341A24"/>
    <w:rsid w:val="00344810"/>
    <w:rsid w:val="00353025"/>
    <w:rsid w:val="003542C3"/>
    <w:rsid w:val="003719B5"/>
    <w:rsid w:val="003835AA"/>
    <w:rsid w:val="003858E4"/>
    <w:rsid w:val="003A42DE"/>
    <w:rsid w:val="003C3BD7"/>
    <w:rsid w:val="003D2B51"/>
    <w:rsid w:val="003D2C7C"/>
    <w:rsid w:val="003E260B"/>
    <w:rsid w:val="003E7F00"/>
    <w:rsid w:val="00401814"/>
    <w:rsid w:val="00431D42"/>
    <w:rsid w:val="00443BB0"/>
    <w:rsid w:val="0044787E"/>
    <w:rsid w:val="00450638"/>
    <w:rsid w:val="00452F8D"/>
    <w:rsid w:val="00462DD0"/>
    <w:rsid w:val="00465FDB"/>
    <w:rsid w:val="0048034E"/>
    <w:rsid w:val="00480A05"/>
    <w:rsid w:val="00484061"/>
    <w:rsid w:val="00495206"/>
    <w:rsid w:val="00497B13"/>
    <w:rsid w:val="004C359A"/>
    <w:rsid w:val="004D7DDD"/>
    <w:rsid w:val="004E1F56"/>
    <w:rsid w:val="004E6E99"/>
    <w:rsid w:val="004F74C2"/>
    <w:rsid w:val="0050765D"/>
    <w:rsid w:val="00527EE5"/>
    <w:rsid w:val="005373EA"/>
    <w:rsid w:val="005433EF"/>
    <w:rsid w:val="00551A00"/>
    <w:rsid w:val="0056404E"/>
    <w:rsid w:val="00564AFA"/>
    <w:rsid w:val="0057139F"/>
    <w:rsid w:val="005762E1"/>
    <w:rsid w:val="005814FA"/>
    <w:rsid w:val="00583B05"/>
    <w:rsid w:val="005A0295"/>
    <w:rsid w:val="005A6930"/>
    <w:rsid w:val="005A7E3F"/>
    <w:rsid w:val="005B4413"/>
    <w:rsid w:val="005B5017"/>
    <w:rsid w:val="005D1A27"/>
    <w:rsid w:val="005D3181"/>
    <w:rsid w:val="005E278F"/>
    <w:rsid w:val="005E3988"/>
    <w:rsid w:val="0060454D"/>
    <w:rsid w:val="00633F60"/>
    <w:rsid w:val="006351C4"/>
    <w:rsid w:val="00647ED7"/>
    <w:rsid w:val="00652606"/>
    <w:rsid w:val="006547D1"/>
    <w:rsid w:val="00661C64"/>
    <w:rsid w:val="00675E93"/>
    <w:rsid w:val="006874F5"/>
    <w:rsid w:val="006A3D1A"/>
    <w:rsid w:val="006B09CE"/>
    <w:rsid w:val="006B682D"/>
    <w:rsid w:val="006C46FE"/>
    <w:rsid w:val="006D4896"/>
    <w:rsid w:val="006E065E"/>
    <w:rsid w:val="006E10F3"/>
    <w:rsid w:val="006E1D1B"/>
    <w:rsid w:val="006E3CF1"/>
    <w:rsid w:val="006F0A54"/>
    <w:rsid w:val="006F163E"/>
    <w:rsid w:val="007047A6"/>
    <w:rsid w:val="0072229B"/>
    <w:rsid w:val="0073075A"/>
    <w:rsid w:val="00742101"/>
    <w:rsid w:val="00742504"/>
    <w:rsid w:val="00745C58"/>
    <w:rsid w:val="00746C43"/>
    <w:rsid w:val="00747126"/>
    <w:rsid w:val="00757FD9"/>
    <w:rsid w:val="007607DB"/>
    <w:rsid w:val="00760BA4"/>
    <w:rsid w:val="00761378"/>
    <w:rsid w:val="00766A1A"/>
    <w:rsid w:val="00790634"/>
    <w:rsid w:val="007A3249"/>
    <w:rsid w:val="007A448C"/>
    <w:rsid w:val="007C150D"/>
    <w:rsid w:val="007C2950"/>
    <w:rsid w:val="007C49A2"/>
    <w:rsid w:val="007D4470"/>
    <w:rsid w:val="007D57D2"/>
    <w:rsid w:val="007E599A"/>
    <w:rsid w:val="007E6541"/>
    <w:rsid w:val="007F2E22"/>
    <w:rsid w:val="007F2F09"/>
    <w:rsid w:val="007F4629"/>
    <w:rsid w:val="00803AA6"/>
    <w:rsid w:val="00817631"/>
    <w:rsid w:val="00821DD5"/>
    <w:rsid w:val="00833611"/>
    <w:rsid w:val="00836E2D"/>
    <w:rsid w:val="00837AC3"/>
    <w:rsid w:val="008430A8"/>
    <w:rsid w:val="0084736B"/>
    <w:rsid w:val="00855B08"/>
    <w:rsid w:val="00876F7C"/>
    <w:rsid w:val="0088760A"/>
    <w:rsid w:val="0089523F"/>
    <w:rsid w:val="008978EA"/>
    <w:rsid w:val="008D6EE4"/>
    <w:rsid w:val="008E339D"/>
    <w:rsid w:val="008E517A"/>
    <w:rsid w:val="008E7416"/>
    <w:rsid w:val="008F013F"/>
    <w:rsid w:val="008F241B"/>
    <w:rsid w:val="008F6C17"/>
    <w:rsid w:val="00942E7D"/>
    <w:rsid w:val="00970D58"/>
    <w:rsid w:val="00974AF6"/>
    <w:rsid w:val="00976DAF"/>
    <w:rsid w:val="0098331A"/>
    <w:rsid w:val="009833C5"/>
    <w:rsid w:val="009833ED"/>
    <w:rsid w:val="0098383A"/>
    <w:rsid w:val="0098421F"/>
    <w:rsid w:val="00997BA3"/>
    <w:rsid w:val="009A6A64"/>
    <w:rsid w:val="009A7C60"/>
    <w:rsid w:val="009B3EF2"/>
    <w:rsid w:val="009D2908"/>
    <w:rsid w:val="009D65A0"/>
    <w:rsid w:val="00A02E6C"/>
    <w:rsid w:val="00A10BE3"/>
    <w:rsid w:val="00A1162B"/>
    <w:rsid w:val="00A13F78"/>
    <w:rsid w:val="00A35BD6"/>
    <w:rsid w:val="00A37D13"/>
    <w:rsid w:val="00A4183D"/>
    <w:rsid w:val="00A43346"/>
    <w:rsid w:val="00A71059"/>
    <w:rsid w:val="00A73330"/>
    <w:rsid w:val="00AC1C00"/>
    <w:rsid w:val="00AC45A6"/>
    <w:rsid w:val="00AC56C0"/>
    <w:rsid w:val="00AC77D2"/>
    <w:rsid w:val="00AC7EC7"/>
    <w:rsid w:val="00AF053B"/>
    <w:rsid w:val="00AF0DD7"/>
    <w:rsid w:val="00AF1780"/>
    <w:rsid w:val="00B02786"/>
    <w:rsid w:val="00B1384C"/>
    <w:rsid w:val="00B32330"/>
    <w:rsid w:val="00B3548B"/>
    <w:rsid w:val="00B35654"/>
    <w:rsid w:val="00B36179"/>
    <w:rsid w:val="00B3675E"/>
    <w:rsid w:val="00B62E97"/>
    <w:rsid w:val="00B8300F"/>
    <w:rsid w:val="00B912C8"/>
    <w:rsid w:val="00B92683"/>
    <w:rsid w:val="00B92AE3"/>
    <w:rsid w:val="00BA0B19"/>
    <w:rsid w:val="00BB6773"/>
    <w:rsid w:val="00BC284C"/>
    <w:rsid w:val="00BD588F"/>
    <w:rsid w:val="00BE45F0"/>
    <w:rsid w:val="00C0526D"/>
    <w:rsid w:val="00C134C9"/>
    <w:rsid w:val="00C14AD0"/>
    <w:rsid w:val="00C268B5"/>
    <w:rsid w:val="00C31C2C"/>
    <w:rsid w:val="00C40A60"/>
    <w:rsid w:val="00C45C7D"/>
    <w:rsid w:val="00C472DD"/>
    <w:rsid w:val="00C54D2B"/>
    <w:rsid w:val="00C64808"/>
    <w:rsid w:val="00C835C7"/>
    <w:rsid w:val="00C84895"/>
    <w:rsid w:val="00C90BE3"/>
    <w:rsid w:val="00C91E01"/>
    <w:rsid w:val="00CB440F"/>
    <w:rsid w:val="00CD26B9"/>
    <w:rsid w:val="00CF11A1"/>
    <w:rsid w:val="00D06772"/>
    <w:rsid w:val="00D10C96"/>
    <w:rsid w:val="00D139C4"/>
    <w:rsid w:val="00D17C3F"/>
    <w:rsid w:val="00D22D6F"/>
    <w:rsid w:val="00D46BEC"/>
    <w:rsid w:val="00D55207"/>
    <w:rsid w:val="00D55B62"/>
    <w:rsid w:val="00D9515F"/>
    <w:rsid w:val="00DB6AC6"/>
    <w:rsid w:val="00DC0F9B"/>
    <w:rsid w:val="00DE3B43"/>
    <w:rsid w:val="00DF4B12"/>
    <w:rsid w:val="00E15C5F"/>
    <w:rsid w:val="00E33A42"/>
    <w:rsid w:val="00E43A82"/>
    <w:rsid w:val="00E44E74"/>
    <w:rsid w:val="00E50660"/>
    <w:rsid w:val="00E50811"/>
    <w:rsid w:val="00E62B19"/>
    <w:rsid w:val="00E733C6"/>
    <w:rsid w:val="00E7438E"/>
    <w:rsid w:val="00E767DE"/>
    <w:rsid w:val="00EE2E1D"/>
    <w:rsid w:val="00F01CE4"/>
    <w:rsid w:val="00F07017"/>
    <w:rsid w:val="00F0724E"/>
    <w:rsid w:val="00F1693E"/>
    <w:rsid w:val="00F2300E"/>
    <w:rsid w:val="00F26A82"/>
    <w:rsid w:val="00F27BD7"/>
    <w:rsid w:val="00F35229"/>
    <w:rsid w:val="00F61FB4"/>
    <w:rsid w:val="00F67480"/>
    <w:rsid w:val="00F67582"/>
    <w:rsid w:val="00F75E1B"/>
    <w:rsid w:val="00F8280A"/>
    <w:rsid w:val="00FA0283"/>
    <w:rsid w:val="00FA1336"/>
    <w:rsid w:val="00FB04AF"/>
    <w:rsid w:val="00FD01E3"/>
    <w:rsid w:val="00FD0C53"/>
    <w:rsid w:val="00FD3811"/>
    <w:rsid w:val="00FD7D86"/>
    <w:rsid w:val="00FE547C"/>
    <w:rsid w:val="00FE61A4"/>
    <w:rsid w:val="00FF330D"/>
    <w:rsid w:val="00FF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A208599-6CF8-492B-957B-F6E3D13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14"/>
  </w:style>
  <w:style w:type="character" w:styleId="Hyperlink">
    <w:name w:val="Hyperlink"/>
    <w:basedOn w:val="DefaultParagraphFont"/>
    <w:uiPriority w:val="99"/>
    <w:unhideWhenUsed/>
    <w:rsid w:val="00401814"/>
    <w:rPr>
      <w:color w:val="0563C1" w:themeColor="hyperlink"/>
      <w:u w:val="single"/>
    </w:rPr>
  </w:style>
  <w:style w:type="table" w:styleId="TableGrid">
    <w:name w:val="Table Grid"/>
    <w:basedOn w:val="TableNormal"/>
    <w:uiPriority w:val="39"/>
    <w:rsid w:val="0040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3C5"/>
    <w:pPr>
      <w:ind w:left="720"/>
      <w:contextualSpacing/>
    </w:pPr>
  </w:style>
  <w:style w:type="character" w:styleId="FollowedHyperlink">
    <w:name w:val="FollowedHyperlink"/>
    <w:basedOn w:val="DefaultParagraphFont"/>
    <w:uiPriority w:val="99"/>
    <w:semiHidden/>
    <w:unhideWhenUsed/>
    <w:rsid w:val="006C46FE"/>
    <w:rPr>
      <w:color w:val="954F72" w:themeColor="followedHyperlink"/>
      <w:u w:val="single"/>
    </w:rPr>
  </w:style>
  <w:style w:type="paragraph" w:styleId="BalloonText">
    <w:name w:val="Balloon Text"/>
    <w:basedOn w:val="Normal"/>
    <w:link w:val="BalloonTextChar"/>
    <w:uiPriority w:val="99"/>
    <w:semiHidden/>
    <w:unhideWhenUsed/>
    <w:rsid w:val="00997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311481">
      <w:bodyDiv w:val="1"/>
      <w:marLeft w:val="0"/>
      <w:marRight w:val="0"/>
      <w:marTop w:val="0"/>
      <w:marBottom w:val="0"/>
      <w:divBdr>
        <w:top w:val="none" w:sz="0" w:space="0" w:color="auto"/>
        <w:left w:val="none" w:sz="0" w:space="0" w:color="auto"/>
        <w:bottom w:val="none" w:sz="0" w:space="0" w:color="auto"/>
        <w:right w:val="none" w:sz="0" w:space="0" w:color="auto"/>
      </w:divBdr>
    </w:div>
    <w:div w:id="1453550133">
      <w:bodyDiv w:val="1"/>
      <w:marLeft w:val="0"/>
      <w:marRight w:val="0"/>
      <w:marTop w:val="0"/>
      <w:marBottom w:val="0"/>
      <w:divBdr>
        <w:top w:val="none" w:sz="0" w:space="0" w:color="auto"/>
        <w:left w:val="none" w:sz="0" w:space="0" w:color="auto"/>
        <w:bottom w:val="none" w:sz="0" w:space="0" w:color="auto"/>
        <w:right w:val="none" w:sz="0" w:space="0" w:color="auto"/>
      </w:divBdr>
    </w:div>
    <w:div w:id="16948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9C7E-F979-4155-A754-D8F6BA1B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dc:creator>
  <cp:keywords/>
  <dc:description/>
  <cp:lastModifiedBy>Smith, Rachel</cp:lastModifiedBy>
  <cp:revision>10</cp:revision>
  <cp:lastPrinted>2019-02-25T21:04:00Z</cp:lastPrinted>
  <dcterms:created xsi:type="dcterms:W3CDTF">2019-02-25T21:52:00Z</dcterms:created>
  <dcterms:modified xsi:type="dcterms:W3CDTF">2019-04-15T21:02:00Z</dcterms:modified>
</cp:coreProperties>
</file>