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AD0C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Facility Schools Board</w:t>
      </w:r>
    </w:p>
    <w:p w14:paraId="04F59C93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Minutes of Meeting</w:t>
      </w:r>
    </w:p>
    <w:p w14:paraId="5D8471F7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November 9, 2023</w:t>
      </w:r>
    </w:p>
    <w:p w14:paraId="3D150445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via Zoom </w:t>
      </w:r>
    </w:p>
    <w:p w14:paraId="6A51A85A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14:paraId="59B46401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attendance:</w:t>
      </w:r>
    </w:p>
    <w:p w14:paraId="786D55FF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 Present: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Carolena Steen, Steven Ramirez, Mylynda Herrick, Doug Hainley, Betsy Peffer, Sonjia Hunt</w:t>
      </w:r>
    </w:p>
    <w:p w14:paraId="15891D76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Staff Present: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Judy Stirman, Annie Haskins, Robin Singer, Darren Serrato, Wendy Dunaway, Lori Kochevar, Ann Symalla</w:t>
      </w:r>
    </w:p>
    <w:p w14:paraId="483BFB3A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Attorney General’s Office: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Present</w:t>
      </w:r>
    </w:p>
    <w:p w14:paraId="4021C539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Audience: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Barb Taylor, Quixie Smith, Virginia Winter </w:t>
      </w:r>
    </w:p>
    <w:p w14:paraId="6A97FDC9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Absent Board Members: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14:paraId="63EFFF4E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2233C6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Meeting Commencement: </w:t>
      </w:r>
    </w:p>
    <w:p w14:paraId="0028DDA5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Steven Ramirez calls the meeting to order. </w:t>
      </w:r>
    </w:p>
    <w:p w14:paraId="3ACBA496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3175D753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 for October 12, 2023: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D2624C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Steven Ramirez call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for a review of the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oard minutes. </w:t>
      </w:r>
    </w:p>
    <w:p w14:paraId="7211BA99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Betsy makes a motion,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Sonjia seconds to approve minutes with corrections. </w:t>
      </w:r>
      <w:r>
        <w:rPr>
          <w:rFonts w:ascii="Times New Roman" w:eastAsia="Times New Roman" w:hAnsi="Times New Roman" w:cs="Times New Roman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unanimously approves minutes with corrections.</w:t>
      </w:r>
    </w:p>
    <w:p w14:paraId="2D307A3E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Agenda: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7CE5D56" w14:textId="6D99FAE1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Steven Ramirez entertains a motion to accept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agenda with addition</w:t>
      </w:r>
      <w:r w:rsidR="00E4018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DF8AA8" w14:textId="77777777" w:rsidR="00E26698" w:rsidRDefault="003701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Sonjia Hunt, seconded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Doug Hainley to approve the November agenda; the Facility Schools Board unanimously approved the corrected agenda. </w:t>
      </w:r>
    </w:p>
    <w:tbl>
      <w:tblPr>
        <w:tblStyle w:val="a"/>
        <w:tblW w:w="16068" w:type="dxa"/>
        <w:tblInd w:w="-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068"/>
      </w:tblGrid>
      <w:tr w:rsidR="00E26698" w14:paraId="633D2407" w14:textId="77777777">
        <w:trPr>
          <w:trHeight w:val="446"/>
        </w:trPr>
        <w:tc>
          <w:tcPr>
            <w:tcW w:w="16068" w:type="dxa"/>
          </w:tcPr>
          <w:p w14:paraId="54D6FD69" w14:textId="77777777" w:rsidR="00E26698" w:rsidRDefault="00E26698">
            <w:pPr>
              <w:spacing w:before="3"/>
              <w:rPr>
                <w:rFonts w:ascii="Arial" w:eastAsia="Arial" w:hAnsi="Arial" w:cs="Arial"/>
              </w:rPr>
            </w:pPr>
            <w:bookmarkStart w:id="2" w:name="_heading=h.1fob9te" w:colFirst="0" w:colLast="0"/>
            <w:bookmarkEnd w:id="2"/>
          </w:p>
          <w:tbl>
            <w:tblPr>
              <w:tblStyle w:val="a0"/>
              <w:tblW w:w="127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"/>
              <w:gridCol w:w="9990"/>
              <w:gridCol w:w="2520"/>
            </w:tblGrid>
            <w:tr w:rsidR="00E26698" w14:paraId="53423877" w14:textId="77777777">
              <w:trPr>
                <w:trHeight w:val="994"/>
              </w:trPr>
              <w:tc>
                <w:tcPr>
                  <w:tcW w:w="250" w:type="dxa"/>
                </w:tcPr>
                <w:p w14:paraId="56C48FB2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9990" w:type="dxa"/>
                </w:tcPr>
                <w:p w14:paraId="4DC97562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 xml:space="preserve">Implementation/Rules Updates: </w:t>
                  </w:r>
                </w:p>
                <w:p w14:paraId="44A902A6" w14:textId="6E0CB3A2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Carolena Steen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led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Board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in a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discussion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to review and compare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Facility Schools 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R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ules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, both the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redlined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and clean versions of the new rule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documents.</w:t>
                  </w:r>
                </w:p>
                <w:p w14:paraId="22D7702D" w14:textId="71C9173B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Betsy Peffer ask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for clarification in the rules regarding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- who the decision maker 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will be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with regard to LRE?</w:t>
                  </w:r>
                </w:p>
                <w:p w14:paraId="3DF727F8" w14:textId="77777777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Steven Ramirez ask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- question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regarding the timing of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the annual tuition cost reporting; Judy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advised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that  CDE is trying to change the deadline rules for tuition cost so facilities could apply anytime.</w:t>
                  </w:r>
                </w:p>
                <w:p w14:paraId="4DC522B8" w14:textId="77777777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Steven Ramirez ask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- when the deadlines are? Judy advises we are okay but will check with Melissa Bloom from our policy office.</w:t>
                  </w:r>
                </w:p>
                <w:p w14:paraId="1ED1CD94" w14:textId="77777777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The Office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of Facility Schools will communicate with CDE Policy office on reporting requirements. </w:t>
                  </w:r>
                </w:p>
                <w:p w14:paraId="71C86D58" w14:textId="5F80491A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Betsy Peffer ask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- In the event of loss of license how does notification occur? 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CDHS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advises 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the OFS/Director if a license has been revoked. The OFS/ESSU Executive Director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notifies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all 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impacted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school districts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. </w:t>
                  </w:r>
                </w:p>
                <w:p w14:paraId="3117CD38" w14:textId="77777777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Carolena Steen advises the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B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oard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to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spell out how the appeals process will be executed should we need it in the future. </w:t>
                  </w:r>
                </w:p>
                <w:p w14:paraId="7928A7BF" w14:textId="664FEBE3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New Rules Hearing will be held on December 7, 2023,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at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1: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00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pm. </w:t>
                  </w:r>
                </w:p>
                <w:p w14:paraId="27B83264" w14:textId="77777777" w:rsidR="00E26698" w:rsidRDefault="0037013D">
                  <w:pPr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Judy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notified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the Facility 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chools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Board of interviews for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vacant board seat on December 7, 2023.</w:t>
                  </w:r>
                </w:p>
                <w:p w14:paraId="6071DE4C" w14:textId="77777777" w:rsidR="00E26698" w:rsidRDefault="00E26698">
                  <w:pPr>
                    <w:spacing w:before="3"/>
                    <w:ind w:left="36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</w:p>
                <w:p w14:paraId="0B69FDC0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Board Development:</w:t>
                  </w:r>
                </w:p>
                <w:p w14:paraId="7C38770D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Conducted by Virginia Winter-</w:t>
                  </w:r>
                </w:p>
                <w:p w14:paraId="1D3C38CB" w14:textId="54EC712D" w:rsidR="00E26698" w:rsidRDefault="0037013D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Review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the Facility Schools calendar</w:t>
                  </w:r>
                  <w:r w:rsidR="00BC00B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schedule of events with the Board. </w:t>
                  </w:r>
                </w:p>
                <w:p w14:paraId="2A5B7C05" w14:textId="77777777" w:rsidR="00E26698" w:rsidRDefault="0037013D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If meeting dates change Darren or Judy will update the calendar schedule of events</w:t>
                  </w:r>
                </w:p>
                <w:p w14:paraId="12B18F1B" w14:textId="77777777" w:rsidR="00E26698" w:rsidRDefault="0037013D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Review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the updated responsibility matrix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with the Board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and staff. </w:t>
                  </w:r>
                </w:p>
                <w:p w14:paraId="40CBB6A1" w14:textId="11680723" w:rsidR="00E26698" w:rsidRDefault="0037013D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bookmarkStart w:id="3" w:name="_Hlk152085560"/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 reference was made to </w:t>
                  </w:r>
                  <w:r w:rsidR="00E40181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add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small update to the Operating Procedures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where co-chair language was updated.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OFS 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taff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must ensure changes were made.</w:t>
                  </w:r>
                </w:p>
                <w:bookmarkEnd w:id="3"/>
                <w:p w14:paraId="622A24B0" w14:textId="0BA2C51D" w:rsidR="00E26698" w:rsidRDefault="0037013D">
                  <w:pPr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Sonjia update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her committee assignments. Board members discussed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list of assignments, 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edited,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and made additions. An updated ‘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F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acility School Board Committees or Projects Listing’ is in the shared Board Work folder</w:t>
                  </w:r>
                </w:p>
                <w:p w14:paraId="05CE6ADA" w14:textId="0317C814" w:rsidR="00E26698" w:rsidRDefault="0037013D">
                  <w:pPr>
                    <w:spacing w:before="120"/>
                    <w:ind w:left="36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What’s to come on the December 7</w:t>
                  </w: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  <w:vertAlign w:val="superscript"/>
                    </w:rPr>
                    <w:t xml:space="preserve">th  </w:t>
                  </w: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Board Meeting</w:t>
                  </w:r>
                  <w:r w:rsidR="00E40181"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 xml:space="preserve"> – Board Development</w:t>
                  </w: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:</w:t>
                  </w:r>
                </w:p>
                <w:p w14:paraId="5AE5EAC9" w14:textId="7D7C5159" w:rsidR="00E26698" w:rsidRDefault="0037013D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Gathering early thoughts on changes to </w:t>
                  </w:r>
                  <w:r w:rsidR="00E40181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rules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as they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pertain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to the responsibility matrix.</w:t>
                  </w:r>
                </w:p>
                <w:p w14:paraId="416D06B3" w14:textId="77777777" w:rsidR="00E26698" w:rsidRDefault="0037013D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Discus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upcoming strategic planning exercises.</w:t>
                  </w:r>
                </w:p>
                <w:p w14:paraId="0EA6C72A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</w:p>
                <w:p w14:paraId="2F334A56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Implementation Updates Continued:</w:t>
                  </w:r>
                </w:p>
                <w:p w14:paraId="5DB781EF" w14:textId="2549B693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Facility School</w:t>
                  </w:r>
                  <w:r w:rsidR="00E40181">
                    <w:rPr>
                      <w:rFonts w:ascii="Garamond" w:eastAsia="Garamond" w:hAnsi="Garamond" w:cs="Garamond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Tuition Cost group representatives have been meeting since July.</w:t>
                  </w:r>
                </w:p>
                <w:p w14:paraId="64008C9B" w14:textId="3C88A3AB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Ann and Robin </w:t>
                  </w:r>
                  <w:r w:rsidR="00E40181">
                    <w:rPr>
                      <w:rFonts w:ascii="Garamond" w:eastAsia="Garamond" w:hAnsi="Garamond" w:cs="Garamond"/>
                      <w:sz w:val="25"/>
                      <w:szCs w:val="25"/>
                    </w:rPr>
                    <w:t>reviewed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the Rough Draft of the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“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Tier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ed”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document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with the Facility Schools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Board.</w:t>
                  </w:r>
                </w:p>
                <w:p w14:paraId="041F0DE6" w14:textId="77777777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Funding rates will remain the same for now.</w:t>
                  </w:r>
                </w:p>
                <w:p w14:paraId="3664E023" w14:textId="77777777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Judy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asked the board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if the meeting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setup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is okay for future meetings. Board agrees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to the new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setup.</w:t>
                  </w:r>
                </w:p>
                <w:p w14:paraId="56F75F4D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</w:p>
                <w:p w14:paraId="6B0FFCD7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 xml:space="preserve">Board Seat:  </w:t>
                  </w:r>
                </w:p>
                <w:p w14:paraId="5F63A536" w14:textId="7A26629F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Interview questions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only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and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questions including 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>assistive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rubrics were reviewed by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he Facility Schools Board. 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>The board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requested to use the annotated rubric.</w:t>
                  </w:r>
                </w:p>
                <w:p w14:paraId="0CC5F20B" w14:textId="77777777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Steven Ramirez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questioned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if language should be included pertaining to joining a committee. </w:t>
                  </w:r>
                </w:p>
                <w:p w14:paraId="20E35947" w14:textId="77777777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Anticipate two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candidates will interview on December 7, 2023.</w:t>
                  </w:r>
                </w:p>
                <w:p w14:paraId="4CE4C4FF" w14:textId="77777777" w:rsidR="00E26698" w:rsidRDefault="0037013D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Suggeste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d changes to the interview questions for the Board candi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dates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will be made by Judy Stirman and sent out to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he Board. </w:t>
                  </w:r>
                </w:p>
                <w:p w14:paraId="7F663A0F" w14:textId="77777777" w:rsidR="00E26698" w:rsidRDefault="00E26698">
                  <w:pPr>
                    <w:spacing w:before="3"/>
                    <w:ind w:left="36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</w:p>
                <w:p w14:paraId="0FCE3FF9" w14:textId="77777777" w:rsidR="00E26698" w:rsidRDefault="0037013D">
                  <w:pPr>
                    <w:spacing w:before="8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Facility Schools Unit Update:</w:t>
                  </w:r>
                </w:p>
                <w:p w14:paraId="7678E3EF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</w:p>
                <w:p w14:paraId="16CD35AC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 xml:space="preserve">CDE/Facility Internal Updates, Judy- </w:t>
                  </w:r>
                </w:p>
                <w:p w14:paraId="5990C60C" w14:textId="77777777" w:rsidR="00E26698" w:rsidRDefault="0037013D">
                  <w:pPr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9" w:lineRule="auto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Rules are now available for public commen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ts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for Computer 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cience, Extended Evidence Outcomes (EEO’s) - for Social Studies, and Facility Schools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. </w:t>
                  </w:r>
                </w:p>
                <w:p w14:paraId="220AADE7" w14:textId="77777777" w:rsidR="00E26698" w:rsidRDefault="0037013D">
                  <w:pPr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Concerns regarding o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ut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-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of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-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state placements seem to be more frequent and coming from national and local enti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ties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. </w:t>
                  </w:r>
                </w:p>
                <w:p w14:paraId="0EBE2DD8" w14:textId="60FBB561" w:rsidR="00E26698" w:rsidRDefault="0037013D">
                  <w:pPr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bookmarkStart w:id="4" w:name="_Hlk152084975"/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Equity</w:t>
                  </w:r>
                  <w:r w:rsidR="00E40181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ool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K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it is now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available for all teachers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- </w:t>
                  </w:r>
                  <w:hyperlink r:id="rId8">
                    <w:r>
                      <w:rPr>
                        <w:rFonts w:ascii="Garamond" w:eastAsia="Garamond" w:hAnsi="Garamond" w:cs="Garamond"/>
                        <w:color w:val="1155CC"/>
                        <w:sz w:val="25"/>
                        <w:szCs w:val="25"/>
                        <w:u w:val="single"/>
                      </w:rPr>
                      <w:t>State Equity Plan and Resources for Districts | CDE</w:t>
                    </w:r>
                  </w:hyperlink>
                </w:p>
                <w:bookmarkEnd w:id="4"/>
                <w:p w14:paraId="30F1706A" w14:textId="38098520" w:rsidR="00E26698" w:rsidRDefault="0037013D">
                  <w:pPr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New guidelines for accessibility requirements </w:t>
                  </w:r>
                  <w:r w:rsidR="00BC00B7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were 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rolled out to CDE requiring the review of every 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document posted or sent out. </w:t>
                  </w:r>
                </w:p>
                <w:p w14:paraId="39726E25" w14:textId="77777777" w:rsidR="00E26698" w:rsidRDefault="0037013D">
                  <w:pPr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202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3-2024 teacher shortage survey went out to Facility SPED Direc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tors this week, we will be encouraging all directors to participate. 14 Directors have already submitted their surveys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.</w:t>
                  </w:r>
                </w:p>
                <w:p w14:paraId="75F860E6" w14:textId="77777777" w:rsidR="00E26698" w:rsidRDefault="0037013D">
                  <w:pPr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Waiting for confirmation from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Morgridge Academy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to host the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April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i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n-person Board meeting. </w:t>
                  </w:r>
                </w:p>
                <w:p w14:paraId="54AA4121" w14:textId="77777777" w:rsidR="00E26698" w:rsidRDefault="00E26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left="702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</w:p>
                <w:p w14:paraId="22916648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Data Management and Systems Support</w:t>
                  </w:r>
                </w:p>
                <w:p w14:paraId="3F0DA316" w14:textId="43B3A27B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>Tuition Cost/December Staff, Wendy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 xml:space="preserve"> for Lori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>-</w:t>
                  </w:r>
                </w:p>
                <w:p w14:paraId="09364F0C" w14:textId="77777777" w:rsidR="00E26698" w:rsidRDefault="0037013D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Tuition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ost rates were app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roved by the State Board of Education in November.</w:t>
                  </w:r>
                </w:p>
                <w:p w14:paraId="038340DA" w14:textId="77777777" w:rsidR="00E26698" w:rsidRDefault="0037013D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December staff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opened at the beginning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of November.</w:t>
                  </w:r>
                </w:p>
                <w:p w14:paraId="5D5B953B" w14:textId="77777777" w:rsidR="00E26698" w:rsidRDefault="0037013D">
                  <w:pPr>
                    <w:widowControl w:val="0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Offering support and training as needed pertaining to attendance, i-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R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eady and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I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nfinite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C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ampus. </w:t>
                  </w:r>
                </w:p>
                <w:p w14:paraId="1D78CE74" w14:textId="77777777" w:rsidR="00E26698" w:rsidRDefault="00E266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left="702"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</w:p>
                <w:p w14:paraId="3E94FFB3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>Monitoring/Updates from the Field, Robin/Ann-</w:t>
                  </w:r>
                </w:p>
                <w:p w14:paraId="75223B68" w14:textId="1BB80B1E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chool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I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mprovement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P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lan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will be due next September.</w:t>
                  </w:r>
                </w:p>
                <w:p w14:paraId="3D4E0CA0" w14:textId="77777777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One district is sending referrals to multiple facilities.</w:t>
                  </w:r>
                </w:p>
                <w:p w14:paraId="76473C19" w14:textId="4D806463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There is confusion and questions ab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o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ut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Manifestation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Determination Hearings. We  are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currently working with the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A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ssistant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A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ttorney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G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eneral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to determine the correct process. </w:t>
                  </w:r>
                </w:p>
                <w:p w14:paraId="25D99374" w14:textId="5D26C7AD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We have monitored four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facility schools since the last board meeting. There were no compliance issues. We visited the new JECC 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>program,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and it seems to be doing 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>well.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</w:p>
                <w:p w14:paraId="26FA9319" w14:textId="7734FC26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Held a new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director mentor meeting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. </w:t>
                  </w:r>
                </w:p>
                <w:p w14:paraId="75E9E445" w14:textId="77777777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Held first hospita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l teacher PLC meeting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.</w:t>
                  </w:r>
                </w:p>
                <w:p w14:paraId="28E72221" w14:textId="77777777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We held two Intro to IEP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training sessions.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</w:t>
                  </w:r>
                </w:p>
                <w:p w14:paraId="46151797" w14:textId="2A87230C" w:rsidR="00E26698" w:rsidRDefault="0037013D">
                  <w:pPr>
                    <w:widowControl w:val="0"/>
                    <w:numPr>
                      <w:ilvl w:val="0"/>
                      <w:numId w:val="1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Graduation committee meeting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will be held remotely on 11/30 at 9:00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am.</w:t>
                  </w:r>
                </w:p>
                <w:p w14:paraId="3236E043" w14:textId="77777777" w:rsidR="00E26698" w:rsidRDefault="00E26698">
                  <w:pPr>
                    <w:widowControl w:val="0"/>
                    <w:ind w:left="360"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</w:p>
                <w:p w14:paraId="7E462D19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>IEP System Updates/ State Assessments/ML Students, Annie-</w:t>
                  </w:r>
                </w:p>
                <w:p w14:paraId="653D1237" w14:textId="77777777" w:rsidR="00E26698" w:rsidRDefault="0037013D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Project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ducation is the first IEP system choice. </w:t>
                  </w:r>
                </w:p>
                <w:p w14:paraId="72F0A4D0" w14:textId="77777777" w:rsidR="00E26698" w:rsidRDefault="0037013D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IEP front runners are Project Education and Sped Track. </w:t>
                  </w:r>
                </w:p>
                <w:p w14:paraId="14EFC1CA" w14:textId="1D7B2CE6" w:rsidR="00E26698" w:rsidRDefault="0037013D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We had to eliminate Same Goal as an option, as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product quote was significantly over budget.</w:t>
                  </w:r>
                </w:p>
                <w:p w14:paraId="4CEA3088" w14:textId="1C685C5F" w:rsidR="00E26698" w:rsidRDefault="00B253EC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The first</w:t>
                  </w:r>
                  <w:r w:rsidR="0037013D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office hours on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S</w:t>
                  </w:r>
                  <w:r w:rsidR="0037013D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tate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A</w:t>
                  </w:r>
                  <w:r w:rsidR="0037013D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ssessments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will be </w:t>
                  </w:r>
                  <w:r w:rsidR="0037013D">
                    <w:rPr>
                      <w:rFonts w:ascii="Garamond" w:eastAsia="Garamond" w:hAnsi="Garamond" w:cs="Garamond"/>
                      <w:sz w:val="25"/>
                      <w:szCs w:val="25"/>
                    </w:rPr>
                    <w:t>on December 4</w:t>
                  </w:r>
                  <w:r w:rsidR="0037013D">
                    <w:rPr>
                      <w:rFonts w:ascii="Garamond" w:eastAsia="Garamond" w:hAnsi="Garamond" w:cs="Garamond"/>
                      <w:sz w:val="25"/>
                      <w:szCs w:val="25"/>
                      <w:vertAlign w:val="superscript"/>
                    </w:rPr>
                    <w:t>th</w:t>
                  </w:r>
                  <w:r w:rsidR="0037013D">
                    <w:rPr>
                      <w:rFonts w:ascii="Garamond" w:eastAsia="Garamond" w:hAnsi="Garamond" w:cs="Garamond"/>
                      <w:sz w:val="25"/>
                      <w:szCs w:val="25"/>
                    </w:rPr>
                    <w:t>.</w:t>
                  </w:r>
                </w:p>
                <w:p w14:paraId="4F54BC8E" w14:textId="04B0BE5B" w:rsidR="00E26698" w:rsidRDefault="0037013D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Home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L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anguage 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urveys are being turned in</w:t>
                  </w:r>
                  <w:r w:rsidR="00B76747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more consistently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by facilities.</w:t>
                  </w:r>
                </w:p>
                <w:p w14:paraId="00D263B0" w14:textId="77777777" w:rsidR="00E26698" w:rsidRDefault="0037013D">
                  <w:pPr>
                    <w:widowControl w:val="0"/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Creating a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multilingual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 dashboard for staff </w:t>
                  </w:r>
                </w:p>
                <w:p w14:paraId="22471116" w14:textId="77777777" w:rsidR="00E26698" w:rsidRDefault="00E2669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left="702" w:right="-20"/>
                    <w:rPr>
                      <w:rFonts w:ascii="Garamond" w:eastAsia="Garamond" w:hAnsi="Garamond" w:cs="Garamond"/>
                      <w:b/>
                      <w:color w:val="000000"/>
                      <w:sz w:val="25"/>
                      <w:szCs w:val="25"/>
                    </w:rPr>
                  </w:pPr>
                </w:p>
                <w:p w14:paraId="1B672AAC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>OOD Consortium/Workgroup, Wendy-</w:t>
                  </w:r>
                </w:p>
                <w:p w14:paraId="5FDCD7DF" w14:textId="5D734E47" w:rsidR="00E26698" w:rsidRDefault="00B253EC">
                  <w:pPr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The Shared</w:t>
                  </w:r>
                  <w:r w:rsidR="0037013D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O</w:t>
                  </w:r>
                  <w:r w:rsidR="0037013D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perational 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</w:t>
                  </w:r>
                  <w:r w:rsidR="0037013D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ervices 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G</w:t>
                  </w:r>
                  <w:r w:rsidR="0037013D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rant was approved yesterday.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The grantee is CAFCA.</w:t>
                  </w:r>
                </w:p>
                <w:p w14:paraId="36525DDE" w14:textId="77777777" w:rsidR="00E26698" w:rsidRDefault="0037013D">
                  <w:pPr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chool finance rules will be noticed in December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.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This includes revisions for the new baseline funding</w:t>
                  </w:r>
                </w:p>
                <w:p w14:paraId="10E7D356" w14:textId="77777777" w:rsidR="00E26698" w:rsidRDefault="0037013D">
                  <w:pPr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Behavioral Health Administration has reached out to CDE </w:t>
                  </w:r>
                </w:p>
                <w:p w14:paraId="28A33ADF" w14:textId="7759CECD" w:rsidR="00E26698" w:rsidRDefault="0037013D">
                  <w:pPr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Out of 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D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istrict 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C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onsortium -Talks on manifestation hearings,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BID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meetings.</w:t>
                  </w:r>
                </w:p>
                <w:p w14:paraId="1916526F" w14:textId="280EC158" w:rsidR="00E26698" w:rsidRDefault="0037013D">
                  <w:pPr>
                    <w:widowControl w:val="0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/>
                    <w:ind w:right="-20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TEL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L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urvey is open to facility schools this winter.</w:t>
                  </w:r>
                </w:p>
                <w:p w14:paraId="08652280" w14:textId="77777777" w:rsidR="00E26698" w:rsidRDefault="00E26698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</w:p>
                <w:p w14:paraId="2AE9487E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>Program Support, Darren-</w:t>
                  </w:r>
                </w:p>
                <w:p w14:paraId="528EC1E5" w14:textId="77777777" w:rsidR="00E26698" w:rsidRDefault="0037013D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right="-14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Completing monthly invoices.</w:t>
                  </w:r>
                </w:p>
                <w:p w14:paraId="49B149E7" w14:textId="77777777" w:rsidR="00E26698" w:rsidRDefault="0037013D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right="-14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Wrapping up Kaleidoscope Travel reimbursements.</w:t>
                  </w:r>
                </w:p>
                <w:p w14:paraId="316D0959" w14:textId="649A80E7" w:rsidR="00E26698" w:rsidRDefault="0037013D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right="-14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Helping create a Specialized 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D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ay 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chool approval flow chart.</w:t>
                  </w:r>
                </w:p>
                <w:p w14:paraId="3F0C5A6C" w14:textId="77777777" w:rsidR="00E26698" w:rsidRDefault="0037013D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right="-14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All meeting preparations</w:t>
                  </w:r>
                </w:p>
                <w:p w14:paraId="57F5B8D3" w14:textId="77777777" w:rsidR="00E26698" w:rsidRDefault="0037013D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right="-14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Responding to transcript requests</w:t>
                  </w:r>
                </w:p>
                <w:p w14:paraId="08C05D75" w14:textId="77777777" w:rsidR="00E26698" w:rsidRDefault="0037013D">
                  <w:pPr>
                    <w:widowControl w:val="0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right="-14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Ensuring the budget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for meetings is accurate so we don’t go over.</w:t>
                  </w:r>
                </w:p>
                <w:p w14:paraId="3B3D7124" w14:textId="77777777" w:rsidR="00E26698" w:rsidRDefault="00E26698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</w:p>
              </w:tc>
              <w:tc>
                <w:tcPr>
                  <w:tcW w:w="2520" w:type="dxa"/>
                </w:tcPr>
                <w:p w14:paraId="3F2A4267" w14:textId="77777777" w:rsidR="00E26698" w:rsidRDefault="00E26698">
                  <w:pPr>
                    <w:spacing w:before="200"/>
                    <w:rPr>
                      <w:rFonts w:ascii="Garamond" w:eastAsia="Garamond" w:hAnsi="Garamond" w:cs="Garamond"/>
                      <w:b/>
                      <w:i/>
                      <w:sz w:val="25"/>
                      <w:szCs w:val="25"/>
                    </w:rPr>
                  </w:pPr>
                </w:p>
              </w:tc>
            </w:tr>
            <w:tr w:rsidR="00E26698" w14:paraId="0A5DA802" w14:textId="77777777">
              <w:trPr>
                <w:trHeight w:val="446"/>
              </w:trPr>
              <w:tc>
                <w:tcPr>
                  <w:tcW w:w="250" w:type="dxa"/>
                </w:tcPr>
                <w:p w14:paraId="2E7D1F46" w14:textId="77777777" w:rsidR="00E26698" w:rsidRDefault="00E26698">
                  <w:pPr>
                    <w:spacing w:before="120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11258571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677CFEB0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4143A072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b/>
                    </w:rPr>
                  </w:pPr>
                </w:p>
                <w:p w14:paraId="5A6F0E94" w14:textId="77777777" w:rsidR="00E26698" w:rsidRDefault="00E26698">
                  <w:pPr>
                    <w:spacing w:before="3"/>
                    <w:rPr>
                      <w:rFonts w:ascii="Garamond" w:eastAsia="Garamond" w:hAnsi="Garamond" w:cs="Garamond"/>
                      <w:b/>
                    </w:rPr>
                  </w:pPr>
                </w:p>
              </w:tc>
              <w:tc>
                <w:tcPr>
                  <w:tcW w:w="9990" w:type="dxa"/>
                </w:tcPr>
                <w:p w14:paraId="718F2372" w14:textId="77777777" w:rsidR="00E26698" w:rsidRDefault="0037013D">
                  <w:pPr>
                    <w:spacing w:before="120"/>
                    <w:ind w:right="-195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Opportunity for the Public to Address the Board</w:t>
                  </w:r>
                </w:p>
                <w:p w14:paraId="091B5772" w14:textId="602B8E19" w:rsidR="00E26698" w:rsidRPr="00B253EC" w:rsidRDefault="0037013D" w:rsidP="00B253EC">
                  <w:pPr>
                    <w:spacing w:after="240"/>
                    <w:rPr>
                      <w:rFonts w:ascii="Garamond" w:eastAsia="Garamond" w:hAnsi="Garamond" w:cs="Garamond"/>
                      <w:color w:val="434343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434343"/>
                      <w:sz w:val="25"/>
                      <w:szCs w:val="25"/>
                    </w:rPr>
                    <w:t xml:space="preserve">Members of the public who wish to address the Board must sign up prior to the meeting. Presentations are limited to </w:t>
                  </w:r>
                  <w:r>
                    <w:rPr>
                      <w:rFonts w:ascii="Garamond" w:eastAsia="Garamond" w:hAnsi="Garamond" w:cs="Garamond"/>
                      <w:color w:val="434343"/>
                      <w:sz w:val="25"/>
                      <w:szCs w:val="25"/>
                      <w:u w:val="single"/>
                    </w:rPr>
                    <w:t>5</w:t>
                  </w:r>
                  <w:r>
                    <w:rPr>
                      <w:rFonts w:ascii="Garamond" w:eastAsia="Garamond" w:hAnsi="Garamond" w:cs="Garamond"/>
                      <w:color w:val="434343"/>
                      <w:sz w:val="25"/>
                      <w:szCs w:val="25"/>
                    </w:rPr>
                    <w:t xml:space="preserve">  minutes. </w:t>
                  </w:r>
                </w:p>
                <w:p w14:paraId="78F67605" w14:textId="77777777" w:rsidR="00E26698" w:rsidRDefault="0037013D">
                  <w:pPr>
                    <w:spacing w:before="3"/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  <w:u w:val="single"/>
                    </w:rPr>
                    <w:t xml:space="preserve">Comments from Barb Taylor- </w:t>
                  </w:r>
                </w:p>
                <w:p w14:paraId="221A9435" w14:textId="00A42A1F" w:rsidR="00E26698" w:rsidRDefault="0037013D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Share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d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 ideas on how the Board can generalize changes for interviewees.</w:t>
                  </w:r>
                </w:p>
                <w:p w14:paraId="70B4686D" w14:textId="719C07E3" w:rsidR="00E26698" w:rsidRDefault="0037013D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Students are flying out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-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of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-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state to attend school at specialized facilities because in-state facilities are denying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them </w:t>
                  </w:r>
                  <w:r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>due to severe behavioral health issues</w:t>
                  </w:r>
                  <w:r w:rsidR="00B253EC">
                    <w:rPr>
                      <w:rFonts w:ascii="Garamond" w:eastAsia="Garamond" w:hAnsi="Garamond" w:cs="Garamond"/>
                      <w:color w:val="000000"/>
                      <w:sz w:val="25"/>
                      <w:szCs w:val="25"/>
                    </w:rPr>
                    <w:t xml:space="preserve">. </w:t>
                  </w:r>
                </w:p>
                <w:p w14:paraId="5417201F" w14:textId="77777777" w:rsidR="00E26698" w:rsidRDefault="00E26698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</w:p>
                <w:p w14:paraId="16382F4A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  <w:t>Next Steps/Adjournment of Meeting</w:t>
                  </w:r>
                </w:p>
                <w:p w14:paraId="047ADE30" w14:textId="77777777" w:rsidR="00E26698" w:rsidRDefault="00E26698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b/>
                      <w:sz w:val="25"/>
                      <w:szCs w:val="25"/>
                    </w:rPr>
                  </w:pPr>
                </w:p>
                <w:p w14:paraId="78AA82AB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Steven Ramirez entertains a motion to adjourn.</w:t>
                  </w:r>
                </w:p>
                <w:p w14:paraId="4063D2E8" w14:textId="6B74181F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A motion </w:t>
                  </w:r>
                  <w:r w:rsidR="00B253EC"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was </w:t>
                  </w: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>made by Betsy Peffer and seconded by Sonjia Hunt to adjourn.</w:t>
                  </w:r>
                </w:p>
                <w:p w14:paraId="509EE0A0" w14:textId="77777777" w:rsidR="00E26698" w:rsidRDefault="0037013D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  <w:r>
                    <w:rPr>
                      <w:rFonts w:ascii="Garamond" w:eastAsia="Garamond" w:hAnsi="Garamond" w:cs="Garamond"/>
                      <w:sz w:val="25"/>
                      <w:szCs w:val="25"/>
                    </w:rPr>
                    <w:t xml:space="preserve">The Facility Schools Board unanimously votes to adjourn the meeting. </w:t>
                  </w:r>
                </w:p>
                <w:p w14:paraId="7A1C4BDD" w14:textId="77777777" w:rsidR="00E26698" w:rsidRDefault="00E26698">
                  <w:pPr>
                    <w:widowControl w:val="0"/>
                    <w:ind w:right="-20"/>
                    <w:rPr>
                      <w:rFonts w:ascii="Garamond" w:eastAsia="Garamond" w:hAnsi="Garamond" w:cs="Garamond"/>
                      <w:sz w:val="25"/>
                      <w:szCs w:val="25"/>
                    </w:rPr>
                  </w:pPr>
                </w:p>
              </w:tc>
              <w:tc>
                <w:tcPr>
                  <w:tcW w:w="2520" w:type="dxa"/>
                </w:tcPr>
                <w:p w14:paraId="2A975326" w14:textId="77777777" w:rsidR="00E26698" w:rsidRDefault="0037013D">
                  <w:pPr>
                    <w:spacing w:before="360"/>
                    <w:rPr>
                      <w:rFonts w:ascii="Garamond" w:eastAsia="Garamond" w:hAnsi="Garamond" w:cs="Garamond"/>
                      <w:b/>
                      <w:i/>
                    </w:rPr>
                  </w:pPr>
                  <w:r>
                    <w:rPr>
                      <w:rFonts w:ascii="Garamond" w:eastAsia="Garamond" w:hAnsi="Garamond" w:cs="Garamond"/>
                      <w:b/>
                      <w:i/>
                    </w:rPr>
                    <w:t xml:space="preserve"> </w:t>
                  </w:r>
                </w:p>
              </w:tc>
            </w:tr>
          </w:tbl>
          <w:p w14:paraId="460307FA" w14:textId="77777777" w:rsidR="00E26698" w:rsidRDefault="00E26698"/>
          <w:p w14:paraId="7D55E4F2" w14:textId="77777777" w:rsidR="00E26698" w:rsidRDefault="00E26698">
            <w:pPr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  <w:tr w:rsidR="00E26698" w14:paraId="6DBE26C8" w14:textId="77777777">
        <w:trPr>
          <w:trHeight w:val="446"/>
        </w:trPr>
        <w:tc>
          <w:tcPr>
            <w:tcW w:w="16068" w:type="dxa"/>
          </w:tcPr>
          <w:p w14:paraId="3B9C1428" w14:textId="77777777" w:rsidR="00E26698" w:rsidRDefault="00E26698">
            <w:pPr>
              <w:spacing w:before="120"/>
              <w:ind w:right="-195"/>
              <w:rPr>
                <w:rFonts w:ascii="Garamond" w:eastAsia="Garamond" w:hAnsi="Garamond" w:cs="Garamond"/>
                <w:b/>
                <w:sz w:val="24"/>
                <w:szCs w:val="24"/>
              </w:rPr>
            </w:pPr>
          </w:p>
        </w:tc>
      </w:tr>
    </w:tbl>
    <w:p w14:paraId="32E2C835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41277557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21CD6D83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60EF0B70" w14:textId="77777777" w:rsidR="00E26698" w:rsidRDefault="00E26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6698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2068" w14:textId="77777777" w:rsidR="0037013D" w:rsidRDefault="0037013D">
      <w:pPr>
        <w:spacing w:after="0" w:line="240" w:lineRule="auto"/>
      </w:pPr>
      <w:r>
        <w:separator/>
      </w:r>
    </w:p>
  </w:endnote>
  <w:endnote w:type="continuationSeparator" w:id="0">
    <w:p w14:paraId="392F4D41" w14:textId="77777777" w:rsidR="0037013D" w:rsidRDefault="0037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4B47" w14:textId="77777777" w:rsidR="00E26698" w:rsidRDefault="003701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0181">
      <w:rPr>
        <w:noProof/>
        <w:color w:val="000000"/>
      </w:rPr>
      <w:t>1</w:t>
    </w:r>
    <w:r>
      <w:rPr>
        <w:color w:val="000000"/>
      </w:rPr>
      <w:fldChar w:fldCharType="end"/>
    </w:r>
  </w:p>
  <w:p w14:paraId="19F996A5" w14:textId="77777777" w:rsidR="00E26698" w:rsidRDefault="00E266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5FE4" w14:textId="77777777" w:rsidR="0037013D" w:rsidRDefault="0037013D">
      <w:pPr>
        <w:spacing w:after="0" w:line="240" w:lineRule="auto"/>
      </w:pPr>
      <w:r>
        <w:separator/>
      </w:r>
    </w:p>
  </w:footnote>
  <w:footnote w:type="continuationSeparator" w:id="0">
    <w:p w14:paraId="73C6CA82" w14:textId="77777777" w:rsidR="0037013D" w:rsidRDefault="0037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CBC"/>
    <w:multiLevelType w:val="multilevel"/>
    <w:tmpl w:val="2A78A98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63A90"/>
    <w:multiLevelType w:val="multilevel"/>
    <w:tmpl w:val="E8FCA35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3F095F"/>
    <w:multiLevelType w:val="multilevel"/>
    <w:tmpl w:val="8A4CE75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792598"/>
    <w:multiLevelType w:val="multilevel"/>
    <w:tmpl w:val="FA402FD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7C31D5"/>
    <w:multiLevelType w:val="multilevel"/>
    <w:tmpl w:val="CB0E570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393ED2"/>
    <w:multiLevelType w:val="multilevel"/>
    <w:tmpl w:val="8BD2939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142EC5"/>
    <w:multiLevelType w:val="multilevel"/>
    <w:tmpl w:val="DBC6D9F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91317D"/>
    <w:multiLevelType w:val="multilevel"/>
    <w:tmpl w:val="8CA292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5764FA"/>
    <w:multiLevelType w:val="multilevel"/>
    <w:tmpl w:val="4D6A73B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045A3E"/>
    <w:multiLevelType w:val="multilevel"/>
    <w:tmpl w:val="A3F4783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A56206"/>
    <w:multiLevelType w:val="multilevel"/>
    <w:tmpl w:val="8BA4AF5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7553923">
    <w:abstractNumId w:val="5"/>
  </w:num>
  <w:num w:numId="2" w16cid:durableId="1283993938">
    <w:abstractNumId w:val="1"/>
  </w:num>
  <w:num w:numId="3" w16cid:durableId="1026641575">
    <w:abstractNumId w:val="4"/>
  </w:num>
  <w:num w:numId="4" w16cid:durableId="1554853200">
    <w:abstractNumId w:val="10"/>
  </w:num>
  <w:num w:numId="5" w16cid:durableId="1102383236">
    <w:abstractNumId w:val="6"/>
  </w:num>
  <w:num w:numId="6" w16cid:durableId="392773035">
    <w:abstractNumId w:val="8"/>
  </w:num>
  <w:num w:numId="7" w16cid:durableId="661153926">
    <w:abstractNumId w:val="0"/>
  </w:num>
  <w:num w:numId="8" w16cid:durableId="117770001">
    <w:abstractNumId w:val="3"/>
  </w:num>
  <w:num w:numId="9" w16cid:durableId="1348868203">
    <w:abstractNumId w:val="7"/>
  </w:num>
  <w:num w:numId="10" w16cid:durableId="932012175">
    <w:abstractNumId w:val="9"/>
  </w:num>
  <w:num w:numId="11" w16cid:durableId="182812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8"/>
    <w:rsid w:val="0037013D"/>
    <w:rsid w:val="00B253EC"/>
    <w:rsid w:val="00B76747"/>
    <w:rsid w:val="00BC00B7"/>
    <w:rsid w:val="00E26698"/>
    <w:rsid w:val="00E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F4E0"/>
  <w15:docId w15:val="{134EB679-258B-47F1-B3E6-FE038CF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04B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1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2A9"/>
    <w:pPr>
      <w:ind w:left="720"/>
      <w:contextualSpacing/>
    </w:pPr>
  </w:style>
  <w:style w:type="table" w:styleId="TableGrid">
    <w:name w:val="Table Grid"/>
    <w:basedOn w:val="TableNormal"/>
    <w:uiPriority w:val="59"/>
    <w:rsid w:val="00BE4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90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6523EE"/>
  </w:style>
  <w:style w:type="paragraph" w:styleId="Header">
    <w:name w:val="header"/>
    <w:basedOn w:val="Normal"/>
    <w:link w:val="HeaderChar"/>
    <w:uiPriority w:val="99"/>
    <w:unhideWhenUsed/>
    <w:rsid w:val="00F3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2D"/>
  </w:style>
  <w:style w:type="paragraph" w:styleId="Footer">
    <w:name w:val="footer"/>
    <w:basedOn w:val="Normal"/>
    <w:link w:val="FooterChar"/>
    <w:uiPriority w:val="99"/>
    <w:unhideWhenUsed/>
    <w:rsid w:val="00F3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2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fedprograms/stateequityp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b7Ys7/lB4CskXbsuzZyt32GBw==">CgMxLjAyCGguZ2pkZ3hzMgloLjMwajB6bGwyCWguMWZvYjl0ZTgAaicKFHN1Z2dlc3QuaGVnNGtiOXZmeXJtEg9WaXJnaW5pYSBXaW50ZXJqJwoUc3VnZ2VzdC5wcno3MWp2a2J5cjISD1ZpcmdpbmlhIFdpbnRlcmonChRzdWdnZXN0LmhzdDA5aGNobmUzbxIPVmlyZ2luaWEgV2ludGVyaicKFHN1Z2dlc3Quam4xZnozbndtNjl4Eg9WaXJnaW5pYSBXaW50ZXJqJwoUc3VnZ2VzdC5vZjF3a3c1ZnlsZnMSD1ZpcmdpbmlhIFdpbnRlcnIhMW14dC1PeFVoN2lZUkVCSVQ3MzZ5RFlUVjFVMEdITn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Enright, Molly</dc:creator>
  <cp:lastModifiedBy>Stirman, Judy</cp:lastModifiedBy>
  <cp:revision>2</cp:revision>
  <dcterms:created xsi:type="dcterms:W3CDTF">2023-11-29T00:53:00Z</dcterms:created>
  <dcterms:modified xsi:type="dcterms:W3CDTF">2023-11-29T00:53:00Z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0x01010023AFD8E749005A4FA114524F2AAD2530</vt:lpwstr>
  </property>
  <property fmtid="{D5CDD505-2E9C-101B-9397-08002B2CF9AE}" pid="3" name="GrammarlyDocumentId">
    <vt:lpwstr>9f2808fc5901cf2c0f5ce837a465b037978d54faa32e837707ae39da10edb547</vt:lpwstr>
  </property>
</Properties>
</file>