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501" w:rsidRDefault="00165501" w:rsidP="00165501">
      <w:pPr>
        <w:pStyle w:val="Title"/>
        <w:pBdr>
          <w:bottom w:val="single" w:sz="8" w:space="31" w:color="4F81BD" w:themeColor="accent1"/>
        </w:pBdr>
      </w:pPr>
      <w:r w:rsidRPr="00165501">
        <w:rPr>
          <w:noProof/>
        </w:rPr>
        <w:drawing>
          <wp:inline distT="0" distB="0" distL="0" distR="0">
            <wp:extent cx="5943600" cy="165100"/>
            <wp:effectExtent l="19050" t="0" r="0" b="0"/>
            <wp:docPr id="10" name="Picture 1" descr="Okeef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eefe bar"/>
                    <pic:cNvPicPr>
                      <a:picLocks noChangeAspect="1" noChangeArrowheads="1"/>
                    </pic:cNvPicPr>
                  </pic:nvPicPr>
                  <pic:blipFill>
                    <a:blip r:embed="rId8" cstate="print">
                      <a:duotone>
                        <a:prstClr val="black"/>
                        <a:schemeClr val="accent1">
                          <a:tint val="45000"/>
                          <a:satMod val="400000"/>
                        </a:schemeClr>
                      </a:duotone>
                    </a:blip>
                    <a:srcRect/>
                    <a:stretch>
                      <a:fillRect/>
                    </a:stretch>
                  </pic:blipFill>
                  <pic:spPr bwMode="auto">
                    <a:xfrm>
                      <a:off x="0" y="0"/>
                      <a:ext cx="5943600" cy="165100"/>
                    </a:xfrm>
                    <a:prstGeom prst="rect">
                      <a:avLst/>
                    </a:prstGeom>
                    <a:noFill/>
                    <a:ln w="9525">
                      <a:noFill/>
                      <a:miter lim="800000"/>
                      <a:headEnd/>
                      <a:tailEnd/>
                    </a:ln>
                  </pic:spPr>
                </pic:pic>
              </a:graphicData>
            </a:graphic>
          </wp:inline>
        </w:drawing>
      </w:r>
    </w:p>
    <w:p w:rsidR="0082145B" w:rsidRDefault="00002D50">
      <w:pPr>
        <w:pStyle w:val="Title"/>
        <w:jc w:val="center"/>
      </w:pPr>
      <w:r>
        <w:t xml:space="preserve">Dropout Prevention and </w:t>
      </w:r>
      <w:r w:rsidR="00AF40EC">
        <w:br/>
      </w:r>
      <w:r>
        <w:t>Intervention Strategies</w:t>
      </w:r>
    </w:p>
    <w:p w:rsidR="00165501" w:rsidRDefault="00165501"/>
    <w:p w:rsidR="00165501" w:rsidRPr="00AF40EC" w:rsidRDefault="006B543B" w:rsidP="00960181">
      <w:pPr>
        <w:jc w:val="center"/>
        <w:rPr>
          <w:rFonts w:cstheme="minorHAnsi"/>
          <w:i/>
          <w:sz w:val="24"/>
          <w:szCs w:val="24"/>
        </w:rPr>
      </w:pPr>
      <w:r w:rsidRPr="006B543B">
        <w:rPr>
          <w:rFonts w:cstheme="minorHAnsi"/>
          <w:i/>
          <w:sz w:val="24"/>
          <w:szCs w:val="24"/>
        </w:rPr>
        <w:t>Prepared for:</w:t>
      </w:r>
    </w:p>
    <w:p w:rsidR="00FB3400" w:rsidRPr="00AF40EC" w:rsidRDefault="006B543B" w:rsidP="00FB3400">
      <w:pPr>
        <w:spacing w:after="0" w:line="240" w:lineRule="auto"/>
        <w:jc w:val="center"/>
        <w:rPr>
          <w:rFonts w:cstheme="minorHAnsi"/>
          <w:sz w:val="24"/>
          <w:szCs w:val="24"/>
        </w:rPr>
      </w:pPr>
      <w:r w:rsidRPr="006B543B">
        <w:rPr>
          <w:rFonts w:cstheme="minorHAnsi"/>
          <w:sz w:val="24"/>
          <w:szCs w:val="24"/>
        </w:rPr>
        <w:t>The Colorado Department of Education</w:t>
      </w:r>
    </w:p>
    <w:p w:rsidR="00165501" w:rsidRPr="00AF40EC" w:rsidRDefault="006B543B" w:rsidP="00FB3400">
      <w:pPr>
        <w:spacing w:after="0" w:line="240" w:lineRule="auto"/>
        <w:jc w:val="center"/>
        <w:rPr>
          <w:rFonts w:cstheme="minorHAnsi"/>
          <w:sz w:val="24"/>
          <w:szCs w:val="24"/>
        </w:rPr>
      </w:pPr>
      <w:r w:rsidRPr="006B543B">
        <w:rPr>
          <w:rFonts w:cstheme="minorHAnsi"/>
          <w:sz w:val="24"/>
          <w:szCs w:val="24"/>
        </w:rPr>
        <w:t>201 East Colfax Ave.</w:t>
      </w:r>
      <w:r w:rsidRPr="006B543B">
        <w:rPr>
          <w:rFonts w:cstheme="minorHAnsi"/>
          <w:sz w:val="24"/>
          <w:szCs w:val="24"/>
        </w:rPr>
        <w:br/>
        <w:t>Denver, CO 80203</w:t>
      </w:r>
    </w:p>
    <w:p w:rsidR="00165501" w:rsidRPr="00AF40EC" w:rsidRDefault="00165501">
      <w:pPr>
        <w:rPr>
          <w:rFonts w:cstheme="minorHAnsi"/>
        </w:rPr>
      </w:pPr>
    </w:p>
    <w:p w:rsidR="00960181" w:rsidRPr="00AF40EC" w:rsidRDefault="006B543B" w:rsidP="00960181">
      <w:pPr>
        <w:spacing w:after="0" w:line="240" w:lineRule="auto"/>
        <w:jc w:val="center"/>
        <w:rPr>
          <w:rFonts w:cstheme="minorHAnsi"/>
          <w:sz w:val="24"/>
          <w:szCs w:val="24"/>
        </w:rPr>
      </w:pPr>
      <w:r w:rsidRPr="006B543B">
        <w:rPr>
          <w:rFonts w:cstheme="minorHAnsi"/>
          <w:i/>
          <w:sz w:val="24"/>
          <w:szCs w:val="24"/>
        </w:rPr>
        <w:t>Prepared by:</w:t>
      </w:r>
      <w:r w:rsidRPr="006B543B">
        <w:rPr>
          <w:rFonts w:cstheme="minorHAnsi"/>
          <w:sz w:val="24"/>
          <w:szCs w:val="24"/>
        </w:rPr>
        <w:br/>
      </w:r>
    </w:p>
    <w:p w:rsidR="00165501" w:rsidRPr="00AF40EC" w:rsidRDefault="006B543B" w:rsidP="00212E96">
      <w:pPr>
        <w:spacing w:after="0" w:line="240" w:lineRule="auto"/>
        <w:jc w:val="center"/>
        <w:rPr>
          <w:rFonts w:cstheme="minorHAnsi"/>
          <w:sz w:val="24"/>
          <w:szCs w:val="24"/>
        </w:rPr>
      </w:pPr>
      <w:r w:rsidRPr="006B543B">
        <w:rPr>
          <w:rFonts w:cstheme="minorHAnsi"/>
          <w:sz w:val="24"/>
          <w:szCs w:val="24"/>
        </w:rPr>
        <w:t>REL Central</w:t>
      </w:r>
    </w:p>
    <w:p w:rsidR="00165501" w:rsidRPr="00AF40EC" w:rsidRDefault="006B543B" w:rsidP="00212E96">
      <w:pPr>
        <w:spacing w:after="0" w:line="240" w:lineRule="auto"/>
        <w:jc w:val="center"/>
        <w:rPr>
          <w:rFonts w:cstheme="minorHAnsi"/>
          <w:sz w:val="24"/>
          <w:szCs w:val="24"/>
        </w:rPr>
      </w:pPr>
      <w:r w:rsidRPr="006B543B">
        <w:rPr>
          <w:rFonts w:cstheme="minorHAnsi"/>
          <w:sz w:val="24"/>
          <w:szCs w:val="24"/>
        </w:rPr>
        <w:t>at</w:t>
      </w:r>
    </w:p>
    <w:p w:rsidR="00165501" w:rsidRPr="00AF40EC" w:rsidRDefault="006B543B" w:rsidP="00212E96">
      <w:pPr>
        <w:spacing w:after="0" w:line="240" w:lineRule="auto"/>
        <w:jc w:val="center"/>
        <w:rPr>
          <w:rFonts w:cstheme="minorHAnsi"/>
          <w:sz w:val="24"/>
          <w:szCs w:val="24"/>
        </w:rPr>
      </w:pPr>
      <w:r w:rsidRPr="006B543B">
        <w:rPr>
          <w:rFonts w:cstheme="minorHAnsi"/>
          <w:sz w:val="24"/>
          <w:szCs w:val="24"/>
        </w:rPr>
        <w:t>Mid-continent Research for Education and Learning</w:t>
      </w:r>
    </w:p>
    <w:p w:rsidR="00165501" w:rsidRPr="00AF40EC" w:rsidRDefault="006B543B" w:rsidP="00212E96">
      <w:pPr>
        <w:spacing w:after="0" w:line="240" w:lineRule="auto"/>
        <w:jc w:val="center"/>
        <w:rPr>
          <w:rFonts w:cstheme="minorHAnsi"/>
          <w:sz w:val="24"/>
          <w:szCs w:val="24"/>
        </w:rPr>
      </w:pPr>
      <w:r w:rsidRPr="006B543B">
        <w:rPr>
          <w:rFonts w:cstheme="minorHAnsi"/>
          <w:sz w:val="24"/>
          <w:szCs w:val="24"/>
        </w:rPr>
        <w:t>4601 DTC Blvd., Ste. 500</w:t>
      </w:r>
    </w:p>
    <w:p w:rsidR="00165501" w:rsidRPr="00AF40EC" w:rsidRDefault="006B543B" w:rsidP="00212E96">
      <w:pPr>
        <w:spacing w:after="0" w:line="240" w:lineRule="auto"/>
        <w:jc w:val="center"/>
        <w:rPr>
          <w:rFonts w:cstheme="minorHAnsi"/>
          <w:sz w:val="24"/>
          <w:szCs w:val="24"/>
        </w:rPr>
      </w:pPr>
      <w:r w:rsidRPr="006B543B">
        <w:rPr>
          <w:rFonts w:cstheme="minorHAnsi"/>
          <w:sz w:val="24"/>
          <w:szCs w:val="24"/>
        </w:rPr>
        <w:t>Denver, CO 80237</w:t>
      </w:r>
    </w:p>
    <w:p w:rsidR="00960181" w:rsidRPr="00AF40EC" w:rsidRDefault="00960181" w:rsidP="00212E96">
      <w:pPr>
        <w:spacing w:after="0" w:line="240" w:lineRule="auto"/>
        <w:jc w:val="center"/>
        <w:rPr>
          <w:rFonts w:cstheme="minorHAnsi"/>
          <w:sz w:val="24"/>
          <w:szCs w:val="24"/>
        </w:rPr>
      </w:pPr>
    </w:p>
    <w:p w:rsidR="00165501" w:rsidRPr="00AF40EC" w:rsidRDefault="006B543B" w:rsidP="00212E96">
      <w:pPr>
        <w:spacing w:after="0" w:line="240" w:lineRule="auto"/>
        <w:jc w:val="center"/>
        <w:rPr>
          <w:rFonts w:cstheme="minorHAnsi"/>
        </w:rPr>
      </w:pPr>
      <w:r w:rsidRPr="006B543B">
        <w:rPr>
          <w:rFonts w:cstheme="minorHAnsi"/>
          <w:sz w:val="24"/>
          <w:szCs w:val="24"/>
        </w:rPr>
        <w:t>December 2011</w:t>
      </w:r>
    </w:p>
    <w:p w:rsidR="00960181" w:rsidRDefault="00960181" w:rsidP="00212E96">
      <w:pPr>
        <w:jc w:val="center"/>
        <w:rPr>
          <w:rFonts w:ascii="Arial" w:hAnsi="Arial" w:cs="Arial"/>
        </w:rPr>
      </w:pPr>
    </w:p>
    <w:p w:rsidR="00960181" w:rsidRDefault="00960181" w:rsidP="00165501">
      <w:pPr>
        <w:jc w:val="center"/>
        <w:rPr>
          <w:rFonts w:ascii="Arial" w:hAnsi="Arial" w:cs="Arial"/>
        </w:rPr>
      </w:pPr>
    </w:p>
    <w:p w:rsidR="00960181" w:rsidRDefault="00960181" w:rsidP="00165501">
      <w:pPr>
        <w:jc w:val="center"/>
        <w:rPr>
          <w:rFonts w:ascii="Arial" w:hAnsi="Arial" w:cs="Arial"/>
        </w:rPr>
      </w:pPr>
    </w:p>
    <w:p w:rsidR="00960181" w:rsidRDefault="00960181" w:rsidP="00960181">
      <w:pPr>
        <w:spacing w:after="0" w:line="240" w:lineRule="auto"/>
      </w:pPr>
      <w:r>
        <w:rPr>
          <w:noProof/>
        </w:rPr>
        <w:drawing>
          <wp:inline distT="0" distB="0" distL="0" distR="0">
            <wp:extent cx="1987296" cy="1725168"/>
            <wp:effectExtent l="19050" t="0" r="0" b="0"/>
            <wp:docPr id="5" name="Picture 4" descr="REL-Central-McREL_circle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Central-McREL_circle_Green.jpg"/>
                    <pic:cNvPicPr/>
                  </pic:nvPicPr>
                  <pic:blipFill>
                    <a:blip r:embed="rId9" cstate="print"/>
                    <a:stretch>
                      <a:fillRect/>
                    </a:stretch>
                  </pic:blipFill>
                  <pic:spPr>
                    <a:xfrm>
                      <a:off x="0" y="0"/>
                      <a:ext cx="1987296" cy="1725168"/>
                    </a:xfrm>
                    <a:prstGeom prst="rect">
                      <a:avLst/>
                    </a:prstGeom>
                  </pic:spPr>
                </pic:pic>
              </a:graphicData>
            </a:graphic>
          </wp:inline>
        </w:drawing>
      </w:r>
      <w:r w:rsidR="00165501">
        <w:br w:type="page"/>
      </w:r>
    </w:p>
    <w:p w:rsidR="00CB5332" w:rsidRDefault="00960181" w:rsidP="00960181">
      <w:pPr>
        <w:sectPr w:rsidR="00CB5332" w:rsidSect="004C35AA">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pPr>
      <w:r w:rsidRPr="004811C0">
        <w:lastRenderedPageBreak/>
        <w:t>This project was prepared for IES</w:t>
      </w:r>
      <w:r w:rsidR="00933BBA">
        <w:t>,</w:t>
      </w:r>
      <w:r w:rsidRPr="004811C0">
        <w:t xml:space="preserve"> under Contract ED-06-CO-0023 administered by</w:t>
      </w:r>
      <w:r w:rsidRPr="004811C0">
        <w:br/>
        <w:t>Mid-continent Research for Education and Learning. The content of the publication does not necessarily reflect the views or policies of IES or the U.S. Department of Education, nor does mention of trade names, commercial products, or organizations imply end</w:t>
      </w:r>
      <w:r w:rsidR="00CB5332">
        <w:t>orsement by the U.S. Government</w:t>
      </w:r>
    </w:p>
    <w:p w:rsidR="0082145B" w:rsidRDefault="00002D50">
      <w:pPr>
        <w:pStyle w:val="Heading1"/>
      </w:pPr>
      <w:r>
        <w:lastRenderedPageBreak/>
        <w:t>Background on Categorizing Dropout Prevention</w:t>
      </w:r>
      <w:r w:rsidR="009C1977">
        <w:t xml:space="preserve"> and Intervention</w:t>
      </w:r>
    </w:p>
    <w:p w:rsidR="00E66EF7" w:rsidRDefault="003353EF">
      <w:r>
        <w:t xml:space="preserve">To prepare all students for college and career success, </w:t>
      </w:r>
      <w:r w:rsidR="005D771E">
        <w:t xml:space="preserve">school district leaders </w:t>
      </w:r>
      <w:r>
        <w:t xml:space="preserve">need to create </w:t>
      </w:r>
      <w:r w:rsidR="00EF5F4D">
        <w:t>preparatory pathway</w:t>
      </w:r>
      <w:r w:rsidR="000C4EF0">
        <w:t>s</w:t>
      </w:r>
      <w:r>
        <w:t xml:space="preserve"> that</w:t>
      </w:r>
      <w:r w:rsidR="00EF5F4D">
        <w:t xml:space="preserve"> begin in early childhood and continue through </w:t>
      </w:r>
      <w:r w:rsidR="00F30C52">
        <w:t xml:space="preserve">twelfth </w:t>
      </w:r>
      <w:r w:rsidR="00BE47BF">
        <w:t>grade</w:t>
      </w:r>
      <w:r w:rsidR="006E4F86">
        <w:t>.</w:t>
      </w:r>
      <w:r w:rsidR="005D771E">
        <w:t xml:space="preserve"> </w:t>
      </w:r>
      <w:r w:rsidR="00E7586D">
        <w:t>The National Dr</w:t>
      </w:r>
      <w:r w:rsidR="00BE47BF">
        <w:t>opout Prevention Center/Network</w:t>
      </w:r>
      <w:r w:rsidR="00B97F42">
        <w:t xml:space="preserve"> (</w:t>
      </w:r>
      <w:r w:rsidR="00B97F42" w:rsidRPr="00B97F42">
        <w:t>NDPC/N</w:t>
      </w:r>
      <w:r w:rsidR="00B97F42">
        <w:t>)</w:t>
      </w:r>
      <w:r w:rsidR="00BE47BF">
        <w:t xml:space="preserve"> uses three </w:t>
      </w:r>
      <w:r w:rsidR="00E7586D">
        <w:t xml:space="preserve">categories </w:t>
      </w:r>
      <w:r w:rsidR="00BE47BF">
        <w:t xml:space="preserve">to characterize </w:t>
      </w:r>
      <w:r w:rsidR="006E4F86">
        <w:t xml:space="preserve">dropout </w:t>
      </w:r>
      <w:r w:rsidR="00E66EF7">
        <w:t xml:space="preserve">prevention </w:t>
      </w:r>
      <w:r w:rsidR="005D771E">
        <w:t>strategies</w:t>
      </w:r>
      <w:r w:rsidR="004C683F">
        <w:t xml:space="preserve"> that guide students along these pathways</w:t>
      </w:r>
      <w:r w:rsidR="00BE47BF">
        <w:t xml:space="preserve">: </w:t>
      </w:r>
      <w:r w:rsidR="00294A41">
        <w:t>prevention</w:t>
      </w:r>
      <w:r w:rsidR="00E7586D">
        <w:t xml:space="preserve">, intervention, </w:t>
      </w:r>
      <w:r>
        <w:t xml:space="preserve">and </w:t>
      </w:r>
      <w:r w:rsidR="00E7586D">
        <w:t>recovery/reentry</w:t>
      </w:r>
      <w:r w:rsidR="00294A41">
        <w:t>.</w:t>
      </w:r>
      <w:r w:rsidR="00E7586D">
        <w:t xml:space="preserve"> </w:t>
      </w:r>
      <w:r w:rsidR="0048264D">
        <w:t xml:space="preserve">In this report, we review evidence </w:t>
      </w:r>
      <w:r w:rsidR="00BE47BF">
        <w:t xml:space="preserve">for the </w:t>
      </w:r>
      <w:r w:rsidR="0048264D">
        <w:t>effectiveness</w:t>
      </w:r>
      <w:r w:rsidR="00A64675">
        <w:t xml:space="preserve"> of</w:t>
      </w:r>
      <w:r w:rsidR="0048264D">
        <w:t xml:space="preserve"> different </w:t>
      </w:r>
      <w:r w:rsidR="00294A41">
        <w:t>strategies</w:t>
      </w:r>
      <w:r w:rsidR="004C683F">
        <w:t xml:space="preserve"> of each type</w:t>
      </w:r>
      <w:r w:rsidR="00A64675">
        <w:t xml:space="preserve">, </w:t>
      </w:r>
      <w:r w:rsidR="002365DC">
        <w:t>using Colorado’s</w:t>
      </w:r>
      <w:r w:rsidR="00861DA8">
        <w:t xml:space="preserve"> </w:t>
      </w:r>
      <w:r w:rsidR="008D31E5">
        <w:t>R</w:t>
      </w:r>
      <w:r w:rsidR="008D50EA">
        <w:t xml:space="preserve">esponse to </w:t>
      </w:r>
      <w:r w:rsidR="008D31E5">
        <w:t>I</w:t>
      </w:r>
      <w:r w:rsidR="008D50EA">
        <w:t>ntervention (Rt</w:t>
      </w:r>
      <w:r w:rsidR="008D31E5">
        <w:t>I</w:t>
      </w:r>
      <w:r w:rsidR="008D50EA">
        <w:t>) framework</w:t>
      </w:r>
      <w:r w:rsidR="009D4938">
        <w:t xml:space="preserve"> to organize the review</w:t>
      </w:r>
      <w:r w:rsidR="008D50EA">
        <w:t xml:space="preserve">. </w:t>
      </w:r>
    </w:p>
    <w:p w:rsidR="0082145B" w:rsidRDefault="00C67B8C">
      <w:r>
        <w:t>The Colorado</w:t>
      </w:r>
      <w:r w:rsidR="008D50EA">
        <w:t xml:space="preserve"> Rt</w:t>
      </w:r>
      <w:r w:rsidR="008D31E5">
        <w:t>I</w:t>
      </w:r>
      <w:r w:rsidR="008D50EA">
        <w:t xml:space="preserve"> framework</w:t>
      </w:r>
      <w:r w:rsidR="0014072D">
        <w:t xml:space="preserve">, </w:t>
      </w:r>
      <w:r w:rsidR="00DB0A99">
        <w:t>a</w:t>
      </w:r>
      <w:r w:rsidR="008D50EA">
        <w:t xml:space="preserve"> </w:t>
      </w:r>
      <w:r w:rsidR="00DB0A99">
        <w:t>m</w:t>
      </w:r>
      <w:r w:rsidR="008D50EA">
        <w:t xml:space="preserve">ulti-tiered </w:t>
      </w:r>
      <w:r w:rsidR="00DB0A99">
        <w:t>m</w:t>
      </w:r>
      <w:r w:rsidR="008D50EA">
        <w:t xml:space="preserve">odel of </w:t>
      </w:r>
      <w:r w:rsidR="00DB0A99">
        <w:t>i</w:t>
      </w:r>
      <w:r w:rsidR="008D50EA">
        <w:t xml:space="preserve">nstruction </w:t>
      </w:r>
      <w:r w:rsidR="00052FC4">
        <w:t>and</w:t>
      </w:r>
      <w:r w:rsidR="008D50EA">
        <w:t xml:space="preserve"> </w:t>
      </w:r>
      <w:r w:rsidR="00DB0A99">
        <w:t>i</w:t>
      </w:r>
      <w:r w:rsidR="008D50EA">
        <w:t>ntervention</w:t>
      </w:r>
      <w:r>
        <w:t xml:space="preserve"> (</w:t>
      </w:r>
      <w:r w:rsidR="008D50EA">
        <w:t xml:space="preserve">Colorado Department of Education, </w:t>
      </w:r>
      <w:r w:rsidR="008E2E14">
        <w:t>n.d.</w:t>
      </w:r>
      <w:r w:rsidR="008D50EA">
        <w:t>)</w:t>
      </w:r>
      <w:r w:rsidR="00984E68">
        <w:t xml:space="preserve">, parallels </w:t>
      </w:r>
      <w:r w:rsidR="00861513">
        <w:t>the three-tiered model for d</w:t>
      </w:r>
      <w:r w:rsidR="00DB0A99">
        <w:t xml:space="preserve">ropout prevention </w:t>
      </w:r>
      <w:r w:rsidR="00861513">
        <w:t xml:space="preserve">programming proposed by Mac Iver and Mac Iver (2009). </w:t>
      </w:r>
      <w:r w:rsidR="004C683F">
        <w:t xml:space="preserve">Both models rely on </w:t>
      </w:r>
      <w:r w:rsidR="00137975">
        <w:t xml:space="preserve">a </w:t>
      </w:r>
      <w:r w:rsidR="004C683F">
        <w:t>pyramid of education</w:t>
      </w:r>
      <w:r w:rsidR="004811C0">
        <w:t xml:space="preserve"> </w:t>
      </w:r>
      <w:r w:rsidR="004C683F">
        <w:t>programs</w:t>
      </w:r>
      <w:r w:rsidR="00137975">
        <w:t xml:space="preserve"> for increasingly fewer students who need increasingly specialized services</w:t>
      </w:r>
      <w:r w:rsidR="004C683F">
        <w:t>.</w:t>
      </w:r>
      <w:r w:rsidR="006E64B2">
        <w:t xml:space="preserve"> </w:t>
      </w:r>
      <w:r w:rsidR="00861513">
        <w:t xml:space="preserve">As shown in Table 1, both models </w:t>
      </w:r>
      <w:r w:rsidR="008F23C2">
        <w:t xml:space="preserve">include </w:t>
      </w:r>
      <w:r w:rsidR="00076759">
        <w:t xml:space="preserve">universal, </w:t>
      </w:r>
      <w:r w:rsidR="00861513">
        <w:t>high</w:t>
      </w:r>
      <w:r w:rsidR="005F7E1F">
        <w:t>-</w:t>
      </w:r>
      <w:r w:rsidR="00861513">
        <w:t xml:space="preserve">quality </w:t>
      </w:r>
      <w:r w:rsidR="00DB0A99">
        <w:t xml:space="preserve">general education </w:t>
      </w:r>
      <w:r w:rsidR="00861513">
        <w:t xml:space="preserve">for all students as </w:t>
      </w:r>
      <w:r w:rsidR="008F23C2">
        <w:t xml:space="preserve">the </w:t>
      </w:r>
      <w:r w:rsidR="004C683F">
        <w:t xml:space="preserve">foundation for engaging students in learning </w:t>
      </w:r>
      <w:r w:rsidR="00875CC2">
        <w:t xml:space="preserve">and </w:t>
      </w:r>
      <w:r w:rsidR="004C683F">
        <w:t>succeeding in school</w:t>
      </w:r>
      <w:r w:rsidR="008F23C2">
        <w:t xml:space="preserve">. </w:t>
      </w:r>
      <w:r w:rsidR="00E02894">
        <w:t>Also i</w:t>
      </w:r>
      <w:r w:rsidR="003124FE">
        <w:t>n</w:t>
      </w:r>
      <w:r w:rsidR="00CC44BC">
        <w:t xml:space="preserve"> both models, </w:t>
      </w:r>
      <w:r w:rsidR="004C683F">
        <w:t xml:space="preserve">the second tier </w:t>
      </w:r>
      <w:r w:rsidR="00CC44BC">
        <w:t>include</w:t>
      </w:r>
      <w:r w:rsidR="004C683F">
        <w:t>s</w:t>
      </w:r>
      <w:r w:rsidR="00CC44BC">
        <w:t xml:space="preserve"> </w:t>
      </w:r>
      <w:r w:rsidR="00861513">
        <w:t>targeted supports and interventions</w:t>
      </w:r>
      <w:r w:rsidR="00DB0A99">
        <w:t xml:space="preserve"> </w:t>
      </w:r>
      <w:r w:rsidR="00861513">
        <w:t xml:space="preserve">for </w:t>
      </w:r>
      <w:r w:rsidR="008D50EA">
        <w:t xml:space="preserve">students identified as </w:t>
      </w:r>
      <w:r w:rsidR="00861513">
        <w:t xml:space="preserve">struggling </w:t>
      </w:r>
      <w:r w:rsidR="00875CC2">
        <w:t xml:space="preserve">academically or </w:t>
      </w:r>
      <w:r w:rsidR="00861513">
        <w:t>w</w:t>
      </w:r>
      <w:r w:rsidR="00C33B6F">
        <w:t xml:space="preserve">ho have poor </w:t>
      </w:r>
      <w:r w:rsidR="00861513">
        <w:t>attendance</w:t>
      </w:r>
      <w:r w:rsidR="00875CC2">
        <w:t xml:space="preserve"> </w:t>
      </w:r>
      <w:r w:rsidR="00C33B6F">
        <w:t>or</w:t>
      </w:r>
      <w:r w:rsidR="00861513">
        <w:t xml:space="preserve"> behavior</w:t>
      </w:r>
      <w:r w:rsidR="00C33B6F">
        <w:t xml:space="preserve"> issues</w:t>
      </w:r>
      <w:r w:rsidR="00C97317">
        <w:t>.</w:t>
      </w:r>
      <w:r w:rsidR="00861513">
        <w:t xml:space="preserve"> </w:t>
      </w:r>
      <w:r w:rsidR="000D3588">
        <w:t xml:space="preserve">The </w:t>
      </w:r>
      <w:r w:rsidR="001402AB">
        <w:t xml:space="preserve">targeted </w:t>
      </w:r>
      <w:r w:rsidR="00861513">
        <w:t xml:space="preserve">supports and interventions </w:t>
      </w:r>
      <w:r w:rsidR="00F30C52">
        <w:t xml:space="preserve">of the second tier </w:t>
      </w:r>
      <w:r w:rsidR="00861513">
        <w:t>are</w:t>
      </w:r>
      <w:r w:rsidR="009D4938">
        <w:t xml:space="preserve"> </w:t>
      </w:r>
      <w:r w:rsidR="00861513">
        <w:t xml:space="preserve">distinguished from </w:t>
      </w:r>
      <w:r w:rsidR="004C683F">
        <w:t xml:space="preserve">the </w:t>
      </w:r>
      <w:r w:rsidR="000D3588">
        <w:t xml:space="preserve">more intensive </w:t>
      </w:r>
      <w:r w:rsidR="00F30C52">
        <w:t xml:space="preserve">strategies of the </w:t>
      </w:r>
      <w:r w:rsidR="000D3588">
        <w:t xml:space="preserve">third </w:t>
      </w:r>
      <w:r w:rsidR="00C93383">
        <w:t>tier</w:t>
      </w:r>
      <w:r w:rsidR="00F30C52">
        <w:t>,</w:t>
      </w:r>
      <w:r w:rsidR="000D3588">
        <w:t xml:space="preserve"> </w:t>
      </w:r>
      <w:r w:rsidR="004C683F">
        <w:t>which</w:t>
      </w:r>
      <w:r w:rsidR="00861513">
        <w:t xml:space="preserve"> focus on meeting the needs of </w:t>
      </w:r>
      <w:r w:rsidR="008D50EA">
        <w:t xml:space="preserve">students </w:t>
      </w:r>
      <w:r w:rsidR="002C72BE">
        <w:t xml:space="preserve">for whom the targeted interventions </w:t>
      </w:r>
      <w:r w:rsidR="005E138A">
        <w:t>are</w:t>
      </w:r>
      <w:r w:rsidR="002C72BE">
        <w:t xml:space="preserve"> ineffective</w:t>
      </w:r>
      <w:r w:rsidR="004C683F">
        <w:t>.</w:t>
      </w:r>
      <w:r w:rsidR="002C72BE">
        <w:t xml:space="preserve"> </w:t>
      </w:r>
    </w:p>
    <w:p w:rsidR="0082145B" w:rsidRDefault="004C683F">
      <w:r>
        <w:t xml:space="preserve">Although the RtI and </w:t>
      </w:r>
      <w:r w:rsidR="004062A7">
        <w:t>three-tiered dropout prevention model</w:t>
      </w:r>
      <w:r>
        <w:t xml:space="preserve"> share commonalities, they also differ i</w:t>
      </w:r>
      <w:r w:rsidR="004062A7">
        <w:t>n important ways. First</w:t>
      </w:r>
      <w:r w:rsidR="00956705">
        <w:t>, the</w:t>
      </w:r>
      <w:r w:rsidR="004062A7">
        <w:t xml:space="preserve"> goal of RtI is to </w:t>
      </w:r>
      <w:r>
        <w:t>appropriately</w:t>
      </w:r>
      <w:r w:rsidR="00266E88">
        <w:t xml:space="preserve"> </w:t>
      </w:r>
      <w:r w:rsidR="004062A7">
        <w:t>identify students for special education</w:t>
      </w:r>
      <w:r w:rsidR="0092272D">
        <w:t>,</w:t>
      </w:r>
      <w:r w:rsidR="004062A7">
        <w:t xml:space="preserve"> while the goal of the three-tiered dropout prevention model is to help students stay on track to graduate (Mac Iver &amp; Mac Iver, 2009). Second, </w:t>
      </w:r>
      <w:r>
        <w:t>while</w:t>
      </w:r>
      <w:r w:rsidR="003124FE">
        <w:t xml:space="preserve"> both models emphasize use of data for early identification and progress monitoring, the </w:t>
      </w:r>
      <w:r>
        <w:t xml:space="preserve">models have different purposes for </w:t>
      </w:r>
      <w:r w:rsidR="003124FE">
        <w:t xml:space="preserve">data </w:t>
      </w:r>
      <w:r>
        <w:t>and different indicators</w:t>
      </w:r>
      <w:r w:rsidR="003124FE">
        <w:t xml:space="preserve">. </w:t>
      </w:r>
      <w:r w:rsidR="00266E88">
        <w:t xml:space="preserve">In RtI, the data and indicators </w:t>
      </w:r>
      <w:r w:rsidR="0055709D">
        <w:t>address</w:t>
      </w:r>
      <w:r w:rsidR="00266E88">
        <w:t xml:space="preserve"> academic achievement</w:t>
      </w:r>
      <w:r w:rsidR="0055709D">
        <w:t xml:space="preserve"> and criteria for disability diagnoses, while in the three-tiered dropout prevention model, the data and indicators address the ABCs of attendance, behavior, and course performance </w:t>
      </w:r>
      <w:r w:rsidR="00E2056B">
        <w:t xml:space="preserve">in order </w:t>
      </w:r>
      <w:r w:rsidR="006E4CF5">
        <w:t xml:space="preserve">to identify students at risk for dropping out </w:t>
      </w:r>
      <w:r w:rsidR="0055709D">
        <w:t>(</w:t>
      </w:r>
      <w:r w:rsidR="003124FE">
        <w:t xml:space="preserve">Mac Iver </w:t>
      </w:r>
      <w:r w:rsidR="00E2056B">
        <w:t xml:space="preserve">&amp; </w:t>
      </w:r>
      <w:r w:rsidR="003124FE">
        <w:t>Mac Iver</w:t>
      </w:r>
      <w:r w:rsidR="0055709D">
        <w:t>, 2009)</w:t>
      </w:r>
      <w:r w:rsidR="003124FE">
        <w:t xml:space="preserve">. </w:t>
      </w:r>
    </w:p>
    <w:p w:rsidR="00960181" w:rsidRDefault="00960181" w:rsidP="008D50EA">
      <w:pPr>
        <w:ind w:firstLine="720"/>
      </w:pPr>
    </w:p>
    <w:p w:rsidR="00960181" w:rsidRDefault="00960181" w:rsidP="008D50EA">
      <w:pPr>
        <w:ind w:firstLine="720"/>
      </w:pPr>
    </w:p>
    <w:p w:rsidR="004811C0" w:rsidRDefault="004811C0" w:rsidP="008D50EA">
      <w:pPr>
        <w:ind w:firstLine="720"/>
      </w:pPr>
    </w:p>
    <w:p w:rsidR="0082145B" w:rsidRDefault="00C6588C">
      <w:pPr>
        <w:spacing w:after="0"/>
        <w:rPr>
          <w:b/>
        </w:rPr>
      </w:pPr>
      <w:r w:rsidRPr="00C6588C">
        <w:rPr>
          <w:b/>
        </w:rPr>
        <w:t>Table 1.</w:t>
      </w:r>
      <w:r w:rsidR="00960181">
        <w:rPr>
          <w:b/>
        </w:rPr>
        <w:t xml:space="preserve"> </w:t>
      </w:r>
      <w:r w:rsidRPr="00C6588C">
        <w:rPr>
          <w:b/>
        </w:rPr>
        <w:t>Multi-tiered Models of Instruction and Intervention for Dropout Prevention</w:t>
      </w:r>
    </w:p>
    <w:tbl>
      <w:tblPr>
        <w:tblStyle w:val="TableGrid"/>
        <w:tblW w:w="0" w:type="auto"/>
        <w:tblLayout w:type="fixed"/>
        <w:tblLook w:val="04A0"/>
      </w:tblPr>
      <w:tblGrid>
        <w:gridCol w:w="738"/>
        <w:gridCol w:w="4464"/>
        <w:gridCol w:w="4374"/>
      </w:tblGrid>
      <w:tr w:rsidR="002365DC" w:rsidRPr="00C6588C" w:rsidTr="008D0143">
        <w:tc>
          <w:tcPr>
            <w:tcW w:w="738" w:type="dxa"/>
            <w:shd w:val="clear" w:color="auto" w:fill="D9D9D9" w:themeFill="background1" w:themeFillShade="D9"/>
            <w:tcMar>
              <w:top w:w="29" w:type="dxa"/>
              <w:left w:w="29" w:type="dxa"/>
              <w:bottom w:w="29" w:type="dxa"/>
              <w:right w:w="29" w:type="dxa"/>
            </w:tcMar>
            <w:vAlign w:val="center"/>
          </w:tcPr>
          <w:p w:rsidR="002365DC" w:rsidRPr="00C6588C" w:rsidRDefault="00C97317" w:rsidP="00E02894">
            <w:pPr>
              <w:jc w:val="center"/>
              <w:rPr>
                <w:b/>
              </w:rPr>
            </w:pPr>
            <w:r>
              <w:rPr>
                <w:b/>
              </w:rPr>
              <w:t>Tier</w:t>
            </w:r>
          </w:p>
        </w:tc>
        <w:tc>
          <w:tcPr>
            <w:tcW w:w="4464" w:type="dxa"/>
            <w:shd w:val="clear" w:color="auto" w:fill="D9D9D9" w:themeFill="background1" w:themeFillShade="D9"/>
            <w:tcMar>
              <w:top w:w="29" w:type="dxa"/>
              <w:left w:w="29" w:type="dxa"/>
              <w:bottom w:w="29" w:type="dxa"/>
              <w:right w:w="29" w:type="dxa"/>
            </w:tcMar>
            <w:vAlign w:val="center"/>
          </w:tcPr>
          <w:p w:rsidR="002365DC" w:rsidRPr="00C6588C" w:rsidRDefault="00394824" w:rsidP="00E02894">
            <w:pPr>
              <w:jc w:val="center"/>
              <w:rPr>
                <w:b/>
              </w:rPr>
            </w:pPr>
            <w:r w:rsidRPr="00C6588C">
              <w:rPr>
                <w:b/>
              </w:rPr>
              <w:t>Colorado R</w:t>
            </w:r>
            <w:r w:rsidR="000377BD">
              <w:rPr>
                <w:b/>
              </w:rPr>
              <w:t>esponse to Intervention</w:t>
            </w:r>
            <w:r w:rsidRPr="00C6588C">
              <w:rPr>
                <w:b/>
              </w:rPr>
              <w:t xml:space="preserve"> F</w:t>
            </w:r>
            <w:r w:rsidR="002365DC" w:rsidRPr="00C6588C">
              <w:rPr>
                <w:b/>
              </w:rPr>
              <w:t>ramework</w:t>
            </w:r>
          </w:p>
        </w:tc>
        <w:tc>
          <w:tcPr>
            <w:tcW w:w="4374" w:type="dxa"/>
            <w:shd w:val="clear" w:color="auto" w:fill="D9D9D9" w:themeFill="background1" w:themeFillShade="D9"/>
            <w:tcMar>
              <w:top w:w="29" w:type="dxa"/>
              <w:left w:w="29" w:type="dxa"/>
              <w:bottom w:w="29" w:type="dxa"/>
              <w:right w:w="29" w:type="dxa"/>
            </w:tcMar>
            <w:vAlign w:val="center"/>
          </w:tcPr>
          <w:p w:rsidR="002365DC" w:rsidRPr="00C6588C" w:rsidRDefault="002365DC" w:rsidP="00E02894">
            <w:pPr>
              <w:jc w:val="center"/>
              <w:rPr>
                <w:b/>
              </w:rPr>
            </w:pPr>
            <w:r w:rsidRPr="00C6588C">
              <w:rPr>
                <w:b/>
              </w:rPr>
              <w:t xml:space="preserve">Mac Iver and Mac Iver (2009) </w:t>
            </w:r>
            <w:r w:rsidR="00394824" w:rsidRPr="00C6588C">
              <w:rPr>
                <w:b/>
              </w:rPr>
              <w:t>T</w:t>
            </w:r>
            <w:r w:rsidRPr="00C6588C">
              <w:rPr>
                <w:b/>
              </w:rPr>
              <w:t>hree-tiered Dropout Prevention</w:t>
            </w:r>
            <w:r w:rsidR="00394824" w:rsidRPr="00C6588C">
              <w:rPr>
                <w:b/>
              </w:rPr>
              <w:t xml:space="preserve"> Model</w:t>
            </w:r>
          </w:p>
        </w:tc>
      </w:tr>
      <w:tr w:rsidR="002365DC" w:rsidTr="00E02894">
        <w:tc>
          <w:tcPr>
            <w:tcW w:w="738" w:type="dxa"/>
            <w:tcMar>
              <w:top w:w="29" w:type="dxa"/>
              <w:left w:w="29" w:type="dxa"/>
              <w:bottom w:w="29" w:type="dxa"/>
              <w:right w:w="29" w:type="dxa"/>
            </w:tcMar>
            <w:vAlign w:val="center"/>
          </w:tcPr>
          <w:p w:rsidR="002365DC" w:rsidRDefault="002365DC" w:rsidP="00E02894">
            <w:pPr>
              <w:jc w:val="center"/>
            </w:pPr>
            <w:r>
              <w:t>1</w:t>
            </w:r>
          </w:p>
        </w:tc>
        <w:tc>
          <w:tcPr>
            <w:tcW w:w="4464" w:type="dxa"/>
            <w:tcMar>
              <w:top w:w="29" w:type="dxa"/>
              <w:left w:w="29" w:type="dxa"/>
              <w:bottom w:w="29" w:type="dxa"/>
              <w:right w:w="29" w:type="dxa"/>
            </w:tcMar>
          </w:tcPr>
          <w:p w:rsidR="0082145B" w:rsidRDefault="002365DC">
            <w:pPr>
              <w:pStyle w:val="Heading5"/>
              <w:outlineLvl w:val="4"/>
            </w:pPr>
            <w:r w:rsidRPr="005F05DB">
              <w:t>Universal</w:t>
            </w:r>
          </w:p>
          <w:p w:rsidR="0082145B" w:rsidRDefault="002365DC">
            <w:r>
              <w:t>“</w:t>
            </w:r>
            <w:r w:rsidR="002F31DD">
              <w:t>R</w:t>
            </w:r>
            <w:r>
              <w:t>esearch-based, high quality, general education for all students that incorporates universal screening, progress monitoring, and prescriptive assessment to design instruction</w:t>
            </w:r>
            <w:r w:rsidR="005F05DB">
              <w:t>.</w:t>
            </w:r>
            <w:r>
              <w:t>”</w:t>
            </w:r>
          </w:p>
        </w:tc>
        <w:tc>
          <w:tcPr>
            <w:tcW w:w="4374" w:type="dxa"/>
            <w:tcMar>
              <w:top w:w="29" w:type="dxa"/>
              <w:left w:w="29" w:type="dxa"/>
              <w:bottom w:w="29" w:type="dxa"/>
              <w:right w:w="29" w:type="dxa"/>
            </w:tcMar>
          </w:tcPr>
          <w:p w:rsidR="0082145B" w:rsidRDefault="00420607">
            <w:pPr>
              <w:pStyle w:val="Heading5"/>
              <w:outlineLvl w:val="4"/>
            </w:pPr>
            <w:r w:rsidRPr="0072194D">
              <w:t>Primary</w:t>
            </w:r>
          </w:p>
          <w:p w:rsidR="0082145B" w:rsidRDefault="00420607">
            <w:r>
              <w:t>“</w:t>
            </w:r>
            <w:r w:rsidR="002F31DD">
              <w:t>D</w:t>
            </w:r>
            <w:r>
              <w:t xml:space="preserve">istrict- and school-wide reforms aimed at providing high-quality instruction that </w:t>
            </w:r>
            <w:r w:rsidR="008978BC">
              <w:t xml:space="preserve">promotes </w:t>
            </w:r>
            <w:r>
              <w:t>engaged learning and successful high school completion for every student. This stage includes a whole-school approach to encouraging regular attendance and other positive behaviors. These primary prevention strategies alone often succeed with a large majority (two-thirds to three-quarters) of students</w:t>
            </w:r>
            <w:r w:rsidR="005F05DB">
              <w:t>.</w:t>
            </w:r>
            <w:r>
              <w:t>”</w:t>
            </w:r>
          </w:p>
        </w:tc>
      </w:tr>
      <w:tr w:rsidR="002365DC" w:rsidTr="00E02894">
        <w:tc>
          <w:tcPr>
            <w:tcW w:w="738" w:type="dxa"/>
            <w:tcMar>
              <w:top w:w="29" w:type="dxa"/>
              <w:left w:w="29" w:type="dxa"/>
              <w:bottom w:w="29" w:type="dxa"/>
              <w:right w:w="29" w:type="dxa"/>
            </w:tcMar>
            <w:vAlign w:val="center"/>
          </w:tcPr>
          <w:p w:rsidR="002365DC" w:rsidRDefault="002365DC" w:rsidP="00E02894">
            <w:pPr>
              <w:jc w:val="center"/>
            </w:pPr>
            <w:r>
              <w:t>2</w:t>
            </w:r>
          </w:p>
        </w:tc>
        <w:tc>
          <w:tcPr>
            <w:tcW w:w="4464" w:type="dxa"/>
            <w:tcMar>
              <w:top w:w="29" w:type="dxa"/>
              <w:left w:w="29" w:type="dxa"/>
              <w:bottom w:w="29" w:type="dxa"/>
              <w:right w:w="29" w:type="dxa"/>
            </w:tcMar>
          </w:tcPr>
          <w:p w:rsidR="0082145B" w:rsidRDefault="00E365D6">
            <w:pPr>
              <w:pStyle w:val="Heading5"/>
              <w:outlineLvl w:val="4"/>
            </w:pPr>
            <w:r w:rsidRPr="0072194D">
              <w:t>Targeted</w:t>
            </w:r>
          </w:p>
          <w:p w:rsidR="0082145B" w:rsidRDefault="00E365D6">
            <w:r>
              <w:t>“</w:t>
            </w:r>
            <w:r w:rsidR="002F31DD">
              <w:t>I</w:t>
            </w:r>
            <w:r>
              <w:t>nterventions provided to students identified as at-risk of academic and/or social challenges and/or students identified as underachieving who require specific supports to make sufficient progress in general education</w:t>
            </w:r>
            <w:r w:rsidR="005F05DB">
              <w:t>.</w:t>
            </w:r>
            <w:r>
              <w:t>”</w:t>
            </w:r>
          </w:p>
        </w:tc>
        <w:tc>
          <w:tcPr>
            <w:tcW w:w="4374" w:type="dxa"/>
            <w:tcMar>
              <w:top w:w="29" w:type="dxa"/>
              <w:left w:w="29" w:type="dxa"/>
              <w:bottom w:w="29" w:type="dxa"/>
              <w:right w:w="29" w:type="dxa"/>
            </w:tcMar>
          </w:tcPr>
          <w:p w:rsidR="0082145B" w:rsidRDefault="0072194D">
            <w:pPr>
              <w:pStyle w:val="Heading5"/>
              <w:outlineLvl w:val="4"/>
            </w:pPr>
            <w:r w:rsidRPr="0072194D">
              <w:t>Secondary</w:t>
            </w:r>
          </w:p>
          <w:p w:rsidR="0082145B" w:rsidRDefault="005D6A88">
            <w:r>
              <w:t>“</w:t>
            </w:r>
            <w:r w:rsidR="002F31DD">
              <w:t>T</w:t>
            </w:r>
            <w:r w:rsidR="00394824">
              <w:t>argeted interventions in small groups of students who need additional supports beyond the school</w:t>
            </w:r>
            <w:r w:rsidR="005F05DB">
              <w:t>-</w:t>
            </w:r>
            <w:r w:rsidR="00394824">
              <w:t>wide reforms to address attendance, behavior, or academic struggles</w:t>
            </w:r>
            <w:r w:rsidR="005F05DB">
              <w:t>.</w:t>
            </w:r>
            <w:r w:rsidR="00394824">
              <w:t>”</w:t>
            </w:r>
          </w:p>
        </w:tc>
      </w:tr>
      <w:tr w:rsidR="002365DC" w:rsidTr="00E02894">
        <w:tc>
          <w:tcPr>
            <w:tcW w:w="738" w:type="dxa"/>
            <w:tcMar>
              <w:top w:w="29" w:type="dxa"/>
              <w:left w:w="29" w:type="dxa"/>
              <w:bottom w:w="29" w:type="dxa"/>
              <w:right w:w="29" w:type="dxa"/>
            </w:tcMar>
            <w:vAlign w:val="center"/>
          </w:tcPr>
          <w:p w:rsidR="002365DC" w:rsidRDefault="002365DC" w:rsidP="00E02894">
            <w:pPr>
              <w:jc w:val="center"/>
            </w:pPr>
            <w:r>
              <w:t>3</w:t>
            </w:r>
          </w:p>
        </w:tc>
        <w:tc>
          <w:tcPr>
            <w:tcW w:w="4464" w:type="dxa"/>
            <w:tcMar>
              <w:top w:w="29" w:type="dxa"/>
              <w:left w:w="29" w:type="dxa"/>
              <w:bottom w:w="29" w:type="dxa"/>
              <w:right w:w="29" w:type="dxa"/>
            </w:tcMar>
          </w:tcPr>
          <w:p w:rsidR="0082145B" w:rsidRDefault="00E365D6">
            <w:pPr>
              <w:pStyle w:val="Heading5"/>
              <w:outlineLvl w:val="4"/>
            </w:pPr>
            <w:r w:rsidRPr="0072194D">
              <w:t>Intensive</w:t>
            </w:r>
          </w:p>
          <w:p w:rsidR="0082145B" w:rsidRDefault="00E365D6">
            <w:r>
              <w:t>“</w:t>
            </w:r>
            <w:r w:rsidR="002F31DD">
              <w:t>P</w:t>
            </w:r>
            <w:r>
              <w:t>rovided to students with intensive/chronic academic and/or behavior needs based on ongoing progress monitoring or diagnostic assessment</w:t>
            </w:r>
            <w:r w:rsidR="005F05DB">
              <w:t>.</w:t>
            </w:r>
            <w:r>
              <w:t>”</w:t>
            </w:r>
          </w:p>
        </w:tc>
        <w:tc>
          <w:tcPr>
            <w:tcW w:w="4374" w:type="dxa"/>
            <w:tcMar>
              <w:top w:w="29" w:type="dxa"/>
              <w:left w:w="29" w:type="dxa"/>
              <w:bottom w:w="29" w:type="dxa"/>
              <w:right w:w="29" w:type="dxa"/>
            </w:tcMar>
          </w:tcPr>
          <w:p w:rsidR="0082145B" w:rsidRDefault="0072194D">
            <w:pPr>
              <w:pStyle w:val="Heading5"/>
              <w:outlineLvl w:val="4"/>
            </w:pPr>
            <w:r w:rsidRPr="0072194D">
              <w:t>Tertiary</w:t>
            </w:r>
          </w:p>
          <w:p w:rsidR="0082145B" w:rsidRDefault="00394824">
            <w:r>
              <w:t>“</w:t>
            </w:r>
            <w:r w:rsidR="002F31DD">
              <w:t>I</w:t>
            </w:r>
            <w:r>
              <w:t>ntensive intervention (often delivered one-on-one to students by specialists in social work, mental health, and so on) for the five to 10 percent of students who need more clinical support</w:t>
            </w:r>
            <w:r w:rsidR="005F05DB">
              <w:t>.</w:t>
            </w:r>
            <w:r>
              <w:t>”</w:t>
            </w:r>
          </w:p>
        </w:tc>
      </w:tr>
    </w:tbl>
    <w:p w:rsidR="0082145B" w:rsidRDefault="006B543B">
      <w:pPr>
        <w:spacing w:before="100" w:after="400" w:line="240" w:lineRule="auto"/>
      </w:pPr>
      <w:r w:rsidRPr="006B543B">
        <w:rPr>
          <w:i/>
          <w:sz w:val="20"/>
          <w:szCs w:val="20"/>
        </w:rPr>
        <w:t xml:space="preserve">Note: </w:t>
      </w:r>
      <w:r w:rsidRPr="006B543B">
        <w:rPr>
          <w:sz w:val="20"/>
          <w:szCs w:val="20"/>
        </w:rPr>
        <w:t>Definitions for each level of the Colorado RtI framework are based on Colorado Department of Education (n.d.). Definitions for each level/stage of the Mac Iver and Mac Iver (2009) model are based on Mac Iver &amp; Mac Iver (2009, p. 10–11).</w:t>
      </w:r>
    </w:p>
    <w:p w:rsidR="0082145B" w:rsidRDefault="00C243C0">
      <w:r>
        <w:t xml:space="preserve">The </w:t>
      </w:r>
      <w:r w:rsidR="003408F0">
        <w:t xml:space="preserve">National Dropout Prevention Center/Network </w:t>
      </w:r>
      <w:r w:rsidR="00D92CDC">
        <w:t>(NDPC/N)</w:t>
      </w:r>
      <w:r w:rsidR="001E31CD" w:rsidDel="003C50EE">
        <w:t xml:space="preserve"> </w:t>
      </w:r>
      <w:r w:rsidR="003408F0">
        <w:t xml:space="preserve">has identified </w:t>
      </w:r>
      <w:r w:rsidR="00D92AC8">
        <w:t>15 effective strategies for reducing dropout rates</w:t>
      </w:r>
      <w:r w:rsidR="001E31CD">
        <w:t>. This identification was</w:t>
      </w:r>
      <w:r w:rsidR="00D92AC8">
        <w:t xml:space="preserve"> based on research</w:t>
      </w:r>
      <w:r w:rsidR="00D92CDC">
        <w:t xml:space="preserve"> and</w:t>
      </w:r>
      <w:r w:rsidR="00D92AC8">
        <w:t xml:space="preserve"> program evaluation and </w:t>
      </w:r>
      <w:r w:rsidR="00D92CDC">
        <w:t xml:space="preserve">staff </w:t>
      </w:r>
      <w:r w:rsidR="00D92AC8">
        <w:t xml:space="preserve">expertise </w:t>
      </w:r>
      <w:r w:rsidR="00D92CDC">
        <w:t>developed over approximately 15 years as a national clearinghouse</w:t>
      </w:r>
      <w:r w:rsidR="00BA1D95">
        <w:t xml:space="preserve"> on dropout prevention and increas</w:t>
      </w:r>
      <w:r w:rsidR="003F5EA8">
        <w:t>ing</w:t>
      </w:r>
      <w:r w:rsidR="00BA1D95">
        <w:t xml:space="preserve"> graduation rates</w:t>
      </w:r>
      <w:r w:rsidR="00D92CDC">
        <w:t>. The NDPC/N categorize</w:t>
      </w:r>
      <w:r w:rsidR="00A24071">
        <w:t>s</w:t>
      </w:r>
      <w:r w:rsidR="00D92CDC">
        <w:t xml:space="preserve"> the</w:t>
      </w:r>
      <w:r w:rsidR="003C50EE">
        <w:t>se</w:t>
      </w:r>
      <w:r w:rsidR="00D92CDC">
        <w:t xml:space="preserve"> strategies into </w:t>
      </w:r>
      <w:r w:rsidR="003408F0">
        <w:t>four types</w:t>
      </w:r>
      <w:r>
        <w:t>:</w:t>
      </w:r>
      <w:r w:rsidR="003408F0">
        <w:t xml:space="preserve"> (1) strategies promoted from a whole school and community perspective, (2) early intervention strategies, (3) basic core strategies, and (4) strategies aimed at making the most of instruction (see Figure 1). </w:t>
      </w:r>
      <w:r w:rsidR="00F3208D">
        <w:t xml:space="preserve">The effectiveness of the strategies is enhanced when used together </w:t>
      </w:r>
      <w:r w:rsidR="006732AA">
        <w:t>in an improvement plan that integrates most or all of them (</w:t>
      </w:r>
      <w:r w:rsidR="00EA17BD">
        <w:t>National Dropout Prevention Center/Network, 2010</w:t>
      </w:r>
      <w:r w:rsidR="006732AA">
        <w:t>).</w:t>
      </w:r>
    </w:p>
    <w:p w:rsidR="005A3B75" w:rsidRDefault="005A3B75" w:rsidP="003408F0">
      <w:pPr>
        <w:ind w:firstLine="720"/>
      </w:pPr>
    </w:p>
    <w:p w:rsidR="0082145B" w:rsidRDefault="00F3208D">
      <w:r>
        <w:rPr>
          <w:noProof/>
        </w:rPr>
        <w:drawing>
          <wp:inline distT="0" distB="0" distL="0" distR="0">
            <wp:extent cx="6041508" cy="4529470"/>
            <wp:effectExtent l="76200" t="0" r="73542" b="44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25626" w:rsidRPr="00C62E1A" w:rsidRDefault="00725626" w:rsidP="001911A2">
      <w:pPr>
        <w:spacing w:after="0" w:line="240" w:lineRule="auto"/>
        <w:rPr>
          <w:b/>
        </w:rPr>
      </w:pPr>
      <w:r>
        <w:rPr>
          <w:b/>
        </w:rPr>
        <w:t>Figure 1.</w:t>
      </w:r>
      <w:r w:rsidR="004527EB">
        <w:rPr>
          <w:b/>
        </w:rPr>
        <w:t xml:space="preserve"> </w:t>
      </w:r>
      <w:r w:rsidR="00D06BA4">
        <w:rPr>
          <w:b/>
        </w:rPr>
        <w:t xml:space="preserve">Four Categories of 15 Effective Strategies </w:t>
      </w:r>
      <w:r w:rsidR="00087E0E">
        <w:rPr>
          <w:b/>
        </w:rPr>
        <w:t xml:space="preserve">for Reducing Dropout Rate </w:t>
      </w:r>
      <w:r w:rsidR="00E80163" w:rsidRPr="00C62E1A">
        <w:rPr>
          <w:b/>
        </w:rPr>
        <w:t>(</w:t>
      </w:r>
      <w:r w:rsidR="00C62E1A" w:rsidRPr="00C62E1A">
        <w:rPr>
          <w:b/>
        </w:rPr>
        <w:t xml:space="preserve">National Dropout Prevention Center/Network, </w:t>
      </w:r>
      <w:r w:rsidR="002775EE">
        <w:rPr>
          <w:b/>
        </w:rPr>
        <w:t>2010</w:t>
      </w:r>
      <w:r w:rsidR="00C62E1A" w:rsidRPr="00C62E1A">
        <w:rPr>
          <w:b/>
        </w:rPr>
        <w:t>)</w:t>
      </w:r>
      <w:r w:rsidR="00D06BA4">
        <w:rPr>
          <w:b/>
        </w:rPr>
        <w:t xml:space="preserve"> </w:t>
      </w:r>
    </w:p>
    <w:p w:rsidR="0082145B" w:rsidRDefault="00002D50">
      <w:pPr>
        <w:pStyle w:val="Heading1"/>
      </w:pPr>
      <w:r>
        <w:t>Methodology</w:t>
      </w:r>
    </w:p>
    <w:p w:rsidR="0082145B" w:rsidRDefault="00E411C4">
      <w:r>
        <w:t xml:space="preserve">To review evidence of </w:t>
      </w:r>
      <w:r w:rsidR="00E564C7">
        <w:t>strategy</w:t>
      </w:r>
      <w:r w:rsidR="00374DF1">
        <w:rPr>
          <w:rStyle w:val="FootnoteReference"/>
        </w:rPr>
        <w:footnoteReference w:id="1"/>
      </w:r>
      <w:r w:rsidR="00E564C7">
        <w:t xml:space="preserve"> </w:t>
      </w:r>
      <w:r>
        <w:t xml:space="preserve">effectiveness, </w:t>
      </w:r>
      <w:r w:rsidR="007867CF">
        <w:t>we relied</w:t>
      </w:r>
      <w:r>
        <w:t xml:space="preserve"> on the What Works Clearinghouse (WWC) </w:t>
      </w:r>
      <w:r w:rsidR="007867CF">
        <w:t xml:space="preserve">website’s </w:t>
      </w:r>
      <w:r w:rsidR="00971165">
        <w:t xml:space="preserve">intervention reports on the effects of different dropout programs and strategies </w:t>
      </w:r>
      <w:r w:rsidR="003F4E92">
        <w:t>(</w:t>
      </w:r>
      <w:r w:rsidR="00AA4820">
        <w:t>W</w:t>
      </w:r>
      <w:r w:rsidR="00E5288B">
        <w:t>WC’s Dropout Prevention Topic</w:t>
      </w:r>
      <w:r w:rsidR="00AA4820">
        <w:t xml:space="preserve">, </w:t>
      </w:r>
      <w:r w:rsidR="008E2E14">
        <w:t>n.d.</w:t>
      </w:r>
      <w:r w:rsidR="003F4E92">
        <w:t xml:space="preserve"> ) </w:t>
      </w:r>
      <w:r>
        <w:t xml:space="preserve">and the companion practice guide, </w:t>
      </w:r>
      <w:r>
        <w:rPr>
          <w:i/>
        </w:rPr>
        <w:t xml:space="preserve">Dropout Prevention </w:t>
      </w:r>
      <w:r>
        <w:t xml:space="preserve">(Dynarski, Clarke, Cobb, Finn, Rumberger, &amp; Smink, 2008). </w:t>
      </w:r>
      <w:r w:rsidR="00412589">
        <w:t>Next</w:t>
      </w:r>
      <w:r>
        <w:t xml:space="preserve">, we </w:t>
      </w:r>
      <w:r w:rsidR="00181D9C">
        <w:t>searched for</w:t>
      </w:r>
      <w:r>
        <w:t xml:space="preserve"> relevant research on the </w:t>
      </w:r>
      <w:r w:rsidR="003556C5">
        <w:t xml:space="preserve">websites of two clearinghouses that are national resources for </w:t>
      </w:r>
      <w:r w:rsidR="00176C68">
        <w:t xml:space="preserve">research, publications, and information on helping </w:t>
      </w:r>
      <w:r w:rsidR="00176C68">
        <w:lastRenderedPageBreak/>
        <w:t>students stay on track to graduate</w:t>
      </w:r>
      <w:r w:rsidR="00CE1CE0">
        <w:t>:</w:t>
      </w:r>
      <w:r w:rsidR="006E64B2">
        <w:t xml:space="preserve"> </w:t>
      </w:r>
      <w:r w:rsidR="00176C68">
        <w:t xml:space="preserve">the </w:t>
      </w:r>
      <w:r>
        <w:t>National Dropout Prevention Center/</w:t>
      </w:r>
      <w:r w:rsidR="00176C68">
        <w:t>Network and</w:t>
      </w:r>
      <w:r>
        <w:t xml:space="preserve"> </w:t>
      </w:r>
      <w:r w:rsidR="0010577A">
        <w:t xml:space="preserve">the </w:t>
      </w:r>
      <w:r>
        <w:t>National High School Center</w:t>
      </w:r>
      <w:r w:rsidR="00176C68">
        <w:t>.</w:t>
      </w:r>
      <w:r>
        <w:t xml:space="preserve"> </w:t>
      </w:r>
      <w:r w:rsidR="00176C68">
        <w:t xml:space="preserve">Additionally, we searched </w:t>
      </w:r>
      <w:r>
        <w:t xml:space="preserve">bibliographic databases, including ERIC and selected journals (i.e., </w:t>
      </w:r>
      <w:r>
        <w:rPr>
          <w:i/>
        </w:rPr>
        <w:t>Journal of Education for Students Placed at Risk</w:t>
      </w:r>
      <w:r>
        <w:t xml:space="preserve">). </w:t>
      </w:r>
      <w:r w:rsidR="00002D50">
        <w:t xml:space="preserve">The question </w:t>
      </w:r>
      <w:r w:rsidR="007867CF">
        <w:t>that informed this literature review was</w:t>
      </w:r>
      <w:r w:rsidR="00002D50">
        <w:t xml:space="preserve">: </w:t>
      </w:r>
    </w:p>
    <w:p w:rsidR="0082145B" w:rsidRDefault="00286A1B">
      <w:pPr>
        <w:rPr>
          <w:i/>
        </w:rPr>
      </w:pPr>
      <w:r w:rsidRPr="00286A1B">
        <w:rPr>
          <w:i/>
        </w:rPr>
        <w:t>W</w:t>
      </w:r>
      <w:r w:rsidR="006A0CC6">
        <w:rPr>
          <w:i/>
        </w:rPr>
        <w:t>ithin each type of strategy</w:t>
      </w:r>
      <w:r w:rsidR="002A2D3D">
        <w:rPr>
          <w:i/>
        </w:rPr>
        <w:t xml:space="preserve"> (Tier 1, 2 and 3)</w:t>
      </w:r>
      <w:r w:rsidR="006A0CC6">
        <w:rPr>
          <w:i/>
        </w:rPr>
        <w:t>, w</w:t>
      </w:r>
      <w:r w:rsidRPr="00286A1B">
        <w:rPr>
          <w:i/>
        </w:rPr>
        <w:t xml:space="preserve">hich </w:t>
      </w:r>
      <w:r w:rsidR="00374DF1">
        <w:rPr>
          <w:i/>
        </w:rPr>
        <w:t xml:space="preserve">particular strategies and </w:t>
      </w:r>
      <w:r w:rsidRPr="00286A1B">
        <w:rPr>
          <w:i/>
        </w:rPr>
        <w:t>programs appear to be the most effective based on the best available evidence?</w:t>
      </w:r>
    </w:p>
    <w:p w:rsidR="0082145B" w:rsidRDefault="00380FC9">
      <w:pPr>
        <w:pStyle w:val="Heading1"/>
      </w:pPr>
      <w:r>
        <w:t>Sample</w:t>
      </w:r>
    </w:p>
    <w:p w:rsidR="00D57212" w:rsidRDefault="00B508E7">
      <w:pPr>
        <w:pStyle w:val="ListParagraph"/>
        <w:ind w:left="0"/>
        <w:contextualSpacing w:val="0"/>
      </w:pPr>
      <w:r>
        <w:t xml:space="preserve">The strategies and programs included in this report were identified in the literature that we reviewed and </w:t>
      </w:r>
      <w:r w:rsidR="001E31CD">
        <w:t xml:space="preserve">in </w:t>
      </w:r>
      <w:r w:rsidR="000E5B2D">
        <w:t xml:space="preserve">the </w:t>
      </w:r>
      <w:r>
        <w:t xml:space="preserve">WWC Dropout Prevention </w:t>
      </w:r>
      <w:r w:rsidR="000E5B2D">
        <w:t>topic review</w:t>
      </w:r>
      <w:r w:rsidR="009E3740">
        <w:t xml:space="preserve"> of intervention studies</w:t>
      </w:r>
      <w:r>
        <w:t xml:space="preserve">. </w:t>
      </w:r>
      <w:r w:rsidR="00971165">
        <w:t>In WWC’s Dropout Prevention Topic review</w:t>
      </w:r>
      <w:r w:rsidR="00FF2A72">
        <w:t xml:space="preserve"> (WWC’s Dropout Prevention topic, n.d.)</w:t>
      </w:r>
      <w:r w:rsidR="00971165">
        <w:t>, w</w:t>
      </w:r>
      <w:r w:rsidR="002F1C17">
        <w:t>e identified four</w:t>
      </w:r>
      <w:r w:rsidR="00DA2C38">
        <w:t xml:space="preserve"> programs</w:t>
      </w:r>
      <w:r w:rsidR="002F1C17" w:rsidRPr="002F1C17">
        <w:t xml:space="preserve"> </w:t>
      </w:r>
      <w:r w:rsidR="00DA2C38">
        <w:t>as Tier 1</w:t>
      </w:r>
      <w:r w:rsidR="00BD2BAA">
        <w:t xml:space="preserve">, </w:t>
      </w:r>
      <w:r w:rsidR="00674A11">
        <w:t>fifteen</w:t>
      </w:r>
      <w:r w:rsidR="00DA2C38">
        <w:t xml:space="preserve"> programs as Tier 2</w:t>
      </w:r>
      <w:r w:rsidR="00BD2BAA">
        <w:t xml:space="preserve">, and </w:t>
      </w:r>
      <w:r w:rsidR="00BE71C7">
        <w:t xml:space="preserve">six </w:t>
      </w:r>
      <w:r w:rsidR="00DA2C38">
        <w:t>programs as Tier 3</w:t>
      </w:r>
      <w:r w:rsidR="00344434">
        <w:t>.</w:t>
      </w:r>
      <w:r w:rsidR="00344434">
        <w:rPr>
          <w:rStyle w:val="FootnoteReference"/>
        </w:rPr>
        <w:footnoteReference w:id="2"/>
      </w:r>
      <w:r w:rsidR="00344434">
        <w:t xml:space="preserve"> </w:t>
      </w:r>
      <w:r w:rsidR="008A4893">
        <w:t xml:space="preserve">A program was categorized as Tier 1 if </w:t>
      </w:r>
      <w:r w:rsidR="00CB319D">
        <w:t xml:space="preserve">the program </w:t>
      </w:r>
      <w:r w:rsidR="002F1C17">
        <w:t>was</w:t>
      </w:r>
      <w:r w:rsidR="008A4893">
        <w:t xml:space="preserve"> a preventative approach </w:t>
      </w:r>
      <w:r w:rsidR="00ED5412">
        <w:t>for</w:t>
      </w:r>
      <w:r w:rsidR="008A4893">
        <w:t xml:space="preserve"> district- or school-wide </w:t>
      </w:r>
      <w:r w:rsidR="00ED5412">
        <w:t xml:space="preserve">use </w:t>
      </w:r>
      <w:r w:rsidR="008A4893">
        <w:t xml:space="preserve">and intended for all students. A program was categorized as Tier 2 if </w:t>
      </w:r>
      <w:r w:rsidR="00CB319D">
        <w:t xml:space="preserve">the program </w:t>
      </w:r>
      <w:r w:rsidR="002F1C17">
        <w:t>was</w:t>
      </w:r>
      <w:r w:rsidR="008A4893">
        <w:t xml:space="preserve"> a</w:t>
      </w:r>
      <w:r w:rsidR="00957188">
        <w:t xml:space="preserve"> targeted intervention for students at</w:t>
      </w:r>
      <w:r w:rsidR="00CC1C27">
        <w:t xml:space="preserve"> </w:t>
      </w:r>
      <w:r w:rsidR="00957188">
        <w:t xml:space="preserve">risk of dropping out of school. A program was categorized Tier 3 if </w:t>
      </w:r>
      <w:r w:rsidR="002F1C17">
        <w:t>it</w:t>
      </w:r>
      <w:r w:rsidR="00CB319D">
        <w:t xml:space="preserve"> </w:t>
      </w:r>
      <w:r w:rsidR="002F1C17">
        <w:t>was</w:t>
      </w:r>
      <w:r w:rsidR="00957188">
        <w:t xml:space="preserve"> intended to re-engage students who ha</w:t>
      </w:r>
      <w:r w:rsidR="00CB319D">
        <w:t>ve</w:t>
      </w:r>
      <w:r w:rsidR="00957188">
        <w:t xml:space="preserve"> </w:t>
      </w:r>
      <w:r w:rsidR="002F1C17">
        <w:t xml:space="preserve">already </w:t>
      </w:r>
      <w:r w:rsidR="00957188">
        <w:t>dropped out (see Table 2).</w:t>
      </w:r>
    </w:p>
    <w:p w:rsidR="00D57212" w:rsidRDefault="00D57212">
      <w:r>
        <w:br w:type="page"/>
      </w:r>
    </w:p>
    <w:p w:rsidR="0082145B" w:rsidRDefault="0082145B">
      <w:pPr>
        <w:pStyle w:val="ListParagraph"/>
        <w:ind w:left="0"/>
        <w:contextualSpacing w:val="0"/>
      </w:pPr>
    </w:p>
    <w:p w:rsidR="0082145B" w:rsidRDefault="00957188">
      <w:pPr>
        <w:pStyle w:val="ListParagraph"/>
        <w:spacing w:after="0"/>
        <w:ind w:left="0"/>
        <w:contextualSpacing w:val="0"/>
        <w:rPr>
          <w:b/>
        </w:rPr>
      </w:pPr>
      <w:r w:rsidRPr="00957188">
        <w:rPr>
          <w:b/>
        </w:rPr>
        <w:t>Table 2.</w:t>
      </w:r>
      <w:r w:rsidR="006E64B2">
        <w:rPr>
          <w:b/>
        </w:rPr>
        <w:t xml:space="preserve"> </w:t>
      </w:r>
      <w:r w:rsidRPr="00957188">
        <w:rPr>
          <w:b/>
        </w:rPr>
        <w:t xml:space="preserve">Programs in WWC </w:t>
      </w:r>
      <w:r w:rsidR="00C67999">
        <w:rPr>
          <w:b/>
        </w:rPr>
        <w:t xml:space="preserve">Dropout Prevention </w:t>
      </w:r>
      <w:r w:rsidR="005B068F">
        <w:rPr>
          <w:b/>
        </w:rPr>
        <w:t xml:space="preserve">Topic Review </w:t>
      </w:r>
      <w:r w:rsidR="005B068F" w:rsidRPr="00957188">
        <w:rPr>
          <w:b/>
        </w:rPr>
        <w:t>Categorized</w:t>
      </w:r>
      <w:r w:rsidRPr="00957188">
        <w:rPr>
          <w:b/>
        </w:rPr>
        <w:t xml:space="preserve"> by Tier</w:t>
      </w:r>
    </w:p>
    <w:tbl>
      <w:tblPr>
        <w:tblStyle w:val="TableGrid"/>
        <w:tblW w:w="0" w:type="auto"/>
        <w:tblLayout w:type="fixed"/>
        <w:tblLook w:val="04A0"/>
      </w:tblPr>
      <w:tblGrid>
        <w:gridCol w:w="738"/>
        <w:gridCol w:w="3330"/>
        <w:gridCol w:w="5508"/>
      </w:tblGrid>
      <w:tr w:rsidR="00380FC9" w:rsidRPr="00C6588C" w:rsidTr="008D0143">
        <w:tc>
          <w:tcPr>
            <w:tcW w:w="738" w:type="dxa"/>
            <w:shd w:val="clear" w:color="auto" w:fill="D9D9D9" w:themeFill="background1" w:themeFillShade="D9"/>
            <w:tcMar>
              <w:top w:w="29" w:type="dxa"/>
              <w:left w:w="29" w:type="dxa"/>
              <w:bottom w:w="29" w:type="dxa"/>
              <w:right w:w="29" w:type="dxa"/>
            </w:tcMar>
          </w:tcPr>
          <w:p w:rsidR="0082145B" w:rsidRDefault="00380FC9">
            <w:pPr>
              <w:jc w:val="center"/>
              <w:rPr>
                <w:b/>
              </w:rPr>
            </w:pPr>
            <w:r>
              <w:rPr>
                <w:b/>
              </w:rPr>
              <w:t>Tier</w:t>
            </w:r>
          </w:p>
        </w:tc>
        <w:tc>
          <w:tcPr>
            <w:tcW w:w="3330" w:type="dxa"/>
            <w:shd w:val="clear" w:color="auto" w:fill="D9D9D9" w:themeFill="background1" w:themeFillShade="D9"/>
            <w:tcMar>
              <w:top w:w="29" w:type="dxa"/>
              <w:left w:w="29" w:type="dxa"/>
              <w:bottom w:w="29" w:type="dxa"/>
              <w:right w:w="29" w:type="dxa"/>
            </w:tcMar>
          </w:tcPr>
          <w:p w:rsidR="00380FC9" w:rsidRPr="00C6588C" w:rsidRDefault="00380FC9" w:rsidP="001E31CD">
            <w:pPr>
              <w:jc w:val="center"/>
              <w:rPr>
                <w:b/>
              </w:rPr>
            </w:pPr>
            <w:r>
              <w:rPr>
                <w:b/>
              </w:rPr>
              <w:t>Description</w:t>
            </w:r>
          </w:p>
        </w:tc>
        <w:tc>
          <w:tcPr>
            <w:tcW w:w="5508" w:type="dxa"/>
            <w:shd w:val="clear" w:color="auto" w:fill="D9D9D9" w:themeFill="background1" w:themeFillShade="D9"/>
            <w:tcMar>
              <w:top w:w="29" w:type="dxa"/>
              <w:left w:w="29" w:type="dxa"/>
              <w:bottom w:w="29" w:type="dxa"/>
              <w:right w:w="29" w:type="dxa"/>
            </w:tcMar>
          </w:tcPr>
          <w:p w:rsidR="00380FC9" w:rsidRPr="00C6588C" w:rsidRDefault="00380FC9" w:rsidP="001E31CD">
            <w:pPr>
              <w:jc w:val="center"/>
              <w:rPr>
                <w:b/>
              </w:rPr>
            </w:pPr>
            <w:r>
              <w:rPr>
                <w:b/>
              </w:rPr>
              <w:t>Programs with Studies included in WWC Dropout Prevention Topic Review</w:t>
            </w:r>
          </w:p>
        </w:tc>
      </w:tr>
      <w:tr w:rsidR="00380FC9" w:rsidTr="001E31CD">
        <w:trPr>
          <w:trHeight w:val="1133"/>
        </w:trPr>
        <w:tc>
          <w:tcPr>
            <w:tcW w:w="738" w:type="dxa"/>
            <w:tcMar>
              <w:top w:w="29" w:type="dxa"/>
              <w:left w:w="29" w:type="dxa"/>
              <w:bottom w:w="29" w:type="dxa"/>
              <w:right w:w="29" w:type="dxa"/>
            </w:tcMar>
          </w:tcPr>
          <w:p w:rsidR="00380FC9" w:rsidRDefault="00380FC9" w:rsidP="00C04A86">
            <w:pPr>
              <w:jc w:val="center"/>
            </w:pPr>
            <w:r>
              <w:t>1</w:t>
            </w:r>
          </w:p>
        </w:tc>
        <w:tc>
          <w:tcPr>
            <w:tcW w:w="3330" w:type="dxa"/>
            <w:tcMar>
              <w:top w:w="29" w:type="dxa"/>
              <w:left w:w="29" w:type="dxa"/>
              <w:bottom w:w="29" w:type="dxa"/>
              <w:right w:w="29" w:type="dxa"/>
            </w:tcMar>
          </w:tcPr>
          <w:p w:rsidR="00380FC9" w:rsidRDefault="00161401" w:rsidP="0080042B">
            <w:r>
              <w:t>District- or school</w:t>
            </w:r>
            <w:r w:rsidR="0080042B">
              <w:t>-</w:t>
            </w:r>
            <w:r>
              <w:t>wide approaches for all students (prevention)</w:t>
            </w:r>
          </w:p>
        </w:tc>
        <w:tc>
          <w:tcPr>
            <w:tcW w:w="5508" w:type="dxa"/>
            <w:tcMar>
              <w:top w:w="29" w:type="dxa"/>
              <w:left w:w="29" w:type="dxa"/>
              <w:bottom w:w="29" w:type="dxa"/>
              <w:right w:w="29" w:type="dxa"/>
            </w:tcMar>
          </w:tcPr>
          <w:p w:rsidR="00B33CEB" w:rsidRDefault="00B33CEB" w:rsidP="008A4893">
            <w:r>
              <w:t>Career Academies</w:t>
            </w:r>
          </w:p>
          <w:p w:rsidR="00380FC9" w:rsidRDefault="00B33CEB" w:rsidP="008A4893">
            <w:r>
              <w:t>First Things First</w:t>
            </w:r>
          </w:p>
          <w:p w:rsidR="00B33CEB" w:rsidRDefault="00B33CEB" w:rsidP="008A4893">
            <w:r>
              <w:t>New Century High Schools</w:t>
            </w:r>
          </w:p>
          <w:p w:rsidR="00B33CEB" w:rsidRDefault="00B33CEB" w:rsidP="008A4893">
            <w:r>
              <w:t>Talent Development Middle Schools and High Schools</w:t>
            </w:r>
          </w:p>
        </w:tc>
      </w:tr>
      <w:tr w:rsidR="00380FC9" w:rsidTr="001E31CD">
        <w:tc>
          <w:tcPr>
            <w:tcW w:w="738" w:type="dxa"/>
            <w:tcMar>
              <w:top w:w="29" w:type="dxa"/>
              <w:left w:w="29" w:type="dxa"/>
              <w:bottom w:w="29" w:type="dxa"/>
              <w:right w:w="29" w:type="dxa"/>
            </w:tcMar>
          </w:tcPr>
          <w:p w:rsidR="00380FC9" w:rsidRDefault="00380FC9" w:rsidP="00C04A86">
            <w:pPr>
              <w:jc w:val="center"/>
            </w:pPr>
            <w:r>
              <w:t>2</w:t>
            </w:r>
          </w:p>
        </w:tc>
        <w:tc>
          <w:tcPr>
            <w:tcW w:w="3330" w:type="dxa"/>
            <w:tcMar>
              <w:top w:w="29" w:type="dxa"/>
              <w:left w:w="29" w:type="dxa"/>
              <w:bottom w:w="29" w:type="dxa"/>
              <w:right w:w="29" w:type="dxa"/>
            </w:tcMar>
          </w:tcPr>
          <w:p w:rsidR="00380FC9" w:rsidRDefault="00161401" w:rsidP="008A4893">
            <w:r>
              <w:t>Targeted interventions for students at</w:t>
            </w:r>
            <w:r w:rsidR="0080042B">
              <w:t xml:space="preserve"> </w:t>
            </w:r>
            <w:r>
              <w:t>risk for dropping out</w:t>
            </w:r>
          </w:p>
        </w:tc>
        <w:tc>
          <w:tcPr>
            <w:tcW w:w="5508" w:type="dxa"/>
            <w:tcMar>
              <w:top w:w="29" w:type="dxa"/>
              <w:left w:w="29" w:type="dxa"/>
              <w:bottom w:w="29" w:type="dxa"/>
              <w:right w:w="29" w:type="dxa"/>
            </w:tcMar>
          </w:tcPr>
          <w:p w:rsidR="00380FC9" w:rsidRDefault="00B70A69" w:rsidP="008A4893">
            <w:r>
              <w:t>Accelerated Middle Schools</w:t>
            </w:r>
          </w:p>
          <w:p w:rsidR="00B70A69" w:rsidRDefault="00B70A69" w:rsidP="008A4893">
            <w:r>
              <w:t>ALAS</w:t>
            </w:r>
          </w:p>
          <w:p w:rsidR="00B70A69" w:rsidRDefault="00B70A69" w:rsidP="008A4893">
            <w:r>
              <w:t>Check &amp; Connect</w:t>
            </w:r>
          </w:p>
          <w:p w:rsidR="00B70A69" w:rsidRDefault="00B70A69" w:rsidP="008A4893">
            <w:r>
              <w:t>Coca-</w:t>
            </w:r>
            <w:r w:rsidR="0080042B">
              <w:t>C</w:t>
            </w:r>
            <w:r>
              <w:t>ola Valued Youth Program</w:t>
            </w:r>
          </w:p>
          <w:p w:rsidR="00B70A69" w:rsidRDefault="00B70A69" w:rsidP="008A4893">
            <w:r>
              <w:t>Financial Incentives for Teen Parents to Stay in School</w:t>
            </w:r>
          </w:p>
          <w:p w:rsidR="00B70A69" w:rsidRDefault="00B70A69" w:rsidP="008A4893">
            <w:r>
              <w:t>High School Puente Program</w:t>
            </w:r>
          </w:p>
          <w:p w:rsidR="00B70A69" w:rsidRDefault="00B70A69" w:rsidP="008A4893">
            <w:r>
              <w:t>High School Redirection</w:t>
            </w:r>
          </w:p>
          <w:p w:rsidR="00B70A69" w:rsidRDefault="00B70A69" w:rsidP="008A4893">
            <w:r>
              <w:t>I Have a Dream</w:t>
            </w:r>
          </w:p>
          <w:p w:rsidR="00B70A69" w:rsidRDefault="00B70A69" w:rsidP="008A4893">
            <w:r>
              <w:t>Middle College High School</w:t>
            </w:r>
          </w:p>
          <w:p w:rsidR="00B70A69" w:rsidRDefault="00B70A69" w:rsidP="008A4893">
            <w:r>
              <w:t>Project GRAD</w:t>
            </w:r>
          </w:p>
          <w:p w:rsidR="00B70A69" w:rsidRDefault="00B70A69" w:rsidP="008A4893">
            <w:r>
              <w:t>Quantum Opportunity Program</w:t>
            </w:r>
          </w:p>
          <w:p w:rsidR="00B70A69" w:rsidRDefault="00B70A69" w:rsidP="008A4893">
            <w:r>
              <w:t>Summer</w:t>
            </w:r>
            <w:r w:rsidR="006E64B2">
              <w:t xml:space="preserve"> </w:t>
            </w:r>
            <w:r>
              <w:t>Training and Education Program (STEP)</w:t>
            </w:r>
          </w:p>
          <w:p w:rsidR="00B70A69" w:rsidRDefault="00B70A69" w:rsidP="008A4893">
            <w:r>
              <w:t>Talent Search</w:t>
            </w:r>
          </w:p>
          <w:p w:rsidR="00B70A69" w:rsidRDefault="00B70A69" w:rsidP="008A4893">
            <w:r>
              <w:t>Twelve Together</w:t>
            </w:r>
          </w:p>
          <w:p w:rsidR="00B70A69" w:rsidRDefault="00B70A69" w:rsidP="008A4893">
            <w:r>
              <w:t>Wyman Teen Outreach Program (TOP)</w:t>
            </w:r>
          </w:p>
        </w:tc>
      </w:tr>
      <w:tr w:rsidR="00380FC9" w:rsidTr="001E31CD">
        <w:tc>
          <w:tcPr>
            <w:tcW w:w="738" w:type="dxa"/>
            <w:tcMar>
              <w:top w:w="29" w:type="dxa"/>
              <w:left w:w="29" w:type="dxa"/>
              <w:bottom w:w="29" w:type="dxa"/>
              <w:right w:w="29" w:type="dxa"/>
            </w:tcMar>
          </w:tcPr>
          <w:p w:rsidR="00380FC9" w:rsidRDefault="00380FC9" w:rsidP="00C04A86">
            <w:pPr>
              <w:jc w:val="center"/>
            </w:pPr>
            <w:r>
              <w:t>3</w:t>
            </w:r>
          </w:p>
        </w:tc>
        <w:tc>
          <w:tcPr>
            <w:tcW w:w="3330" w:type="dxa"/>
            <w:tcMar>
              <w:top w:w="29" w:type="dxa"/>
              <w:left w:w="29" w:type="dxa"/>
              <w:bottom w:w="29" w:type="dxa"/>
              <w:right w:w="29" w:type="dxa"/>
            </w:tcMar>
          </w:tcPr>
          <w:p w:rsidR="00380FC9" w:rsidRDefault="00161401" w:rsidP="00505E14">
            <w:r>
              <w:t>Re-engagement strategies and programs</w:t>
            </w:r>
            <w:r w:rsidR="008A4893">
              <w:t xml:space="preserve"> for students who ha</w:t>
            </w:r>
            <w:r w:rsidR="00505E14">
              <w:t>ve</w:t>
            </w:r>
            <w:r w:rsidR="008A4893">
              <w:t xml:space="preserve"> already dropped out</w:t>
            </w:r>
          </w:p>
        </w:tc>
        <w:tc>
          <w:tcPr>
            <w:tcW w:w="5508" w:type="dxa"/>
            <w:tcMar>
              <w:top w:w="29" w:type="dxa"/>
              <w:left w:w="29" w:type="dxa"/>
              <w:bottom w:w="29" w:type="dxa"/>
              <w:right w:w="29" w:type="dxa"/>
            </w:tcMar>
          </w:tcPr>
          <w:p w:rsidR="00380FC9" w:rsidRDefault="00B70A69" w:rsidP="008A4893">
            <w:r>
              <w:t>Job Corps</w:t>
            </w:r>
          </w:p>
          <w:p w:rsidR="00B70A69" w:rsidRDefault="00B70A69" w:rsidP="008A4893">
            <w:r>
              <w:t>JOBSTART</w:t>
            </w:r>
          </w:p>
          <w:p w:rsidR="00B70A69" w:rsidRDefault="00B70A69" w:rsidP="008A4893">
            <w:r>
              <w:t>National Guard Youth ChalleNGe Program</w:t>
            </w:r>
          </w:p>
          <w:p w:rsidR="00B70A69" w:rsidRDefault="00B70A69" w:rsidP="008A4893">
            <w:r>
              <w:t>New Chance</w:t>
            </w:r>
          </w:p>
          <w:p w:rsidR="00B70A69" w:rsidRDefault="00B70A69" w:rsidP="008A4893">
            <w:r>
              <w:t>Service and Conservation Corps</w:t>
            </w:r>
          </w:p>
          <w:p w:rsidR="00B70A69" w:rsidRDefault="00B70A69" w:rsidP="008A4893">
            <w:r>
              <w:t>YouthBuild</w:t>
            </w:r>
          </w:p>
        </w:tc>
      </w:tr>
    </w:tbl>
    <w:p w:rsidR="00380FC9" w:rsidRDefault="00380FC9" w:rsidP="00BC526E">
      <w:pPr>
        <w:pStyle w:val="ListParagraph"/>
        <w:ind w:left="0" w:firstLine="720"/>
        <w:contextualSpacing w:val="0"/>
      </w:pPr>
    </w:p>
    <w:p w:rsidR="0082145B" w:rsidRDefault="003B4905">
      <w:pPr>
        <w:pStyle w:val="Heading1"/>
      </w:pPr>
      <w:r>
        <w:t>Effectiveness Data</w:t>
      </w:r>
    </w:p>
    <w:p w:rsidR="0082145B" w:rsidRDefault="00BC526E">
      <w:r>
        <w:t xml:space="preserve">To </w:t>
      </w:r>
      <w:r w:rsidR="00171CBD">
        <w:t>identify which particular strategies and programs appear to be most effective based on the best available evidence</w:t>
      </w:r>
      <w:r>
        <w:t>, we transferred data from the WWC</w:t>
      </w:r>
      <w:r w:rsidR="00971165">
        <w:t>’s</w:t>
      </w:r>
      <w:r>
        <w:t xml:space="preserve"> Dropout Prevention intervention reports</w:t>
      </w:r>
      <w:r w:rsidR="0080042B">
        <w:t>, specifically the improvement index values and extent of evidence ratings,</w:t>
      </w:r>
      <w:r>
        <w:t xml:space="preserve"> to an Excel spreadsheet</w:t>
      </w:r>
      <w:r w:rsidR="0080042B">
        <w:t>.</w:t>
      </w:r>
      <w:r w:rsidR="001D14F3">
        <w:t xml:space="preserve"> </w:t>
      </w:r>
      <w:r w:rsidR="00190ABB">
        <w:t>T</w:t>
      </w:r>
      <w:r w:rsidR="000835DE">
        <w:t>he WWC Dropout Prevention reports</w:t>
      </w:r>
      <w:r w:rsidR="00190ABB">
        <w:t xml:space="preserve"> include improvement index values for up to three </w:t>
      </w:r>
      <w:r w:rsidR="0046153E">
        <w:t xml:space="preserve">categories of </w:t>
      </w:r>
      <w:r w:rsidR="00190ABB">
        <w:t xml:space="preserve">outcomes per intervention, </w:t>
      </w:r>
      <w:r w:rsidR="00970EDE">
        <w:t>including</w:t>
      </w:r>
      <w:r>
        <w:t>:</w:t>
      </w:r>
    </w:p>
    <w:p w:rsidR="00BC526E" w:rsidRDefault="006B543B" w:rsidP="00BC526E">
      <w:pPr>
        <w:pStyle w:val="ListParagraph"/>
        <w:numPr>
          <w:ilvl w:val="0"/>
          <w:numId w:val="4"/>
        </w:numPr>
      </w:pPr>
      <w:r w:rsidRPr="006B543B">
        <w:rPr>
          <w:i/>
        </w:rPr>
        <w:lastRenderedPageBreak/>
        <w:t>Progressing in school</w:t>
      </w:r>
      <w:r w:rsidR="0080042B">
        <w:t>—</w:t>
      </w:r>
      <w:r w:rsidR="00BC526E">
        <w:t>whether students are on track to graduate</w:t>
      </w:r>
      <w:r w:rsidR="0080042B">
        <w:t xml:space="preserve">; </w:t>
      </w:r>
      <w:r w:rsidR="00BC526E">
        <w:t>number of credits accumulated</w:t>
      </w:r>
      <w:r w:rsidR="0080042B">
        <w:t>;</w:t>
      </w:r>
      <w:r w:rsidR="00BC526E">
        <w:t xml:space="preserve"> grades promoted</w:t>
      </w:r>
      <w:r w:rsidR="0080042B">
        <w:t>;</w:t>
      </w:r>
      <w:r w:rsidR="00BC526E">
        <w:t xml:space="preserve"> highest grade completed, </w:t>
      </w:r>
    </w:p>
    <w:p w:rsidR="00BC526E" w:rsidRDefault="006B543B" w:rsidP="00BC526E">
      <w:pPr>
        <w:pStyle w:val="ListParagraph"/>
        <w:numPr>
          <w:ilvl w:val="0"/>
          <w:numId w:val="4"/>
        </w:numPr>
      </w:pPr>
      <w:r w:rsidRPr="006B543B">
        <w:rPr>
          <w:i/>
        </w:rPr>
        <w:t>Staying in school</w:t>
      </w:r>
      <w:r w:rsidR="0080042B">
        <w:t>—</w:t>
      </w:r>
      <w:r w:rsidR="00BC526E">
        <w:t xml:space="preserve">whether enrolled in or dropped out of school at follow-up, and </w:t>
      </w:r>
    </w:p>
    <w:p w:rsidR="00BC526E" w:rsidRDefault="006B543B" w:rsidP="00BC526E">
      <w:pPr>
        <w:pStyle w:val="ListParagraph"/>
        <w:numPr>
          <w:ilvl w:val="0"/>
          <w:numId w:val="4"/>
        </w:numPr>
      </w:pPr>
      <w:r w:rsidRPr="006B543B">
        <w:rPr>
          <w:i/>
        </w:rPr>
        <w:t>Completing school</w:t>
      </w:r>
      <w:r w:rsidR="0080042B">
        <w:t>—</w:t>
      </w:r>
      <w:r w:rsidR="00BC526E">
        <w:t>whether a student earns a high school diploma or GED certificate.</w:t>
      </w:r>
    </w:p>
    <w:p w:rsidR="0082145B" w:rsidRDefault="004038F4">
      <w:r>
        <w:t xml:space="preserve">The improvement index is a standardized measure of </w:t>
      </w:r>
      <w:r w:rsidR="00070A52">
        <w:t>impact representing “the</w:t>
      </w:r>
      <w:r w:rsidR="00DF6A31">
        <w:t xml:space="preserve"> change in an average student’s percentile rank that can be expected due to the intervention” (</w:t>
      </w:r>
      <w:r w:rsidR="00070A52">
        <w:t xml:space="preserve">WWC </w:t>
      </w:r>
      <w:r w:rsidR="00DF6A31">
        <w:t xml:space="preserve">Glossary, I, improvement index). </w:t>
      </w:r>
      <w:r w:rsidR="00070A52">
        <w:t xml:space="preserve">Because the improvement index is standardized, values can be compared among different interventions. </w:t>
      </w:r>
    </w:p>
    <w:p w:rsidR="0082145B" w:rsidRDefault="003B4905">
      <w:pPr>
        <w:pStyle w:val="Heading1"/>
      </w:pPr>
      <w:r>
        <w:t>Data Analysis</w:t>
      </w:r>
    </w:p>
    <w:p w:rsidR="0082145B" w:rsidRDefault="001468E4">
      <w:pPr>
        <w:pStyle w:val="ListParagraph"/>
        <w:ind w:left="0"/>
        <w:contextualSpacing w:val="0"/>
      </w:pPr>
      <w:r>
        <w:t>For each intervention’s outcome, w</w:t>
      </w:r>
      <w:r w:rsidR="002F7D55">
        <w:t xml:space="preserve">e computed a </w:t>
      </w:r>
      <w:r w:rsidR="006B543B" w:rsidRPr="006B543B">
        <w:t>weighted improvement index</w:t>
      </w:r>
      <w:r w:rsidR="002F7D55" w:rsidRPr="00574696">
        <w:rPr>
          <w:i/>
        </w:rPr>
        <w:t xml:space="preserve"> </w:t>
      </w:r>
      <w:r w:rsidR="002F7D55" w:rsidRPr="00112E56">
        <w:t>value</w:t>
      </w:r>
      <w:r w:rsidR="002F7D55">
        <w:t xml:space="preserve"> to represent both the </w:t>
      </w:r>
      <w:r w:rsidR="00574696">
        <w:t>size</w:t>
      </w:r>
      <w:r w:rsidR="002F7D55">
        <w:t xml:space="preserve"> of the intervention’s impact and the extent of evidence</w:t>
      </w:r>
      <w:r w:rsidR="00574696">
        <w:t xml:space="preserve"> from which it was </w:t>
      </w:r>
      <w:r w:rsidR="00112E56">
        <w:t>derived</w:t>
      </w:r>
      <w:r w:rsidR="002F7D55">
        <w:t>. We used WWC’s scheme for categorizing extent of evidence</w:t>
      </w:r>
      <w:r w:rsidR="002F7D55">
        <w:rPr>
          <w:rStyle w:val="FootnoteReference"/>
        </w:rPr>
        <w:footnoteReference w:id="3"/>
      </w:r>
      <w:r w:rsidR="0080042B">
        <w:t>,</w:t>
      </w:r>
      <w:r w:rsidR="002F7D55">
        <w:t xml:space="preserve"> </w:t>
      </w:r>
      <w:r w:rsidR="00574696">
        <w:t>and gave more weight when</w:t>
      </w:r>
      <w:r w:rsidR="004563E9">
        <w:t xml:space="preserve"> the evidence </w:t>
      </w:r>
      <w:r w:rsidR="00574696">
        <w:t>involved</w:t>
      </w:r>
      <w:r w:rsidR="004563E9">
        <w:t xml:space="preserve"> a large number of students and schools </w:t>
      </w:r>
      <w:r w:rsidR="00574696">
        <w:t>(i.e., multiplied the improvement index by a factor of 2)</w:t>
      </w:r>
      <w:r w:rsidR="0080042B">
        <w:t>,</w:t>
      </w:r>
      <w:r w:rsidR="00574696">
        <w:t xml:space="preserve"> </w:t>
      </w:r>
      <w:r w:rsidR="004563E9">
        <w:t xml:space="preserve">and </w:t>
      </w:r>
      <w:r w:rsidR="002F7D55">
        <w:t xml:space="preserve">less weight </w:t>
      </w:r>
      <w:r w:rsidR="00574696">
        <w:t xml:space="preserve">when </w:t>
      </w:r>
      <w:r w:rsidR="002F7D55">
        <w:t xml:space="preserve">the evidence </w:t>
      </w:r>
      <w:r w:rsidR="00574696">
        <w:t>involved</w:t>
      </w:r>
      <w:r w:rsidR="002F7D55">
        <w:t xml:space="preserve"> only a small number of students and schools</w:t>
      </w:r>
      <w:r w:rsidR="00574696">
        <w:t xml:space="preserve"> (i.e., multiplied the improvement index by a factor of 1)</w:t>
      </w:r>
      <w:r w:rsidR="004563E9">
        <w:t>.</w:t>
      </w:r>
      <w:r w:rsidR="007F45CE">
        <w:t xml:space="preserve"> </w:t>
      </w:r>
      <w:r w:rsidR="008E43AC">
        <w:t>Then</w:t>
      </w:r>
      <w:r w:rsidR="00226C6C">
        <w:t xml:space="preserve">, since each intervention reviewed by WWC had different numbers of outcome measures (between one and three), we </w:t>
      </w:r>
      <w:r w:rsidR="0094376B">
        <w:t>compute</w:t>
      </w:r>
      <w:r w:rsidR="00226C6C">
        <w:t>d</w:t>
      </w:r>
      <w:r w:rsidR="0094376B">
        <w:t xml:space="preserve"> an overall </w:t>
      </w:r>
      <w:r w:rsidR="00937BCC">
        <w:t xml:space="preserve">average </w:t>
      </w:r>
      <w:r w:rsidR="00190ABB">
        <w:t>weighted improvement index</w:t>
      </w:r>
      <w:r w:rsidR="00226C6C">
        <w:t xml:space="preserve">. An intervention’s overall </w:t>
      </w:r>
      <w:r w:rsidR="00937BCC">
        <w:t xml:space="preserve">average </w:t>
      </w:r>
      <w:r w:rsidR="00226C6C">
        <w:t xml:space="preserve">weighted improvement index is the </w:t>
      </w:r>
      <w:r w:rsidR="00BC526E">
        <w:t>sum</w:t>
      </w:r>
      <w:r w:rsidR="00226C6C">
        <w:t xml:space="preserve"> of</w:t>
      </w:r>
      <w:r w:rsidR="00BC526E">
        <w:t xml:space="preserve"> the weighted terms </w:t>
      </w:r>
      <w:r w:rsidR="00190ABB">
        <w:t xml:space="preserve">across outcomes for each intervention </w:t>
      </w:r>
      <w:r w:rsidR="00BC526E">
        <w:t xml:space="preserve">divided by the sum of the </w:t>
      </w:r>
      <w:r w:rsidR="00300015">
        <w:t xml:space="preserve">extent of evidence </w:t>
      </w:r>
      <w:r w:rsidR="00751851">
        <w:t>weights</w:t>
      </w:r>
      <w:r w:rsidR="00300015">
        <w:t xml:space="preserve">. </w:t>
      </w:r>
      <w:r w:rsidR="007C0308">
        <w:t xml:space="preserve"> </w:t>
      </w:r>
    </w:p>
    <w:p w:rsidR="0082145B" w:rsidRDefault="000835DE">
      <w:pPr>
        <w:pStyle w:val="Heading1"/>
      </w:pPr>
      <w:r>
        <w:t>Interpretation</w:t>
      </w:r>
    </w:p>
    <w:p w:rsidR="0082145B" w:rsidRDefault="006D6193">
      <w:r>
        <w:t>For each intervention reviewed by WWC in Table A1 in the Appendix of this report</w:t>
      </w:r>
      <w:r>
        <w:rPr>
          <w:rStyle w:val="FootnoteReference"/>
        </w:rPr>
        <w:footnoteReference w:id="4"/>
      </w:r>
      <w:r>
        <w:t>, t</w:t>
      </w:r>
      <w:r w:rsidR="007F45CE">
        <w:t xml:space="preserve">he overall weighted </w:t>
      </w:r>
      <w:r w:rsidR="001E31CD">
        <w:t xml:space="preserve">average </w:t>
      </w:r>
      <w:r w:rsidR="007F45CE">
        <w:t xml:space="preserve">improvement index values are presented from the highest </w:t>
      </w:r>
      <w:r w:rsidR="001A6149">
        <w:t xml:space="preserve">positive value </w:t>
      </w:r>
      <w:r w:rsidR="007F45CE">
        <w:t xml:space="preserve">to the </w:t>
      </w:r>
      <w:r w:rsidR="001A6149">
        <w:lastRenderedPageBreak/>
        <w:t>highest negative value</w:t>
      </w:r>
      <w:r>
        <w:t>.</w:t>
      </w:r>
      <w:r w:rsidR="007F45CE">
        <w:t xml:space="preserve"> Among the interventions reviewed by WWC, ALAS had the highest overall average weighted improvement index</w:t>
      </w:r>
      <w:r>
        <w:t xml:space="preserve"> at 30.5</w:t>
      </w:r>
      <w:r w:rsidR="001E31CD">
        <w:t>,</w:t>
      </w:r>
      <w:r w:rsidR="007F45CE">
        <w:t xml:space="preserve"> and Project Grad had the potentially most detrimental impact with an overall average weighted improvement index of -3.50 (see Table A1). </w:t>
      </w:r>
      <w:r w:rsidR="003A603A">
        <w:t>The improvement index tells us how much</w:t>
      </w:r>
      <w:r>
        <w:t>,</w:t>
      </w:r>
      <w:r w:rsidR="003A603A">
        <w:t xml:space="preserve"> and in which direction</w:t>
      </w:r>
      <w:r>
        <w:t>,</w:t>
      </w:r>
      <w:r w:rsidR="003A603A">
        <w:t xml:space="preserve"> an intervention will move an average student from the 50</w:t>
      </w:r>
      <w:r w:rsidR="003A603A" w:rsidRPr="006F14C2">
        <w:rPr>
          <w:vertAlign w:val="superscript"/>
        </w:rPr>
        <w:t>th</w:t>
      </w:r>
      <w:r w:rsidR="003A603A">
        <w:t xml:space="preserve"> percentile on a normally distributed set of scores. For example, the overall average weighted improvement index of 30.5 for ALAS indicates that the average student in the ALAS group is likely to end up at the 80.5</w:t>
      </w:r>
      <w:r w:rsidR="003A603A" w:rsidRPr="003A603A">
        <w:rPr>
          <w:vertAlign w:val="superscript"/>
        </w:rPr>
        <w:t>th</w:t>
      </w:r>
      <w:r w:rsidR="003A603A">
        <w:t xml:space="preserve"> percentile while the control group average student stays at the 50</w:t>
      </w:r>
      <w:r w:rsidR="003A603A" w:rsidRPr="003A603A">
        <w:rPr>
          <w:vertAlign w:val="superscript"/>
        </w:rPr>
        <w:t>th</w:t>
      </w:r>
      <w:r w:rsidR="003A603A">
        <w:t xml:space="preserve"> percentile. </w:t>
      </w:r>
      <w:r w:rsidR="006E5CC1">
        <w:t>With an improvement index of -3.50, t</w:t>
      </w:r>
      <w:r w:rsidR="003A603A">
        <w:t>he average student in Project Grad is likely to end up at the 46.5</w:t>
      </w:r>
      <w:r w:rsidR="003A603A" w:rsidRPr="003A603A">
        <w:rPr>
          <w:vertAlign w:val="superscript"/>
        </w:rPr>
        <w:t>th</w:t>
      </w:r>
      <w:r w:rsidR="003A603A">
        <w:t xml:space="preserve"> percentile while the control group average student stays at the 50</w:t>
      </w:r>
      <w:r w:rsidR="003A603A" w:rsidRPr="003A603A">
        <w:rPr>
          <w:vertAlign w:val="superscript"/>
        </w:rPr>
        <w:t>th</w:t>
      </w:r>
      <w:r w:rsidR="003A603A">
        <w:t xml:space="preserve"> percentile.</w:t>
      </w:r>
      <w:r w:rsidR="00FA1D35">
        <w:t xml:space="preserve"> </w:t>
      </w:r>
      <w:r w:rsidR="007F45CE">
        <w:t xml:space="preserve">In </w:t>
      </w:r>
      <w:r w:rsidR="001A6149">
        <w:t xml:space="preserve">the </w:t>
      </w:r>
      <w:r w:rsidR="00F96E2F">
        <w:t xml:space="preserve">Findings section of </w:t>
      </w:r>
      <w:r w:rsidR="007F45CE">
        <w:t>this report</w:t>
      </w:r>
      <w:r w:rsidR="00F96E2F">
        <w:t xml:space="preserve"> below</w:t>
      </w:r>
      <w:r w:rsidR="007F45CE">
        <w:t xml:space="preserve">, we present the overall average weighted improvement index values for interventions within each </w:t>
      </w:r>
      <w:r w:rsidR="00BB707E">
        <w:t>Tier</w:t>
      </w:r>
      <w:r w:rsidR="00971165">
        <w:t>, beginning with Tier 1, followed by Tier 2 and 3</w:t>
      </w:r>
      <w:r w:rsidR="00846C43">
        <w:t>.</w:t>
      </w:r>
    </w:p>
    <w:p w:rsidR="00B852E3" w:rsidRDefault="002C1652">
      <w:r>
        <w:t>Additionally, to provide a more practical indication of the effectiveness of an intervention</w:t>
      </w:r>
      <w:r w:rsidR="00B852E3">
        <w:t>, we</w:t>
      </w:r>
      <w:r>
        <w:t xml:space="preserve"> present and discuss student gains </w:t>
      </w:r>
      <w:r w:rsidR="00C7172E">
        <w:t xml:space="preserve">according to </w:t>
      </w:r>
      <w:r>
        <w:t>the original outcome measures</w:t>
      </w:r>
      <w:r w:rsidR="00B852E3">
        <w:t xml:space="preserve"> included in the Appendices </w:t>
      </w:r>
      <w:r w:rsidR="0038354B">
        <w:t>of each</w:t>
      </w:r>
      <w:r w:rsidR="00C7172E">
        <w:t xml:space="preserve"> of </w:t>
      </w:r>
      <w:r w:rsidR="00B852E3">
        <w:t>WWC’s intervention reports</w:t>
      </w:r>
      <w:r>
        <w:t xml:space="preserve">. </w:t>
      </w:r>
      <w:r w:rsidR="00B852E3">
        <w:t>While the weighted improvement index allows comparison across programs, and thus the relative potential of different interventions for making a difference, the original outcome measures provide an indication of the effect in practical terms</w:t>
      </w:r>
      <w:r w:rsidR="00383D4E">
        <w:t xml:space="preserve">. For example, </w:t>
      </w:r>
      <w:r w:rsidR="0038354B">
        <w:t xml:space="preserve">based on the evidence reviewed by WWC, the </w:t>
      </w:r>
      <w:r w:rsidR="00C7172E">
        <w:t xml:space="preserve">average </w:t>
      </w:r>
      <w:r w:rsidR="0038354B">
        <w:t xml:space="preserve">student </w:t>
      </w:r>
      <w:r w:rsidR="00C7172E">
        <w:t xml:space="preserve">in </w:t>
      </w:r>
      <w:r w:rsidR="0038354B">
        <w:t xml:space="preserve">Career Academies </w:t>
      </w:r>
      <w:r w:rsidR="00C7172E">
        <w:t>earn</w:t>
      </w:r>
      <w:r w:rsidR="0038354B">
        <w:t>ed</w:t>
      </w:r>
      <w:r w:rsidR="00C7172E">
        <w:t xml:space="preserve"> </w:t>
      </w:r>
      <w:r w:rsidR="00B852E3">
        <w:t>1</w:t>
      </w:r>
      <w:r w:rsidR="0038354B">
        <w:t>3</w:t>
      </w:r>
      <w:r w:rsidR="00B852E3">
        <w:t xml:space="preserve">.7 more credits toward graduation </w:t>
      </w:r>
      <w:r w:rsidR="00C7172E">
        <w:t>than the average student in the control group</w:t>
      </w:r>
      <w:r w:rsidR="0038354B">
        <w:t xml:space="preserve"> (WWC’s Career Academies Intervention Report, Appendix </w:t>
      </w:r>
      <w:r w:rsidR="004602B8">
        <w:t>A3.2). As another example,</w:t>
      </w:r>
      <w:r w:rsidR="00C7172E">
        <w:t xml:space="preserve"> among </w:t>
      </w:r>
      <w:r w:rsidR="0038354B">
        <w:t xml:space="preserve">Check &amp; Connect participants, 30% completed </w:t>
      </w:r>
      <w:r w:rsidR="00C7172E">
        <w:t xml:space="preserve">high school </w:t>
      </w:r>
      <w:r w:rsidR="0038354B">
        <w:t xml:space="preserve">or earned a </w:t>
      </w:r>
      <w:r w:rsidR="00C7172E">
        <w:t xml:space="preserve">GED </w:t>
      </w:r>
      <w:r w:rsidR="004602B8">
        <w:t xml:space="preserve">on time </w:t>
      </w:r>
      <w:r w:rsidR="00C7172E">
        <w:t xml:space="preserve">compared with </w:t>
      </w:r>
      <w:r w:rsidR="0038354B">
        <w:t>29</w:t>
      </w:r>
      <w:r w:rsidR="00C7172E">
        <w:t>% of the control group</w:t>
      </w:r>
      <w:r w:rsidR="0038354B">
        <w:t xml:space="preserve"> (WWC’s Check &amp; Connect Intervention report Appendix</w:t>
      </w:r>
      <w:r w:rsidR="004602B8">
        <w:t xml:space="preserve"> A3.3</w:t>
      </w:r>
      <w:r w:rsidR="0038354B">
        <w:t>)</w:t>
      </w:r>
      <w:r w:rsidR="00C7172E">
        <w:t>.</w:t>
      </w:r>
    </w:p>
    <w:p w:rsidR="00D57212" w:rsidRDefault="00D57212">
      <w:pPr>
        <w:rPr>
          <w:rFonts w:asciiTheme="majorHAnsi" w:eastAsiaTheme="majorEastAsia" w:hAnsiTheme="majorHAnsi" w:cstheme="majorBidi"/>
          <w:b/>
          <w:bCs/>
          <w:color w:val="365F91" w:themeColor="accent1" w:themeShade="BF"/>
          <w:sz w:val="28"/>
          <w:szCs w:val="28"/>
        </w:rPr>
      </w:pPr>
      <w:r>
        <w:br w:type="page"/>
      </w:r>
    </w:p>
    <w:p w:rsidR="00DC5A91" w:rsidRDefault="00DC5A91" w:rsidP="00DC5A91">
      <w:pPr>
        <w:pStyle w:val="Heading1"/>
      </w:pPr>
      <w:r>
        <w:lastRenderedPageBreak/>
        <w:t>Findings</w:t>
      </w:r>
    </w:p>
    <w:p w:rsidR="0082145B" w:rsidRDefault="00DC5A91">
      <w:pPr>
        <w:pStyle w:val="Heading3"/>
      </w:pPr>
      <w:r>
        <w:t>Tier 1</w:t>
      </w:r>
      <w:r w:rsidR="001E31CD">
        <w:t xml:space="preserve">: </w:t>
      </w:r>
      <w:r>
        <w:t xml:space="preserve">Dropout Prevention </w:t>
      </w:r>
      <w:r w:rsidR="00BB341B">
        <w:t xml:space="preserve">Strategy </w:t>
      </w:r>
      <w:r>
        <w:t>Effectiveness</w:t>
      </w:r>
      <w:r w:rsidR="00E45700">
        <w:tab/>
      </w:r>
    </w:p>
    <w:p w:rsidR="007D49AF" w:rsidRDefault="00A87849" w:rsidP="00644297">
      <w:pPr>
        <w:autoSpaceDE w:val="0"/>
        <w:autoSpaceDN w:val="0"/>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251.25pt;margin-top:304.75pt;width:191.85pt;height:154.5pt;rotation:-360;z-index:251660288;mso-position-horizontal-relative:margin;mso-position-vertical-relative:margin;mso-width-relative:margin;mso-height-relative:margin" o:allowincell="f" adj="1739" filled="t" fillcolor="#4bacc6 [3208]" strokecolor="#f2f2f2 [3041]" strokeweight="3pt">
            <v:imagedata embosscolor="shadow add(51)"/>
            <v:shadow on="t" type="perspective" color="#205867 [1608]" opacity=".5" offset="1pt" offset2="-1pt"/>
            <v:textbox style="mso-next-textbox:#_x0000_s1026" inset="3.6pt,,3.6pt">
              <w:txbxContent>
                <w:p w:rsidR="00CB5332" w:rsidRDefault="00CB5332" w:rsidP="00286A1B">
                  <w:pPr>
                    <w:pBdr>
                      <w:top w:val="single" w:sz="8" w:space="10" w:color="FFFFFF" w:themeColor="background1"/>
                      <w:bottom w:val="single" w:sz="8" w:space="10" w:color="FFFFFF" w:themeColor="background1"/>
                    </w:pBdr>
                    <w:shd w:val="clear" w:color="auto" w:fill="8DB3E2" w:themeFill="text2" w:themeFillTint="66"/>
                    <w:spacing w:after="0"/>
                    <w:jc w:val="center"/>
                    <w:rPr>
                      <w:rFonts w:ascii="Verdana" w:hAnsi="Verdana"/>
                      <w:color w:val="363636"/>
                      <w:sz w:val="18"/>
                      <w:szCs w:val="18"/>
                    </w:rPr>
                  </w:pPr>
                  <w:r w:rsidRPr="006B543B">
                    <w:rPr>
                      <w:rFonts w:cstheme="minorHAnsi"/>
                      <w:color w:val="363636"/>
                    </w:rPr>
                    <w:t>“The dropout problem is not one that can be addressed exclusively at the middle or high school levels; by then it is too late for some students.”</w:t>
                  </w:r>
                </w:p>
                <w:p w:rsidR="00CB5332" w:rsidRDefault="00CB5332" w:rsidP="00286A1B">
                  <w:pPr>
                    <w:pBdr>
                      <w:top w:val="single" w:sz="8" w:space="10" w:color="FFFFFF" w:themeColor="background1"/>
                      <w:bottom w:val="single" w:sz="8" w:space="10" w:color="FFFFFF" w:themeColor="background1"/>
                    </w:pBdr>
                    <w:shd w:val="clear" w:color="auto" w:fill="8DB3E2" w:themeFill="text2" w:themeFillTint="66"/>
                    <w:spacing w:after="0"/>
                    <w:jc w:val="center"/>
                    <w:rPr>
                      <w:i/>
                      <w:iCs/>
                      <w:color w:val="808080" w:themeColor="text1" w:themeTint="7F"/>
                      <w:sz w:val="24"/>
                      <w:szCs w:val="24"/>
                    </w:rPr>
                  </w:pPr>
                  <w:r>
                    <w:rPr>
                      <w:rFonts w:ascii="Verdana" w:hAnsi="Verdana"/>
                      <w:color w:val="363636"/>
                      <w:sz w:val="18"/>
                      <w:szCs w:val="18"/>
                    </w:rPr>
                    <w:t>(</w:t>
                  </w:r>
                  <w:r w:rsidRPr="00286A1B">
                    <w:t>National</w:t>
                  </w:r>
                  <w:r>
                    <w:t xml:space="preserve"> Dropout Prevention Center/Network, n.d.)</w:t>
                  </w:r>
                </w:p>
              </w:txbxContent>
            </v:textbox>
            <w10:wrap type="square" anchorx="margin" anchory="margin"/>
          </v:shape>
        </w:pict>
      </w:r>
      <w:r w:rsidR="00AD00E2">
        <w:t>Tier 1 dropout prevention programs and strategies are universal</w:t>
      </w:r>
      <w:r w:rsidR="00382C8F">
        <w:t xml:space="preserve">, school- or district-wide approaches designed and implemented to provide quality instruction that engages students in learning and promotes successful high school completion (Mac Iver </w:t>
      </w:r>
      <w:r w:rsidR="00A67D86">
        <w:t xml:space="preserve">&amp; </w:t>
      </w:r>
      <w:r w:rsidR="00382C8F">
        <w:t>Mac Iver, 2009).</w:t>
      </w:r>
      <w:r w:rsidR="00AD00E2">
        <w:t xml:space="preserve"> </w:t>
      </w:r>
      <w:r w:rsidR="00516930">
        <w:t xml:space="preserve">At the school level, </w:t>
      </w:r>
      <w:r w:rsidR="007D49AF">
        <w:t>Tier 1 strategies include high school restructuring strategies designed to re-organize large comprehensive high schools into smaller learning communities. Also</w:t>
      </w:r>
      <w:r w:rsidR="00B51EF2">
        <w:t xml:space="preserve"> at the school level</w:t>
      </w:r>
      <w:r w:rsidR="007D49AF">
        <w:t xml:space="preserve">, </w:t>
      </w:r>
      <w:r w:rsidR="00CE6533">
        <w:t xml:space="preserve">Mac Iver and Mac Iver (2009) recommend </w:t>
      </w:r>
      <w:r w:rsidR="00A01A1D">
        <w:t>“</w:t>
      </w:r>
      <w:r w:rsidR="007D49AF">
        <w:t>school staff</w:t>
      </w:r>
      <w:r w:rsidR="00CE6533">
        <w:t xml:space="preserve"> teams meet to discuss students, plan, and update interventions for students with early warning indicators” (p. 2).</w:t>
      </w:r>
      <w:r w:rsidR="00911D74">
        <w:t xml:space="preserve"> </w:t>
      </w:r>
    </w:p>
    <w:p w:rsidR="002C667A" w:rsidRDefault="00E136BC" w:rsidP="00644297">
      <w:pPr>
        <w:autoSpaceDE w:val="0"/>
        <w:autoSpaceDN w:val="0"/>
      </w:pPr>
      <w:r>
        <w:t xml:space="preserve">At the district level, quality preschool is a proven strategy. </w:t>
      </w:r>
      <w:r w:rsidR="00DF0DA9">
        <w:t xml:space="preserve">The evidence supporting the effectiveness of early </w:t>
      </w:r>
      <w:r w:rsidR="002D4860">
        <w:t xml:space="preserve">education </w:t>
      </w:r>
      <w:r w:rsidR="00DF0DA9">
        <w:t>is strong</w:t>
      </w:r>
      <w:r w:rsidR="00EE014D">
        <w:t xml:space="preserve">, which means that multiple </w:t>
      </w:r>
      <w:r w:rsidR="00EE640B">
        <w:t>studies</w:t>
      </w:r>
      <w:r w:rsidR="00484335">
        <w:t xml:space="preserve"> of</w:t>
      </w:r>
      <w:r w:rsidR="00EE640B">
        <w:t xml:space="preserve"> </w:t>
      </w:r>
      <w:r w:rsidR="00484335">
        <w:t xml:space="preserve">preschool education </w:t>
      </w:r>
      <w:r w:rsidR="00EE640B">
        <w:t>using comparison groups</w:t>
      </w:r>
      <w:r w:rsidR="00EE014D">
        <w:t xml:space="preserve"> </w:t>
      </w:r>
      <w:r w:rsidR="00EE640B">
        <w:t>yielded positive effects on school progress</w:t>
      </w:r>
      <w:r w:rsidR="00D644A4">
        <w:t xml:space="preserve">, including high school completion </w:t>
      </w:r>
      <w:r w:rsidR="00EE640B">
        <w:t>(Camilli, Vargas, Ryan</w:t>
      </w:r>
      <w:r w:rsidR="0072758E">
        <w:t>,</w:t>
      </w:r>
      <w:r w:rsidR="00EE640B">
        <w:t xml:space="preserve"> &amp; Barnett, 2010</w:t>
      </w:r>
      <w:r w:rsidR="009A39AA">
        <w:t>; Reynolds, Temple, Robertson</w:t>
      </w:r>
      <w:r w:rsidR="0072758E">
        <w:t>,</w:t>
      </w:r>
      <w:r w:rsidR="009A39AA">
        <w:t xml:space="preserve"> &amp; Mann, 2001</w:t>
      </w:r>
      <w:r w:rsidR="008F49BD">
        <w:t>; Schweinhart &amp; Weikart, 1997).</w:t>
      </w:r>
      <w:r w:rsidR="00EB15E2">
        <w:t xml:space="preserve"> </w:t>
      </w:r>
      <w:r w:rsidR="0072758E">
        <w:t>For example, i</w:t>
      </w:r>
      <w:r w:rsidR="00EB15E2">
        <w:t>n the High/Scope Perry Preschool Study</w:t>
      </w:r>
      <w:r w:rsidR="001C539E">
        <w:t xml:space="preserve"> for economically disadvantaged youth</w:t>
      </w:r>
      <w:r w:rsidR="00EB15E2">
        <w:t xml:space="preserve">, </w:t>
      </w:r>
      <w:r w:rsidR="006076F5">
        <w:t xml:space="preserve">randomly assigned </w:t>
      </w:r>
      <w:r w:rsidR="00506B77">
        <w:t xml:space="preserve">High/Scope and Nursery </w:t>
      </w:r>
      <w:r w:rsidR="00B81625">
        <w:t xml:space="preserve">School </w:t>
      </w:r>
      <w:r w:rsidR="00EB15E2">
        <w:t xml:space="preserve">participants were more likely </w:t>
      </w:r>
      <w:r w:rsidR="0072758E">
        <w:t xml:space="preserve">to complete high school on time </w:t>
      </w:r>
      <w:r w:rsidR="00EB15E2">
        <w:t xml:space="preserve">than </w:t>
      </w:r>
      <w:r w:rsidR="006076F5">
        <w:t xml:space="preserve">randomly assigned </w:t>
      </w:r>
      <w:r w:rsidR="00506B77">
        <w:t xml:space="preserve">Direct Instruction preschool program </w:t>
      </w:r>
      <w:r w:rsidR="006076F5">
        <w:t xml:space="preserve">participants </w:t>
      </w:r>
      <w:r w:rsidR="00EB15E2">
        <w:t>(</w:t>
      </w:r>
      <w:r w:rsidR="00506B77">
        <w:t>64%</w:t>
      </w:r>
      <w:r w:rsidR="00172004">
        <w:t xml:space="preserve"> for High/Scope,</w:t>
      </w:r>
      <w:r w:rsidR="00506B77">
        <w:t xml:space="preserve"> </w:t>
      </w:r>
      <w:r w:rsidR="0072758E">
        <w:t xml:space="preserve">72% for </w:t>
      </w:r>
      <w:r w:rsidR="00506B77">
        <w:t xml:space="preserve">Nursery </w:t>
      </w:r>
      <w:r w:rsidR="00B81625">
        <w:t>School</w:t>
      </w:r>
      <w:r w:rsidR="00506B77">
        <w:t xml:space="preserve">, and </w:t>
      </w:r>
      <w:r w:rsidR="0072758E">
        <w:t xml:space="preserve">47% for </w:t>
      </w:r>
      <w:r w:rsidR="00506B77">
        <w:t>Direct Instruction</w:t>
      </w:r>
      <w:r w:rsidR="00BA03FD">
        <w:t>) (</w:t>
      </w:r>
      <w:r w:rsidR="00506B77">
        <w:t>Schweinhart &amp; Weikart, 1997</w:t>
      </w:r>
      <w:r w:rsidR="00EB15E2">
        <w:t>).</w:t>
      </w:r>
      <w:r w:rsidR="006221A1">
        <w:t xml:space="preserve"> Recent analyses suggest that the cognitive and academic skills gained in preschool</w:t>
      </w:r>
      <w:r w:rsidR="00893D4C">
        <w:t>,</w:t>
      </w:r>
      <w:r w:rsidR="006221A1">
        <w:t xml:space="preserve"> combined with </w:t>
      </w:r>
      <w:r w:rsidR="00893D4C">
        <w:t xml:space="preserve">an </w:t>
      </w:r>
      <w:r w:rsidR="006221A1">
        <w:t>increased motivation to stay in school</w:t>
      </w:r>
      <w:r w:rsidR="00893D4C">
        <w:t>,</w:t>
      </w:r>
      <w:r w:rsidR="006221A1">
        <w:t xml:space="preserve"> help explain the school completion effects of these early interventions. </w:t>
      </w:r>
    </w:p>
    <w:p w:rsidR="0082145B" w:rsidRDefault="00786BD6">
      <w:pPr>
        <w:autoSpaceDE w:val="0"/>
        <w:autoSpaceDN w:val="0"/>
      </w:pPr>
      <w:r>
        <w:t>Camilli et al. (2010) found</w:t>
      </w:r>
      <w:r w:rsidR="006E64B2">
        <w:t xml:space="preserve"> </w:t>
      </w:r>
      <w:r w:rsidR="0011483B">
        <w:t>mixed or no effects for additional services in preschool</w:t>
      </w:r>
      <w:r w:rsidR="006B3E87">
        <w:t>—</w:t>
      </w:r>
      <w:r w:rsidR="0011483B">
        <w:t xml:space="preserve">such as health screening, nutrition, </w:t>
      </w:r>
      <w:r w:rsidR="00F262C9">
        <w:t xml:space="preserve">and </w:t>
      </w:r>
      <w:r w:rsidR="0011483B">
        <w:t>materials for home use</w:t>
      </w:r>
      <w:r w:rsidR="006B3E87">
        <w:t>—</w:t>
      </w:r>
      <w:r>
        <w:t>and</w:t>
      </w:r>
      <w:r w:rsidR="006E64B2">
        <w:t xml:space="preserve"> </w:t>
      </w:r>
      <w:r w:rsidR="0011483B">
        <w:t>recommend</w:t>
      </w:r>
      <w:r w:rsidR="006B3E87">
        <w:t>s</w:t>
      </w:r>
      <w:r w:rsidR="0011483B">
        <w:t xml:space="preserve"> that policy makers and program designers </w:t>
      </w:r>
      <w:r>
        <w:t>ensure</w:t>
      </w:r>
      <w:r w:rsidR="0011483B">
        <w:t xml:space="preserve"> that the additional services do not compete with instructional time. </w:t>
      </w:r>
      <w:r w:rsidR="00C95EFA">
        <w:t xml:space="preserve">The literature suggests implementing strategies that </w:t>
      </w:r>
      <w:r w:rsidR="006B3E87">
        <w:t xml:space="preserve">are </w:t>
      </w:r>
      <w:r w:rsidR="007C4D0A">
        <w:t>aimed at developing school readiness</w:t>
      </w:r>
      <w:r w:rsidR="006B3E87">
        <w:t>,</w:t>
      </w:r>
      <w:r w:rsidR="007C4D0A">
        <w:t xml:space="preserve"> </w:t>
      </w:r>
      <w:r w:rsidR="006B3E87">
        <w:t xml:space="preserve">since </w:t>
      </w:r>
      <w:r w:rsidR="007C4D0A">
        <w:t>higher</w:t>
      </w:r>
      <w:r w:rsidR="00C95EFA">
        <w:t>-</w:t>
      </w:r>
      <w:r w:rsidR="007C4D0A">
        <w:t>level skills cannot be obtained without the</w:t>
      </w:r>
      <w:r w:rsidR="004D08C4">
        <w:t>se</w:t>
      </w:r>
      <w:r w:rsidR="007C4D0A">
        <w:t xml:space="preserve"> foundation</w:t>
      </w:r>
      <w:r w:rsidR="000E3A47">
        <w:t xml:space="preserve">al </w:t>
      </w:r>
      <w:r w:rsidR="008D7A3C">
        <w:t>skills</w:t>
      </w:r>
      <w:r w:rsidR="000E3A47">
        <w:t xml:space="preserve"> </w:t>
      </w:r>
      <w:r w:rsidR="004D08C4">
        <w:t>(e.g., letter recognition). If not developed early</w:t>
      </w:r>
      <w:r w:rsidR="00F150A3">
        <w:t xml:space="preserve">, </w:t>
      </w:r>
      <w:r w:rsidR="00F150A3">
        <w:lastRenderedPageBreak/>
        <w:t>later</w:t>
      </w:r>
      <w:r w:rsidR="000E3A47">
        <w:t xml:space="preserve"> interventions </w:t>
      </w:r>
      <w:r w:rsidR="004D08C4">
        <w:t>have the added burden of “</w:t>
      </w:r>
      <w:r w:rsidR="000E3A47">
        <w:t>overcom</w:t>
      </w:r>
      <w:r w:rsidR="004D08C4">
        <w:t>ing</w:t>
      </w:r>
      <w:r w:rsidR="000E3A47">
        <w:t xml:space="preserve"> accumulated deficiencies in academic ability</w:t>
      </w:r>
      <w:r w:rsidR="007C4D0A">
        <w:t>” (Belfield &amp; Levin, 2007</w:t>
      </w:r>
      <w:r w:rsidR="000E3A47">
        <w:t>, p. 30</w:t>
      </w:r>
      <w:r w:rsidR="007C4D0A">
        <w:t>).</w:t>
      </w:r>
    </w:p>
    <w:p w:rsidR="00853C9D" w:rsidRDefault="00FA5B53" w:rsidP="00FA5B53">
      <w:pPr>
        <w:autoSpaceDE w:val="0"/>
        <w:autoSpaceDN w:val="0"/>
      </w:pPr>
      <w:r>
        <w:t xml:space="preserve">In addition to early </w:t>
      </w:r>
      <w:r w:rsidR="002D4860">
        <w:t>education</w:t>
      </w:r>
      <w:r w:rsidR="0057483B">
        <w:t xml:space="preserve">, </w:t>
      </w:r>
      <w:r>
        <w:t xml:space="preserve">we </w:t>
      </w:r>
      <w:r w:rsidR="004C05F7">
        <w:t xml:space="preserve">have </w:t>
      </w:r>
      <w:r w:rsidR="006F1D8D">
        <w:t>include</w:t>
      </w:r>
      <w:r w:rsidR="004C05F7">
        <w:t>d</w:t>
      </w:r>
      <w:r w:rsidR="006F1D8D">
        <w:t xml:space="preserve"> initiatives</w:t>
      </w:r>
      <w:r>
        <w:t xml:space="preserve"> from the school and community perspective</w:t>
      </w:r>
      <w:r w:rsidR="00C95EFA">
        <w:t xml:space="preserve"> in the Tier 1 category</w:t>
      </w:r>
      <w:r>
        <w:t xml:space="preserve">. </w:t>
      </w:r>
      <w:r w:rsidR="00180901">
        <w:t>T</w:t>
      </w:r>
      <w:r>
        <w:t xml:space="preserve">he </w:t>
      </w:r>
      <w:r w:rsidR="001D16A2" w:rsidRPr="00C95EFA">
        <w:rPr>
          <w:rFonts w:ascii="Verdana" w:hAnsi="Verdana"/>
          <w:color w:val="363636"/>
          <w:sz w:val="18"/>
          <w:szCs w:val="18"/>
        </w:rPr>
        <w:t>National</w:t>
      </w:r>
      <w:r>
        <w:t xml:space="preserve"> Dropout Prevention Center/Network</w:t>
      </w:r>
      <w:r w:rsidR="00180901">
        <w:t xml:space="preserve"> identified school and community-wide initiatives as among the </w:t>
      </w:r>
      <w:r>
        <w:t xml:space="preserve">15 </w:t>
      </w:r>
      <w:r w:rsidR="00180901">
        <w:t xml:space="preserve">most impactful dropout prevention and intervention </w:t>
      </w:r>
      <w:r>
        <w:t>strategies</w:t>
      </w:r>
      <w:r w:rsidR="00180901">
        <w:t xml:space="preserve">. </w:t>
      </w:r>
      <w:r>
        <w:t>The</w:t>
      </w:r>
      <w:r w:rsidR="00710F92">
        <w:t xml:space="preserve">se </w:t>
      </w:r>
      <w:r w:rsidR="005D3E15">
        <w:t xml:space="preserve">types of </w:t>
      </w:r>
      <w:r w:rsidR="00710F92">
        <w:t>initiatives</w:t>
      </w:r>
      <w:r w:rsidR="005D3E15">
        <w:t xml:space="preserve"> (for example</w:t>
      </w:r>
      <w:r w:rsidR="006F1D8D">
        <w:t>, creating</w:t>
      </w:r>
      <w:r w:rsidR="00DD41F5">
        <w:t xml:space="preserve"> a safe learning environment</w:t>
      </w:r>
      <w:r w:rsidR="006F1D8D">
        <w:t>) include</w:t>
      </w:r>
      <w:r w:rsidR="005D3E15">
        <w:t xml:space="preserve"> </w:t>
      </w:r>
      <w:r w:rsidR="00853C9D">
        <w:t>whole</w:t>
      </w:r>
      <w:r w:rsidR="005D3E15">
        <w:t>-</w:t>
      </w:r>
      <w:r w:rsidR="00853C9D">
        <w:t xml:space="preserve">school strategies or systemic renewal </w:t>
      </w:r>
      <w:r>
        <w:t xml:space="preserve">efforts </w:t>
      </w:r>
      <w:r w:rsidR="00853C9D">
        <w:t xml:space="preserve">that focus on improving the quality of </w:t>
      </w:r>
      <w:r w:rsidR="005D3E15">
        <w:t xml:space="preserve">the </w:t>
      </w:r>
      <w:r w:rsidR="00853C9D">
        <w:t xml:space="preserve">school climate, </w:t>
      </w:r>
      <w:r w:rsidR="00215F52">
        <w:t xml:space="preserve">the </w:t>
      </w:r>
      <w:r w:rsidR="00853C9D">
        <w:t>organizational capacity</w:t>
      </w:r>
      <w:r w:rsidR="00215F52">
        <w:t xml:space="preserve"> of the school</w:t>
      </w:r>
      <w:r w:rsidR="00853C9D">
        <w:t>, and</w:t>
      </w:r>
      <w:r w:rsidR="00215F52">
        <w:t xml:space="preserve"> the school’s</w:t>
      </w:r>
      <w:r w:rsidR="00853C9D">
        <w:t xml:space="preserve"> instructional effectiveness for all students. </w:t>
      </w:r>
      <w:r w:rsidR="00065E62">
        <w:t>These strategies,</w:t>
      </w:r>
      <w:r w:rsidR="0026129B">
        <w:t xml:space="preserve"> which are</w:t>
      </w:r>
      <w:r w:rsidR="00065E62">
        <w:t xml:space="preserve"> implemented by district and school leadership teams, focus on</w:t>
      </w:r>
      <w:r w:rsidR="006E64B2">
        <w:t xml:space="preserve"> </w:t>
      </w:r>
      <w:r w:rsidR="00853C9D">
        <w:t xml:space="preserve">continually specifying and evaluating goals and objectives, removing barriers to improvement, and providing a system of structures that support change and innovation. The adoption and implementation of an </w:t>
      </w:r>
      <w:r w:rsidR="00576577">
        <w:t>e</w:t>
      </w:r>
      <w:r>
        <w:t xml:space="preserve">arly </w:t>
      </w:r>
      <w:r w:rsidR="00576577">
        <w:t>w</w:t>
      </w:r>
      <w:r>
        <w:t xml:space="preserve">arning </w:t>
      </w:r>
      <w:r w:rsidR="00576577">
        <w:t>s</w:t>
      </w:r>
      <w:r>
        <w:t>ystem</w:t>
      </w:r>
      <w:r w:rsidR="00853C9D">
        <w:t xml:space="preserve"> would help inform a</w:t>
      </w:r>
      <w:r w:rsidR="00B97E7F">
        <w:t>nd direct such systemic renewal</w:t>
      </w:r>
      <w:r w:rsidR="00635F56">
        <w:t>,</w:t>
      </w:r>
      <w:r w:rsidR="00B97E7F">
        <w:t xml:space="preserve"> and is recommended in the </w:t>
      </w:r>
      <w:r w:rsidR="005078CB">
        <w:t>Institute of Education Sciences</w:t>
      </w:r>
      <w:r w:rsidR="00065E62">
        <w:t>’</w:t>
      </w:r>
      <w:r w:rsidR="005078CB">
        <w:t xml:space="preserve"> (</w:t>
      </w:r>
      <w:r w:rsidR="00B97E7F">
        <w:t>IES</w:t>
      </w:r>
      <w:r w:rsidR="005078CB">
        <w:t>)</w:t>
      </w:r>
      <w:r w:rsidR="00B97E7F">
        <w:t xml:space="preserve"> </w:t>
      </w:r>
      <w:r w:rsidR="00065E62">
        <w:t>Practice</w:t>
      </w:r>
      <w:r w:rsidR="006F1D8D">
        <w:t xml:space="preserve"> </w:t>
      </w:r>
      <w:r w:rsidR="00065E62">
        <w:t>G</w:t>
      </w:r>
      <w:r w:rsidR="00B97E7F">
        <w:t>uide on dropout prevention</w:t>
      </w:r>
      <w:r w:rsidR="002622D7">
        <w:t xml:space="preserve"> (Dynarski, Clarke, Cobb, Finn, Rumberger</w:t>
      </w:r>
      <w:r w:rsidR="00635F56">
        <w:t>,</w:t>
      </w:r>
      <w:r w:rsidR="002622D7">
        <w:t xml:space="preserve"> &amp; Smink, 2008)</w:t>
      </w:r>
      <w:r w:rsidR="00B97E7F">
        <w:t xml:space="preserve">. </w:t>
      </w:r>
      <w:r w:rsidR="00853C9D">
        <w:t xml:space="preserve"> </w:t>
      </w:r>
    </w:p>
    <w:p w:rsidR="00A534DF" w:rsidRDefault="00180901" w:rsidP="00644297">
      <w:r>
        <w:t>A</w:t>
      </w:r>
      <w:r w:rsidR="00836EEF">
        <w:t xml:space="preserve">nother </w:t>
      </w:r>
      <w:r w:rsidR="008C2B2D">
        <w:t xml:space="preserve">type of </w:t>
      </w:r>
      <w:r>
        <w:t>Tier 1</w:t>
      </w:r>
      <w:r w:rsidR="00DD41F5">
        <w:t xml:space="preserve"> dropout prevention strategy is </w:t>
      </w:r>
      <w:r w:rsidR="008C2B2D">
        <w:t xml:space="preserve">providing students </w:t>
      </w:r>
      <w:r w:rsidR="005D0D4C">
        <w:t xml:space="preserve">with </w:t>
      </w:r>
      <w:r w:rsidR="008C2B2D">
        <w:t>rigorous and relevant instruction</w:t>
      </w:r>
      <w:r w:rsidR="00E02D8C">
        <w:t xml:space="preserve">, </w:t>
      </w:r>
      <w:r w:rsidR="0026129B">
        <w:t xml:space="preserve">which is </w:t>
      </w:r>
      <w:r w:rsidR="00E02D8C">
        <w:t xml:space="preserve">a </w:t>
      </w:r>
      <w:r w:rsidR="005758AB">
        <w:rPr>
          <w:i/>
        </w:rPr>
        <w:t>D</w:t>
      </w:r>
      <w:r w:rsidR="00286A1B" w:rsidRPr="00286A1B">
        <w:rPr>
          <w:i/>
        </w:rPr>
        <w:t xml:space="preserve">ropout </w:t>
      </w:r>
      <w:r w:rsidR="005758AB">
        <w:rPr>
          <w:i/>
        </w:rPr>
        <w:t>P</w:t>
      </w:r>
      <w:r w:rsidR="00286A1B" w:rsidRPr="00286A1B">
        <w:rPr>
          <w:i/>
        </w:rPr>
        <w:t>revention</w:t>
      </w:r>
      <w:r w:rsidR="005758AB">
        <w:t xml:space="preserve"> </w:t>
      </w:r>
      <w:r w:rsidR="009A610A">
        <w:t xml:space="preserve">Practice Guide </w:t>
      </w:r>
      <w:r w:rsidR="00E02D8C">
        <w:t>recommendation based on moderately strong evidence of effectiveness</w:t>
      </w:r>
      <w:r w:rsidR="00E02D8C">
        <w:rPr>
          <w:rStyle w:val="FootnoteReference"/>
        </w:rPr>
        <w:footnoteReference w:id="5"/>
      </w:r>
      <w:r w:rsidR="008C2B2D">
        <w:t xml:space="preserve"> (Dynarski et al., 2008). These instructional improvement</w:t>
      </w:r>
      <w:r w:rsidR="00300092">
        <w:t>s</w:t>
      </w:r>
      <w:r w:rsidR="008C2B2D">
        <w:t xml:space="preserve"> involve making changes in “core academic courses as well as career and technical courses, aligning material and academic strands, and demonstrating the relevance of the academic courses to students” (Dynarski et al</w:t>
      </w:r>
      <w:r w:rsidR="006B5437">
        <w:t>.</w:t>
      </w:r>
      <w:r w:rsidR="008C2B2D">
        <w:t>, 2008, p</w:t>
      </w:r>
      <w:r w:rsidR="005078CB">
        <w:t>p</w:t>
      </w:r>
      <w:r w:rsidR="008C2B2D">
        <w:t>. 35</w:t>
      </w:r>
      <w:r w:rsidR="00505CD7">
        <w:t>–</w:t>
      </w:r>
      <w:r w:rsidR="008C2B2D">
        <w:t>36).</w:t>
      </w:r>
      <w:r w:rsidR="00C94522">
        <w:t xml:space="preserve"> The </w:t>
      </w:r>
      <w:r w:rsidR="009A610A">
        <w:t xml:space="preserve">Practice Guide </w:t>
      </w:r>
      <w:r w:rsidR="00C94522">
        <w:t xml:space="preserve">recommends providing teachers </w:t>
      </w:r>
      <w:r w:rsidR="009A610A">
        <w:t xml:space="preserve">with </w:t>
      </w:r>
      <w:r w:rsidR="00C94522">
        <w:t>ongoing learning opportunities for improving their practice, including professional development workshops facilitated by grade-level team leaders, school-based coaches</w:t>
      </w:r>
      <w:r w:rsidR="00505CD7">
        <w:t>,</w:t>
      </w:r>
      <w:r w:rsidR="00C94522">
        <w:t xml:space="preserve"> or outside consultants</w:t>
      </w:r>
      <w:r w:rsidR="009A610A">
        <w:t xml:space="preserve"> </w:t>
      </w:r>
      <w:r w:rsidR="00FD345D">
        <w:t xml:space="preserve">that </w:t>
      </w:r>
      <w:r w:rsidR="00C94522">
        <w:t>are designed to give teachers time to collaborate on curriculum development and classroom teaching (Dynarski et al., 2008).</w:t>
      </w:r>
      <w:r w:rsidR="00BC0D03">
        <w:t xml:space="preserve"> Career days, college visits, and assignments that engage students in applying academic skills to work-world problems are recommended as specific strategies to make instruction rigorous and relevant.</w:t>
      </w:r>
    </w:p>
    <w:p w:rsidR="00A726F3" w:rsidRDefault="00836EEF" w:rsidP="00644297">
      <w:r>
        <w:t xml:space="preserve">Dynarski and colleagues (2008) also recommend </w:t>
      </w:r>
      <w:r w:rsidR="00950711">
        <w:t>personaliz</w:t>
      </w:r>
      <w:r>
        <w:t>ing</w:t>
      </w:r>
      <w:r w:rsidR="00950711">
        <w:t xml:space="preserve"> the learning environment</w:t>
      </w:r>
      <w:r>
        <w:t>.</w:t>
      </w:r>
      <w:r w:rsidR="00950711">
        <w:t xml:space="preserve"> </w:t>
      </w:r>
      <w:r w:rsidR="005D5466">
        <w:t xml:space="preserve">High school reforms that create smaller learning communities are one example of </w:t>
      </w:r>
      <w:r w:rsidR="00505CD7">
        <w:t xml:space="preserve">such </w:t>
      </w:r>
      <w:r w:rsidR="005D5466">
        <w:t xml:space="preserve">an effort. </w:t>
      </w:r>
      <w:r w:rsidR="005662B1">
        <w:t>Levine (201</w:t>
      </w:r>
      <w:r w:rsidR="006F63F1">
        <w:t>0</w:t>
      </w:r>
      <w:r w:rsidR="005662B1">
        <w:t>) reviewed the evaluation results of four approaches to smaller learning communities, including Gates-</w:t>
      </w:r>
      <w:r w:rsidR="005662B1">
        <w:lastRenderedPageBreak/>
        <w:t>supported conversion high schools</w:t>
      </w:r>
      <w:r w:rsidR="00577616">
        <w:t xml:space="preserve"> (to smaller learning communities)</w:t>
      </w:r>
      <w:r w:rsidR="005662B1">
        <w:t xml:space="preserve">, </w:t>
      </w:r>
      <w:r w:rsidR="00577616">
        <w:t>First Things First (FTF) high schools and middle schools, Talent Development (TD) schools in Philadelphia, and the small schools involved in the Chicago High School Redesign Initiative (CHSRI).</w:t>
      </w:r>
      <w:r w:rsidR="00725AF5">
        <w:t xml:space="preserve"> The evaluations </w:t>
      </w:r>
      <w:r w:rsidR="00F73552">
        <w:t>compared</w:t>
      </w:r>
      <w:r w:rsidR="00725AF5">
        <w:t xml:space="preserve"> matched comprehensive high schools</w:t>
      </w:r>
      <w:r w:rsidR="00F73552">
        <w:t>, with mixed results</w:t>
      </w:r>
      <w:r w:rsidR="003A5277">
        <w:t xml:space="preserve">. After two or three years of implementation, </w:t>
      </w:r>
      <w:r w:rsidR="001D7EDE">
        <w:t xml:space="preserve">seven </w:t>
      </w:r>
      <w:r w:rsidR="003A5277">
        <w:t xml:space="preserve">of the 22 comparisons showed </w:t>
      </w:r>
      <w:r w:rsidR="00A726F3">
        <w:t>more favorable</w:t>
      </w:r>
      <w:r w:rsidR="003A5277">
        <w:t xml:space="preserve"> outcomes f</w:t>
      </w:r>
      <w:r w:rsidR="00A726F3">
        <w:t>or</w:t>
      </w:r>
      <w:r w:rsidR="003A5277">
        <w:t xml:space="preserve"> the smaller learning communities</w:t>
      </w:r>
      <w:r w:rsidR="00F2422B">
        <w:t>—f</w:t>
      </w:r>
      <w:r w:rsidR="00A726F3">
        <w:t>or example, of three comparisons on graduation rates, two showed possible improvement</w:t>
      </w:r>
      <w:r w:rsidR="001E5DBE">
        <w:t>s</w:t>
      </w:r>
      <w:r w:rsidR="00A726F3">
        <w:t xml:space="preserve"> and one showed </w:t>
      </w:r>
      <w:r w:rsidR="001E5DBE">
        <w:t xml:space="preserve">definitive </w:t>
      </w:r>
      <w:r w:rsidR="00A726F3">
        <w:t>improvement for smaller learning communities (Levine, 201</w:t>
      </w:r>
      <w:r w:rsidR="006F63F1">
        <w:t>0</w:t>
      </w:r>
      <w:r w:rsidR="00A726F3">
        <w:t>). Of six academic achievement outcomes, four showed no significant differences for the smaller learning communities</w:t>
      </w:r>
      <w:r w:rsidR="006C7973">
        <w:t xml:space="preserve"> as</w:t>
      </w:r>
      <w:r w:rsidR="00A726F3">
        <w:t xml:space="preserve"> compared to </w:t>
      </w:r>
      <w:r w:rsidR="00EA65B2">
        <w:t xml:space="preserve">the </w:t>
      </w:r>
      <w:r w:rsidR="00A726F3">
        <w:t>control</w:t>
      </w:r>
      <w:r w:rsidR="00EA65B2">
        <w:t xml:space="preserve"> groups</w:t>
      </w:r>
      <w:r w:rsidR="00F2422B">
        <w:t>,</w:t>
      </w:r>
      <w:r w:rsidR="00EA65B2">
        <w:t xml:space="preserve"> </w:t>
      </w:r>
      <w:r w:rsidR="00A726F3">
        <w:t>one showed a slight advantage</w:t>
      </w:r>
      <w:r w:rsidR="00F2422B">
        <w:t>,</w:t>
      </w:r>
      <w:r w:rsidR="00EA65B2">
        <w:t xml:space="preserve"> </w:t>
      </w:r>
      <w:r w:rsidR="00A726F3">
        <w:t xml:space="preserve">and one showed improvements in both reading and mathematics. </w:t>
      </w:r>
    </w:p>
    <w:p w:rsidR="009229E3" w:rsidRDefault="0090325A" w:rsidP="00EA2CCF">
      <w:r>
        <w:t xml:space="preserve">Additional analyses indicated that if smaller learning communities were to improve student achievement, three challenges would need to be addressed: (1) </w:t>
      </w:r>
      <w:r w:rsidR="00A975D0">
        <w:t xml:space="preserve">finding </w:t>
      </w:r>
      <w:r>
        <w:t>sol</w:t>
      </w:r>
      <w:r w:rsidR="00A975D0">
        <w:t xml:space="preserve">utions to </w:t>
      </w:r>
      <w:r>
        <w:t>pressing logistical and administrative issues in order to focus on improving curriculum and instruction, (2) avoid</w:t>
      </w:r>
      <w:r w:rsidR="00145A09">
        <w:t>ing</w:t>
      </w:r>
      <w:r>
        <w:t xml:space="preserve"> unintended stratification </w:t>
      </w:r>
      <w:r w:rsidR="00C242B9">
        <w:t xml:space="preserve">to ensure rigor and equity </w:t>
      </w:r>
      <w:r w:rsidR="004D3C92">
        <w:t xml:space="preserve">(e.g., </w:t>
      </w:r>
      <w:r w:rsidR="000B02E6">
        <w:t xml:space="preserve">unintentional </w:t>
      </w:r>
      <w:r w:rsidR="004D3C92">
        <w:t>creation of homogeneous groups of students within smaller learning communities)</w:t>
      </w:r>
      <w:r>
        <w:t xml:space="preserve">, and (3) </w:t>
      </w:r>
      <w:r w:rsidR="00D07B47">
        <w:t>overcom</w:t>
      </w:r>
      <w:r w:rsidR="00145A09">
        <w:t>ing</w:t>
      </w:r>
      <w:r w:rsidR="00D07B47">
        <w:t xml:space="preserve"> school history and entrenched culture (Levine, 201</w:t>
      </w:r>
      <w:r w:rsidR="006F63F1">
        <w:t>0</w:t>
      </w:r>
      <w:r w:rsidR="00D07B47">
        <w:t xml:space="preserve">). </w:t>
      </w:r>
      <w:r w:rsidR="00EA2CCF">
        <w:t>Levine (201</w:t>
      </w:r>
      <w:r w:rsidR="006F63F1">
        <w:t>0</w:t>
      </w:r>
      <w:r w:rsidR="00EA2CCF">
        <w:t xml:space="preserve">) recommends remaining focused on the theories of action underlying smaller learning communities </w:t>
      </w:r>
      <w:r w:rsidR="00690811">
        <w:t xml:space="preserve">in order </w:t>
      </w:r>
      <w:r w:rsidR="00EA2CCF">
        <w:t xml:space="preserve">to </w:t>
      </w:r>
      <w:r w:rsidR="00D55004">
        <w:t xml:space="preserve">design and implement </w:t>
      </w:r>
      <w:r w:rsidR="00EA2CCF">
        <w:t>improve</w:t>
      </w:r>
      <w:r w:rsidR="00D55004">
        <w:t xml:space="preserve">ments hypothesized to bolster </w:t>
      </w:r>
      <w:r w:rsidR="00EA2CCF">
        <w:t xml:space="preserve">the emerging early results. </w:t>
      </w:r>
    </w:p>
    <w:p w:rsidR="00C94B94" w:rsidRDefault="00836EEF" w:rsidP="00EA2CCF">
      <w:r>
        <w:t>With respect to effectiveness evidence reviewed by WWC</w:t>
      </w:r>
      <w:r w:rsidR="00B46883">
        <w:t xml:space="preserve">, </w:t>
      </w:r>
      <w:r>
        <w:t>there are t</w:t>
      </w:r>
      <w:r w:rsidR="00300092">
        <w:t xml:space="preserve">hree Tier 1 interventions </w:t>
      </w:r>
      <w:r w:rsidR="00C94B94">
        <w:t xml:space="preserve">with evidence </w:t>
      </w:r>
      <w:r w:rsidR="00300092">
        <w:t>included in the WWC Dropout Prevention topic review. A comparison of their overall weighted average improvement index suggests that Career Academies and Talent Development High Schools are both more effective than First Things First for helping students stay on track to graduate (see Table 3).</w:t>
      </w:r>
    </w:p>
    <w:p w:rsidR="00C94B94" w:rsidRDefault="00BC0B43" w:rsidP="00EA2CCF">
      <w:r>
        <w:t xml:space="preserve">To read Table 3, the overall average </w:t>
      </w:r>
      <w:r w:rsidR="004F627A">
        <w:t xml:space="preserve">weighted </w:t>
      </w:r>
      <w:r>
        <w:t xml:space="preserve">improvement index column provides a comparable measure of effectiveness. </w:t>
      </w:r>
      <w:r w:rsidR="00361B8D">
        <w:t>From top to bottom, p</w:t>
      </w:r>
      <w:r>
        <w:t xml:space="preserve">rograms are </w:t>
      </w:r>
      <w:r w:rsidR="00361B8D">
        <w:t>list</w:t>
      </w:r>
      <w:r>
        <w:t xml:space="preserve">ed </w:t>
      </w:r>
      <w:r w:rsidR="00361B8D">
        <w:t xml:space="preserve">according to </w:t>
      </w:r>
      <w:r w:rsidR="00C94B94">
        <w:t>their</w:t>
      </w:r>
      <w:r w:rsidR="00361B8D">
        <w:t xml:space="preserve"> overall average weighted improvement index</w:t>
      </w:r>
      <w:r w:rsidR="00C94B94">
        <w:t xml:space="preserve"> (from highest positive to highest negative)</w:t>
      </w:r>
      <w:r w:rsidR="00361B8D">
        <w:t xml:space="preserve">. Therefore, among Tier 1 programs whose studies were reviewed by WWC and met WWC standards, Career Academies </w:t>
      </w:r>
      <w:r w:rsidR="00C74DBE">
        <w:t xml:space="preserve">appears the most </w:t>
      </w:r>
      <w:r>
        <w:t xml:space="preserve">effective </w:t>
      </w:r>
      <w:r w:rsidR="00361B8D">
        <w:t xml:space="preserve">and </w:t>
      </w:r>
      <w:r w:rsidR="008841E1">
        <w:t>First Things First</w:t>
      </w:r>
      <w:r w:rsidR="00361B8D">
        <w:t xml:space="preserve"> </w:t>
      </w:r>
      <w:r w:rsidR="00C74DBE">
        <w:t xml:space="preserve">appears the least effective. The </w:t>
      </w:r>
      <w:r w:rsidR="006410EE">
        <w:t>negative improvement index</w:t>
      </w:r>
      <w:r w:rsidR="00C74DBE">
        <w:t xml:space="preserve"> value for First Things First </w:t>
      </w:r>
      <w:r w:rsidR="006410EE">
        <w:t>means the experimental group performed below the control group on the outcome measure.</w:t>
      </w:r>
      <w:r w:rsidR="00197341">
        <w:t xml:space="preserve">  </w:t>
      </w:r>
    </w:p>
    <w:p w:rsidR="00636283" w:rsidRPr="00440B0A" w:rsidRDefault="00690811" w:rsidP="00277B5F">
      <w:pPr>
        <w:rPr>
          <w:i/>
        </w:rPr>
        <w:sectPr w:rsidR="00636283" w:rsidRPr="00440B0A" w:rsidSect="00D57212">
          <w:footerReference w:type="default" r:id="rId19"/>
          <w:pgSz w:w="12240" w:h="15840"/>
          <w:pgMar w:top="1440" w:right="1440" w:bottom="1440" w:left="1440" w:header="720" w:footer="720" w:gutter="0"/>
          <w:pgNumType w:start="1"/>
          <w:cols w:space="720"/>
          <w:docGrid w:linePitch="360"/>
        </w:sectPr>
      </w:pPr>
      <w:r>
        <w:lastRenderedPageBreak/>
        <w:t>In addition</w:t>
      </w:r>
      <w:r w:rsidR="002738C9">
        <w:t xml:space="preserve">, the </w:t>
      </w:r>
      <w:r>
        <w:t>P</w:t>
      </w:r>
      <w:r w:rsidR="006B543B" w:rsidRPr="006B543B">
        <w:t xml:space="preserve">rogressing in </w:t>
      </w:r>
      <w:r>
        <w:t>S</w:t>
      </w:r>
      <w:r w:rsidR="006B543B" w:rsidRPr="006B543B">
        <w:t>chool</w:t>
      </w:r>
      <w:r w:rsidR="002738C9">
        <w:t xml:space="preserve"> improvement index</w:t>
      </w:r>
      <w:r>
        <w:t xml:space="preserve"> in Table 3 </w:t>
      </w:r>
      <w:r w:rsidR="00FD345D">
        <w:t>refers to</w:t>
      </w:r>
      <w:r w:rsidR="002738C9">
        <w:t xml:space="preserve"> standardized measures</w:t>
      </w:r>
      <w:r>
        <w:t xml:space="preserve"> that are</w:t>
      </w:r>
      <w:r w:rsidR="002738C9">
        <w:t xml:space="preserve"> comparable across programs. In this case, each </w:t>
      </w:r>
      <w:r w:rsidR="00C638F1">
        <w:t xml:space="preserve">value </w:t>
      </w:r>
      <w:r w:rsidR="008841E1">
        <w:t>is</w:t>
      </w:r>
      <w:r w:rsidR="002738C9">
        <w:t xml:space="preserve"> weighted the same because each outcome is based on the same extent of evidence</w:t>
      </w:r>
      <w:r w:rsidR="00C97499">
        <w:t xml:space="preserve"> (</w:t>
      </w:r>
      <w:r w:rsidR="00C638F1">
        <w:t xml:space="preserve">a small extent which has a value of </w:t>
      </w:r>
      <w:r w:rsidR="00C97499">
        <w:t>1)</w:t>
      </w:r>
      <w:r w:rsidR="002738C9">
        <w:t>.</w:t>
      </w:r>
      <w:r w:rsidR="00C97499">
        <w:t xml:space="preserve"> </w:t>
      </w:r>
      <w:r w:rsidR="00E9701C">
        <w:t xml:space="preserve">The </w:t>
      </w:r>
      <w:r>
        <w:t>P</w:t>
      </w:r>
      <w:r w:rsidR="006B543B" w:rsidRPr="006B543B">
        <w:t xml:space="preserve">rogressing in </w:t>
      </w:r>
      <w:r>
        <w:t>S</w:t>
      </w:r>
      <w:r w:rsidR="006B543B" w:rsidRPr="006B543B">
        <w:t>chool</w:t>
      </w:r>
      <w:r>
        <w:t xml:space="preserve"> </w:t>
      </w:r>
      <w:r w:rsidR="00E9701C">
        <w:t>improvement index values</w:t>
      </w:r>
      <w:r w:rsidR="00C97499">
        <w:t xml:space="preserve"> indicate that Career Academies</w:t>
      </w:r>
      <w:r>
        <w:t>, with a value of 13,</w:t>
      </w:r>
      <w:r w:rsidR="00C97499">
        <w:t xml:space="preserve"> is more effective for helping student</w:t>
      </w:r>
      <w:r w:rsidR="008841E1">
        <w:t>s</w:t>
      </w:r>
      <w:r w:rsidR="00C97499">
        <w:t xml:space="preserve"> progress in school than Talent Development High Schools</w:t>
      </w:r>
      <w:r>
        <w:t xml:space="preserve">, </w:t>
      </w:r>
      <w:r w:rsidR="00FD345D">
        <w:t>which has</w:t>
      </w:r>
      <w:r>
        <w:t xml:space="preserve"> a value of 7</w:t>
      </w:r>
      <w:r w:rsidR="00440B0A">
        <w:t xml:space="preserve"> (</w:t>
      </w:r>
      <w:r>
        <w:t>P</w:t>
      </w:r>
      <w:r w:rsidR="006B543B" w:rsidRPr="006B543B">
        <w:t xml:space="preserve">rogressing in </w:t>
      </w:r>
      <w:r>
        <w:t>S</w:t>
      </w:r>
      <w:r w:rsidR="006B543B" w:rsidRPr="006B543B">
        <w:t>chool</w:t>
      </w:r>
      <w:r w:rsidR="00440B0A">
        <w:t xml:space="preserve"> outcomes were not measured for First Things First)</w:t>
      </w:r>
      <w:r w:rsidR="008841E1">
        <w:t>.</w:t>
      </w:r>
      <w:r w:rsidR="00ED5DD1">
        <w:t xml:space="preserve"> </w:t>
      </w:r>
      <w:r w:rsidR="00440B0A">
        <w:t xml:space="preserve">The </w:t>
      </w:r>
      <w:r w:rsidR="006B543B" w:rsidRPr="006B543B">
        <w:t>Staying in School</w:t>
      </w:r>
      <w:r w:rsidR="00440B0A">
        <w:t xml:space="preserve"> improvement index values show that Career Academies were more effective for this outcome than First Things First. The </w:t>
      </w:r>
      <w:r>
        <w:rPr>
          <w:u w:val="single"/>
        </w:rPr>
        <w:t>Completing School</w:t>
      </w:r>
      <w:r w:rsidR="00440B0A">
        <w:t xml:space="preserve"> improvement index column shows that Career </w:t>
      </w:r>
      <w:r>
        <w:t xml:space="preserve">Academies </w:t>
      </w:r>
      <w:r w:rsidR="00440B0A">
        <w:t>had a zero impact on completing school</w:t>
      </w:r>
      <w:r w:rsidR="00FD345D">
        <w:t>;</w:t>
      </w:r>
      <w:r w:rsidR="00440B0A">
        <w:t xml:space="preserve"> this outcome was not measured for Talent Development or First Things First.</w:t>
      </w:r>
    </w:p>
    <w:p w:rsidR="0082145B" w:rsidRDefault="009B3297">
      <w:pPr>
        <w:spacing w:after="0"/>
      </w:pPr>
      <w:r w:rsidRPr="009B3297">
        <w:rPr>
          <w:b/>
        </w:rPr>
        <w:lastRenderedPageBreak/>
        <w:t>Table 3.</w:t>
      </w:r>
      <w:r w:rsidR="006E64B2">
        <w:rPr>
          <w:b/>
        </w:rPr>
        <w:t xml:space="preserve"> </w:t>
      </w:r>
      <w:r w:rsidRPr="009B3297">
        <w:rPr>
          <w:b/>
        </w:rPr>
        <w:t>Tier I</w:t>
      </w:r>
      <w:r w:rsidR="00C9422B">
        <w:t xml:space="preserve"> </w:t>
      </w:r>
      <w:r w:rsidR="00C9422B">
        <w:rPr>
          <w:b/>
        </w:rPr>
        <w:t>Dropout Prevention/</w:t>
      </w:r>
      <w:r w:rsidR="001B7948">
        <w:rPr>
          <w:b/>
        </w:rPr>
        <w:t>I</w:t>
      </w:r>
      <w:r w:rsidR="00C9422B">
        <w:rPr>
          <w:b/>
        </w:rPr>
        <w:t xml:space="preserve">ntervention </w:t>
      </w:r>
      <w:r w:rsidR="00C9422B" w:rsidRPr="00930FBE">
        <w:rPr>
          <w:b/>
        </w:rPr>
        <w:t>Program</w:t>
      </w:r>
      <w:r w:rsidR="00C9422B">
        <w:rPr>
          <w:b/>
        </w:rPr>
        <w:t xml:space="preserve"> Effectiveness Results for those </w:t>
      </w:r>
      <w:r w:rsidR="00C9422B" w:rsidRPr="00930FBE">
        <w:rPr>
          <w:b/>
        </w:rPr>
        <w:t>with</w:t>
      </w:r>
      <w:r w:rsidR="00636283">
        <w:rPr>
          <w:b/>
        </w:rPr>
        <w:t xml:space="preserve"> Studies R</w:t>
      </w:r>
      <w:r w:rsidR="00C9422B">
        <w:rPr>
          <w:b/>
        </w:rPr>
        <w:t>eviewed by WWC</w:t>
      </w:r>
    </w:p>
    <w:tbl>
      <w:tblPr>
        <w:tblStyle w:val="TableGrid"/>
        <w:tblW w:w="12348" w:type="dxa"/>
        <w:tblLayout w:type="fixed"/>
        <w:tblLook w:val="04A0"/>
      </w:tblPr>
      <w:tblGrid>
        <w:gridCol w:w="2545"/>
        <w:gridCol w:w="1710"/>
        <w:gridCol w:w="1613"/>
        <w:gridCol w:w="1080"/>
        <w:gridCol w:w="1530"/>
        <w:gridCol w:w="1170"/>
        <w:gridCol w:w="1530"/>
        <w:gridCol w:w="1170"/>
      </w:tblGrid>
      <w:tr w:rsidR="00C9422B" w:rsidTr="00FD345D">
        <w:tc>
          <w:tcPr>
            <w:tcW w:w="2545" w:type="dxa"/>
            <w:vMerge w:val="restart"/>
            <w:shd w:val="clear" w:color="auto" w:fill="D9D9D9" w:themeFill="background1" w:themeFillShade="D9"/>
            <w:tcMar>
              <w:top w:w="29" w:type="dxa"/>
              <w:left w:w="29" w:type="dxa"/>
              <w:bottom w:w="29" w:type="dxa"/>
              <w:right w:w="29" w:type="dxa"/>
            </w:tcMar>
            <w:vAlign w:val="center"/>
          </w:tcPr>
          <w:p w:rsidR="00C9422B" w:rsidRPr="007E7790" w:rsidRDefault="00C9422B" w:rsidP="00C9422B">
            <w:pPr>
              <w:pStyle w:val="ListParagraph"/>
              <w:ind w:left="0"/>
              <w:rPr>
                <w:b/>
              </w:rPr>
            </w:pPr>
          </w:p>
        </w:tc>
        <w:tc>
          <w:tcPr>
            <w:tcW w:w="1710" w:type="dxa"/>
            <w:vMerge w:val="restart"/>
            <w:shd w:val="clear" w:color="auto" w:fill="D9D9D9" w:themeFill="background1" w:themeFillShade="D9"/>
            <w:tcMar>
              <w:top w:w="29" w:type="dxa"/>
              <w:left w:w="29" w:type="dxa"/>
              <w:bottom w:w="29" w:type="dxa"/>
              <w:right w:w="29" w:type="dxa"/>
            </w:tcMar>
            <w:vAlign w:val="center"/>
          </w:tcPr>
          <w:p w:rsidR="00C9422B" w:rsidRPr="001F268C" w:rsidRDefault="00C9422B" w:rsidP="00B5750E">
            <w:pPr>
              <w:jc w:val="center"/>
              <w:rPr>
                <w:b/>
              </w:rPr>
            </w:pPr>
            <w:r>
              <w:rPr>
                <w:b/>
              </w:rPr>
              <w:t xml:space="preserve">Overall </w:t>
            </w:r>
            <w:r w:rsidR="00B5750E">
              <w:rPr>
                <w:b/>
              </w:rPr>
              <w:t xml:space="preserve">Average </w:t>
            </w:r>
            <w:r>
              <w:rPr>
                <w:b/>
              </w:rPr>
              <w:t>Weighted Improvement Index</w:t>
            </w:r>
          </w:p>
        </w:tc>
        <w:tc>
          <w:tcPr>
            <w:tcW w:w="8093" w:type="dxa"/>
            <w:gridSpan w:val="6"/>
            <w:shd w:val="clear" w:color="auto" w:fill="D9D9D9" w:themeFill="background1" w:themeFillShade="D9"/>
            <w:tcMar>
              <w:top w:w="29" w:type="dxa"/>
              <w:left w:w="29" w:type="dxa"/>
              <w:bottom w:w="29" w:type="dxa"/>
              <w:right w:w="29" w:type="dxa"/>
            </w:tcMar>
            <w:vAlign w:val="center"/>
          </w:tcPr>
          <w:p w:rsidR="00C9422B" w:rsidRDefault="00C9422B" w:rsidP="00C9422B">
            <w:pPr>
              <w:pStyle w:val="ListParagraph"/>
              <w:ind w:left="0"/>
              <w:jc w:val="center"/>
              <w:rPr>
                <w:b/>
              </w:rPr>
            </w:pPr>
            <w:r w:rsidRPr="001F268C">
              <w:rPr>
                <w:b/>
              </w:rPr>
              <w:t xml:space="preserve">WWC-reported Improvement Index Values </w:t>
            </w:r>
            <w:r>
              <w:rPr>
                <w:b/>
              </w:rPr>
              <w:t xml:space="preserve">and Extent of Evidence Rating </w:t>
            </w:r>
            <w:r w:rsidRPr="001F268C">
              <w:rPr>
                <w:b/>
              </w:rPr>
              <w:t>by Outcome</w:t>
            </w:r>
          </w:p>
        </w:tc>
      </w:tr>
      <w:tr w:rsidR="00C9422B" w:rsidTr="00FD345D">
        <w:tc>
          <w:tcPr>
            <w:tcW w:w="2545" w:type="dxa"/>
            <w:vMerge/>
            <w:tcBorders>
              <w:bottom w:val="single" w:sz="4" w:space="0" w:color="000000" w:themeColor="text1"/>
            </w:tcBorders>
            <w:shd w:val="clear" w:color="auto" w:fill="D9D9D9" w:themeFill="background1" w:themeFillShade="D9"/>
            <w:tcMar>
              <w:top w:w="29" w:type="dxa"/>
              <w:left w:w="29" w:type="dxa"/>
              <w:bottom w:w="29" w:type="dxa"/>
              <w:right w:w="29" w:type="dxa"/>
            </w:tcMar>
            <w:vAlign w:val="center"/>
          </w:tcPr>
          <w:p w:rsidR="00C9422B" w:rsidRDefault="00C9422B" w:rsidP="00C9422B">
            <w:pPr>
              <w:pStyle w:val="ListParagraph"/>
              <w:ind w:left="0"/>
            </w:pPr>
          </w:p>
        </w:tc>
        <w:tc>
          <w:tcPr>
            <w:tcW w:w="1710" w:type="dxa"/>
            <w:vMerge/>
            <w:shd w:val="clear" w:color="auto" w:fill="D9D9D9" w:themeFill="background1" w:themeFillShade="D9"/>
            <w:tcMar>
              <w:top w:w="29" w:type="dxa"/>
              <w:left w:w="29" w:type="dxa"/>
              <w:bottom w:w="29" w:type="dxa"/>
              <w:right w:w="29" w:type="dxa"/>
            </w:tcMar>
            <w:vAlign w:val="center"/>
          </w:tcPr>
          <w:p w:rsidR="00C9422B" w:rsidRDefault="00C9422B" w:rsidP="00C9422B">
            <w:pPr>
              <w:jc w:val="center"/>
              <w:rPr>
                <w:b/>
              </w:rPr>
            </w:pPr>
          </w:p>
        </w:tc>
        <w:tc>
          <w:tcPr>
            <w:tcW w:w="2693" w:type="dxa"/>
            <w:gridSpan w:val="2"/>
            <w:shd w:val="clear" w:color="auto" w:fill="D9D9D9" w:themeFill="background1" w:themeFillShade="D9"/>
            <w:tcMar>
              <w:top w:w="29" w:type="dxa"/>
              <w:left w:w="29" w:type="dxa"/>
              <w:bottom w:w="29" w:type="dxa"/>
              <w:right w:w="29" w:type="dxa"/>
            </w:tcMar>
            <w:vAlign w:val="center"/>
          </w:tcPr>
          <w:p w:rsidR="00C9422B" w:rsidRPr="001F268C" w:rsidRDefault="00C9422B" w:rsidP="00C9422B">
            <w:pPr>
              <w:jc w:val="center"/>
              <w:rPr>
                <w:b/>
              </w:rPr>
            </w:pPr>
            <w:r>
              <w:rPr>
                <w:b/>
              </w:rPr>
              <w:t>Progressing in S</w:t>
            </w:r>
            <w:r w:rsidRPr="001F268C">
              <w:rPr>
                <w:b/>
              </w:rPr>
              <w:t>chool</w:t>
            </w:r>
          </w:p>
        </w:tc>
        <w:tc>
          <w:tcPr>
            <w:tcW w:w="2700" w:type="dxa"/>
            <w:gridSpan w:val="2"/>
            <w:shd w:val="clear" w:color="auto" w:fill="D9D9D9" w:themeFill="background1" w:themeFillShade="D9"/>
            <w:tcMar>
              <w:top w:w="29" w:type="dxa"/>
              <w:left w:w="29" w:type="dxa"/>
              <w:bottom w:w="29" w:type="dxa"/>
              <w:right w:w="29" w:type="dxa"/>
            </w:tcMar>
            <w:vAlign w:val="center"/>
          </w:tcPr>
          <w:p w:rsidR="00C9422B" w:rsidRPr="001F268C" w:rsidRDefault="00C9422B" w:rsidP="00C80C71">
            <w:pPr>
              <w:jc w:val="center"/>
              <w:rPr>
                <w:b/>
              </w:rPr>
            </w:pPr>
            <w:r w:rsidRPr="001F268C">
              <w:rPr>
                <w:b/>
              </w:rPr>
              <w:t xml:space="preserve">Staying in </w:t>
            </w:r>
            <w:r>
              <w:rPr>
                <w:b/>
              </w:rPr>
              <w:t>S</w:t>
            </w:r>
            <w:r w:rsidRPr="001F268C">
              <w:rPr>
                <w:b/>
              </w:rPr>
              <w:t>chool</w:t>
            </w:r>
          </w:p>
        </w:tc>
        <w:tc>
          <w:tcPr>
            <w:tcW w:w="2700" w:type="dxa"/>
            <w:gridSpan w:val="2"/>
            <w:shd w:val="clear" w:color="auto" w:fill="D9D9D9" w:themeFill="background1" w:themeFillShade="D9"/>
            <w:tcMar>
              <w:top w:w="29" w:type="dxa"/>
              <w:left w:w="29" w:type="dxa"/>
              <w:bottom w:w="29" w:type="dxa"/>
              <w:right w:w="29" w:type="dxa"/>
            </w:tcMar>
            <w:vAlign w:val="center"/>
          </w:tcPr>
          <w:p w:rsidR="00C9422B" w:rsidRDefault="00C9422B" w:rsidP="00C9422B">
            <w:pPr>
              <w:jc w:val="center"/>
              <w:rPr>
                <w:b/>
              </w:rPr>
            </w:pPr>
            <w:r w:rsidRPr="001F268C">
              <w:rPr>
                <w:b/>
              </w:rPr>
              <w:t>Completing school</w:t>
            </w:r>
          </w:p>
        </w:tc>
      </w:tr>
      <w:tr w:rsidR="00C9422B" w:rsidTr="00FD345D">
        <w:tc>
          <w:tcPr>
            <w:tcW w:w="2545" w:type="dxa"/>
            <w:vMerge/>
            <w:tcBorders>
              <w:bottom w:val="single" w:sz="4" w:space="0" w:color="000000" w:themeColor="text1"/>
            </w:tcBorders>
            <w:shd w:val="clear" w:color="auto" w:fill="D9D9D9" w:themeFill="background1" w:themeFillShade="D9"/>
            <w:tcMar>
              <w:top w:w="29" w:type="dxa"/>
              <w:left w:w="29" w:type="dxa"/>
              <w:bottom w:w="29" w:type="dxa"/>
              <w:right w:w="29" w:type="dxa"/>
            </w:tcMar>
            <w:vAlign w:val="center"/>
          </w:tcPr>
          <w:p w:rsidR="00C9422B" w:rsidRDefault="00C9422B" w:rsidP="00C9422B">
            <w:pPr>
              <w:pStyle w:val="ListParagraph"/>
              <w:ind w:left="0"/>
            </w:pPr>
          </w:p>
        </w:tc>
        <w:tc>
          <w:tcPr>
            <w:tcW w:w="1710" w:type="dxa"/>
            <w:vMerge/>
            <w:shd w:val="clear" w:color="auto" w:fill="F2F2F2" w:themeFill="background1" w:themeFillShade="F2"/>
            <w:tcMar>
              <w:top w:w="29" w:type="dxa"/>
              <w:left w:w="29" w:type="dxa"/>
              <w:bottom w:w="29" w:type="dxa"/>
              <w:right w:w="29" w:type="dxa"/>
            </w:tcMar>
            <w:vAlign w:val="center"/>
          </w:tcPr>
          <w:p w:rsidR="00C9422B" w:rsidRDefault="00C9422B" w:rsidP="00C9422B">
            <w:pPr>
              <w:jc w:val="center"/>
              <w:rPr>
                <w:b/>
              </w:rPr>
            </w:pPr>
          </w:p>
        </w:tc>
        <w:tc>
          <w:tcPr>
            <w:tcW w:w="1613" w:type="dxa"/>
            <w:shd w:val="clear" w:color="auto" w:fill="F2F2F2" w:themeFill="background1" w:themeFillShade="F2"/>
            <w:tcMar>
              <w:top w:w="29" w:type="dxa"/>
              <w:left w:w="29" w:type="dxa"/>
              <w:bottom w:w="29" w:type="dxa"/>
              <w:right w:w="29" w:type="dxa"/>
            </w:tcMar>
            <w:vAlign w:val="center"/>
          </w:tcPr>
          <w:p w:rsidR="00C9422B" w:rsidRPr="001F268C" w:rsidRDefault="00C9422B" w:rsidP="00C9422B">
            <w:pPr>
              <w:jc w:val="center"/>
              <w:rPr>
                <w:b/>
              </w:rPr>
            </w:pPr>
            <w:r>
              <w:rPr>
                <w:b/>
              </w:rPr>
              <w:t>Improvement Index</w:t>
            </w:r>
          </w:p>
        </w:tc>
        <w:tc>
          <w:tcPr>
            <w:tcW w:w="1080" w:type="dxa"/>
            <w:shd w:val="clear" w:color="auto" w:fill="F2F2F2" w:themeFill="background1" w:themeFillShade="F2"/>
            <w:tcMar>
              <w:top w:w="29" w:type="dxa"/>
              <w:left w:w="29" w:type="dxa"/>
              <w:bottom w:w="29" w:type="dxa"/>
              <w:right w:w="29" w:type="dxa"/>
            </w:tcMar>
            <w:vAlign w:val="center"/>
          </w:tcPr>
          <w:p w:rsidR="00C9422B" w:rsidRPr="001F268C" w:rsidRDefault="00C9422B" w:rsidP="00C9422B">
            <w:pPr>
              <w:jc w:val="center"/>
              <w:rPr>
                <w:b/>
              </w:rPr>
            </w:pPr>
            <w:r>
              <w:rPr>
                <w:b/>
              </w:rPr>
              <w:t>Extent of Evidence</w:t>
            </w:r>
          </w:p>
        </w:tc>
        <w:tc>
          <w:tcPr>
            <w:tcW w:w="1530" w:type="dxa"/>
            <w:shd w:val="clear" w:color="auto" w:fill="F2F2F2" w:themeFill="background1" w:themeFillShade="F2"/>
            <w:tcMar>
              <w:top w:w="29" w:type="dxa"/>
              <w:left w:w="29" w:type="dxa"/>
              <w:bottom w:w="29" w:type="dxa"/>
              <w:right w:w="29" w:type="dxa"/>
            </w:tcMar>
            <w:vAlign w:val="center"/>
          </w:tcPr>
          <w:p w:rsidR="00C9422B" w:rsidRPr="001F268C" w:rsidRDefault="00C9422B" w:rsidP="00C9422B">
            <w:pPr>
              <w:jc w:val="center"/>
              <w:rPr>
                <w:b/>
              </w:rPr>
            </w:pPr>
            <w:r>
              <w:rPr>
                <w:b/>
              </w:rPr>
              <w:t>Improvement Index</w:t>
            </w:r>
          </w:p>
        </w:tc>
        <w:tc>
          <w:tcPr>
            <w:tcW w:w="1170" w:type="dxa"/>
            <w:shd w:val="clear" w:color="auto" w:fill="F2F2F2" w:themeFill="background1" w:themeFillShade="F2"/>
            <w:tcMar>
              <w:top w:w="29" w:type="dxa"/>
              <w:left w:w="29" w:type="dxa"/>
              <w:bottom w:w="29" w:type="dxa"/>
              <w:right w:w="29" w:type="dxa"/>
            </w:tcMar>
            <w:vAlign w:val="center"/>
          </w:tcPr>
          <w:p w:rsidR="00C9422B" w:rsidRPr="001F268C" w:rsidRDefault="00C9422B" w:rsidP="00C9422B">
            <w:pPr>
              <w:jc w:val="center"/>
              <w:rPr>
                <w:b/>
              </w:rPr>
            </w:pPr>
            <w:r>
              <w:rPr>
                <w:b/>
              </w:rPr>
              <w:t>Extent of Evidence</w:t>
            </w:r>
          </w:p>
        </w:tc>
        <w:tc>
          <w:tcPr>
            <w:tcW w:w="1530" w:type="dxa"/>
            <w:shd w:val="clear" w:color="auto" w:fill="F2F2F2" w:themeFill="background1" w:themeFillShade="F2"/>
            <w:tcMar>
              <w:top w:w="29" w:type="dxa"/>
              <w:left w:w="29" w:type="dxa"/>
              <w:bottom w:w="29" w:type="dxa"/>
              <w:right w:w="29" w:type="dxa"/>
            </w:tcMar>
            <w:vAlign w:val="center"/>
          </w:tcPr>
          <w:p w:rsidR="00C9422B" w:rsidRPr="001F268C" w:rsidRDefault="00C9422B" w:rsidP="00C9422B">
            <w:pPr>
              <w:jc w:val="center"/>
              <w:rPr>
                <w:b/>
              </w:rPr>
            </w:pPr>
            <w:r>
              <w:rPr>
                <w:b/>
              </w:rPr>
              <w:t>Improvement Index</w:t>
            </w:r>
          </w:p>
        </w:tc>
        <w:tc>
          <w:tcPr>
            <w:tcW w:w="1170" w:type="dxa"/>
            <w:shd w:val="clear" w:color="auto" w:fill="F2F2F2" w:themeFill="background1" w:themeFillShade="F2"/>
            <w:tcMar>
              <w:top w:w="29" w:type="dxa"/>
              <w:left w:w="29" w:type="dxa"/>
              <w:bottom w:w="29" w:type="dxa"/>
              <w:right w:w="29" w:type="dxa"/>
            </w:tcMar>
            <w:vAlign w:val="center"/>
          </w:tcPr>
          <w:p w:rsidR="00C9422B" w:rsidRPr="001F268C" w:rsidRDefault="00C9422B" w:rsidP="00C9422B">
            <w:pPr>
              <w:jc w:val="center"/>
              <w:rPr>
                <w:b/>
              </w:rPr>
            </w:pPr>
            <w:r>
              <w:rPr>
                <w:b/>
              </w:rPr>
              <w:t>Extent of Evidence</w:t>
            </w:r>
          </w:p>
        </w:tc>
      </w:tr>
      <w:tr w:rsidR="00A248E2" w:rsidTr="00FD345D">
        <w:trPr>
          <w:trHeight w:val="332"/>
        </w:trPr>
        <w:tc>
          <w:tcPr>
            <w:tcW w:w="2545" w:type="dxa"/>
            <w:shd w:val="clear" w:color="auto" w:fill="FFFFFF" w:themeFill="background1"/>
            <w:tcMar>
              <w:top w:w="29" w:type="dxa"/>
              <w:left w:w="29" w:type="dxa"/>
              <w:bottom w:w="29" w:type="dxa"/>
              <w:right w:w="29" w:type="dxa"/>
            </w:tcMar>
            <w:vAlign w:val="center"/>
          </w:tcPr>
          <w:p w:rsidR="0082145B" w:rsidRDefault="00A248E2">
            <w:pPr>
              <w:jc w:val="center"/>
              <w:rPr>
                <w:rFonts w:ascii="Calibri" w:eastAsiaTheme="majorEastAsia" w:hAnsi="Calibri" w:cstheme="majorBidi"/>
                <w:b/>
                <w:bCs/>
                <w:color w:val="000000"/>
                <w:sz w:val="28"/>
                <w:szCs w:val="28"/>
              </w:rPr>
            </w:pPr>
            <w:r>
              <w:rPr>
                <w:rFonts w:ascii="Calibri" w:hAnsi="Calibri"/>
                <w:color w:val="000000"/>
              </w:rPr>
              <w:t>Career Academies</w:t>
            </w:r>
          </w:p>
        </w:tc>
        <w:tc>
          <w:tcPr>
            <w:tcW w:w="1710" w:type="dxa"/>
            <w:shd w:val="clear" w:color="auto" w:fill="FFFFFF" w:themeFill="background1"/>
            <w:tcMar>
              <w:top w:w="29" w:type="dxa"/>
              <w:left w:w="29" w:type="dxa"/>
              <w:bottom w:w="29" w:type="dxa"/>
              <w:right w:w="29" w:type="dxa"/>
            </w:tcMar>
            <w:vAlign w:val="center"/>
          </w:tcPr>
          <w:p w:rsidR="00A248E2" w:rsidRDefault="00A248E2" w:rsidP="00C9422B">
            <w:pPr>
              <w:jc w:val="center"/>
              <w:rPr>
                <w:rFonts w:ascii="Calibri" w:hAnsi="Calibri"/>
                <w:color w:val="000000"/>
              </w:rPr>
            </w:pPr>
            <w:r>
              <w:rPr>
                <w:rFonts w:ascii="Calibri" w:hAnsi="Calibri"/>
                <w:color w:val="000000"/>
              </w:rPr>
              <w:t>8.67</w:t>
            </w:r>
          </w:p>
        </w:tc>
        <w:tc>
          <w:tcPr>
            <w:tcW w:w="1613" w:type="dxa"/>
            <w:shd w:val="clear" w:color="auto" w:fill="FFFFFF" w:themeFill="background1"/>
            <w:tcMar>
              <w:top w:w="29" w:type="dxa"/>
              <w:left w:w="29" w:type="dxa"/>
              <w:bottom w:w="29" w:type="dxa"/>
              <w:right w:w="29" w:type="dxa"/>
            </w:tcMar>
            <w:vAlign w:val="center"/>
          </w:tcPr>
          <w:p w:rsidR="00A248E2" w:rsidRDefault="00A248E2" w:rsidP="00C9422B">
            <w:pPr>
              <w:jc w:val="center"/>
              <w:rPr>
                <w:rFonts w:ascii="Calibri" w:hAnsi="Calibri"/>
                <w:color w:val="000000"/>
              </w:rPr>
            </w:pPr>
            <w:r>
              <w:rPr>
                <w:rFonts w:ascii="Calibri" w:hAnsi="Calibri"/>
                <w:color w:val="000000"/>
              </w:rPr>
              <w:t>13</w:t>
            </w:r>
          </w:p>
        </w:tc>
        <w:tc>
          <w:tcPr>
            <w:tcW w:w="1080" w:type="dxa"/>
            <w:shd w:val="clear" w:color="auto" w:fill="FFFFFF" w:themeFill="background1"/>
            <w:tcMar>
              <w:top w:w="29" w:type="dxa"/>
              <w:left w:w="29" w:type="dxa"/>
              <w:bottom w:w="29" w:type="dxa"/>
              <w:right w:w="29" w:type="dxa"/>
            </w:tcMar>
            <w:vAlign w:val="center"/>
          </w:tcPr>
          <w:p w:rsidR="00A248E2" w:rsidRDefault="00A248E2" w:rsidP="00C9422B">
            <w:pPr>
              <w:jc w:val="center"/>
              <w:rPr>
                <w:rFonts w:ascii="Calibri" w:hAnsi="Calibri"/>
                <w:color w:val="000000"/>
              </w:rPr>
            </w:pPr>
            <w:r>
              <w:rPr>
                <w:rFonts w:ascii="Calibri" w:hAnsi="Calibri"/>
                <w:color w:val="000000"/>
              </w:rPr>
              <w:t>1</w:t>
            </w:r>
          </w:p>
        </w:tc>
        <w:tc>
          <w:tcPr>
            <w:tcW w:w="1530" w:type="dxa"/>
            <w:shd w:val="clear" w:color="auto" w:fill="FFFFFF" w:themeFill="background1"/>
            <w:tcMar>
              <w:top w:w="29" w:type="dxa"/>
              <w:left w:w="29" w:type="dxa"/>
              <w:bottom w:w="29" w:type="dxa"/>
              <w:right w:w="29" w:type="dxa"/>
            </w:tcMar>
            <w:vAlign w:val="center"/>
          </w:tcPr>
          <w:p w:rsidR="00A248E2" w:rsidRDefault="00A248E2" w:rsidP="00C9422B">
            <w:pPr>
              <w:jc w:val="center"/>
              <w:rPr>
                <w:rFonts w:ascii="Calibri" w:hAnsi="Calibri"/>
                <w:color w:val="000000"/>
              </w:rPr>
            </w:pPr>
            <w:r>
              <w:rPr>
                <w:rFonts w:ascii="Calibri" w:hAnsi="Calibri"/>
                <w:color w:val="000000"/>
              </w:rPr>
              <w:t>13</w:t>
            </w:r>
          </w:p>
        </w:tc>
        <w:tc>
          <w:tcPr>
            <w:tcW w:w="1170" w:type="dxa"/>
            <w:shd w:val="clear" w:color="auto" w:fill="FFFFFF" w:themeFill="background1"/>
            <w:tcMar>
              <w:top w:w="29" w:type="dxa"/>
              <w:left w:w="29" w:type="dxa"/>
              <w:bottom w:w="29" w:type="dxa"/>
              <w:right w:w="29" w:type="dxa"/>
            </w:tcMar>
            <w:vAlign w:val="center"/>
          </w:tcPr>
          <w:p w:rsidR="00A248E2" w:rsidRDefault="00A248E2" w:rsidP="00C9422B">
            <w:pPr>
              <w:jc w:val="center"/>
              <w:rPr>
                <w:rFonts w:ascii="Calibri" w:hAnsi="Calibri"/>
                <w:color w:val="000000"/>
              </w:rPr>
            </w:pPr>
            <w:r>
              <w:rPr>
                <w:rFonts w:ascii="Calibri" w:hAnsi="Calibri"/>
                <w:color w:val="000000"/>
              </w:rPr>
              <w:t>1</w:t>
            </w:r>
          </w:p>
        </w:tc>
        <w:tc>
          <w:tcPr>
            <w:tcW w:w="1530" w:type="dxa"/>
            <w:shd w:val="clear" w:color="auto" w:fill="FFFFFF" w:themeFill="background1"/>
            <w:tcMar>
              <w:top w:w="29" w:type="dxa"/>
              <w:left w:w="29" w:type="dxa"/>
              <w:bottom w:w="29" w:type="dxa"/>
              <w:right w:w="29" w:type="dxa"/>
            </w:tcMar>
            <w:vAlign w:val="center"/>
          </w:tcPr>
          <w:p w:rsidR="00A248E2" w:rsidRDefault="00A248E2" w:rsidP="00C9422B">
            <w:pPr>
              <w:jc w:val="center"/>
              <w:rPr>
                <w:rFonts w:ascii="Calibri" w:hAnsi="Calibri"/>
                <w:color w:val="000000"/>
              </w:rPr>
            </w:pPr>
            <w:r>
              <w:rPr>
                <w:rFonts w:ascii="Calibri" w:hAnsi="Calibri"/>
                <w:color w:val="000000"/>
              </w:rPr>
              <w:t>0</w:t>
            </w:r>
          </w:p>
        </w:tc>
        <w:tc>
          <w:tcPr>
            <w:tcW w:w="1170" w:type="dxa"/>
            <w:shd w:val="clear" w:color="auto" w:fill="FFFFFF" w:themeFill="background1"/>
            <w:tcMar>
              <w:top w:w="29" w:type="dxa"/>
              <w:left w:w="29" w:type="dxa"/>
              <w:bottom w:w="29" w:type="dxa"/>
              <w:right w:w="29" w:type="dxa"/>
            </w:tcMar>
            <w:vAlign w:val="center"/>
          </w:tcPr>
          <w:p w:rsidR="00A248E2" w:rsidRDefault="00A248E2" w:rsidP="00C9422B">
            <w:pPr>
              <w:jc w:val="center"/>
              <w:rPr>
                <w:rFonts w:ascii="Calibri" w:hAnsi="Calibri"/>
                <w:color w:val="000000"/>
              </w:rPr>
            </w:pPr>
            <w:r>
              <w:rPr>
                <w:rFonts w:ascii="Calibri" w:hAnsi="Calibri"/>
                <w:color w:val="000000"/>
              </w:rPr>
              <w:t>1</w:t>
            </w:r>
          </w:p>
        </w:tc>
      </w:tr>
      <w:tr w:rsidR="00A248E2" w:rsidTr="00FD345D">
        <w:tc>
          <w:tcPr>
            <w:tcW w:w="2545" w:type="dxa"/>
            <w:shd w:val="clear" w:color="auto" w:fill="FFFFFF" w:themeFill="background1"/>
            <w:tcMar>
              <w:top w:w="29" w:type="dxa"/>
              <w:left w:w="29" w:type="dxa"/>
              <w:bottom w:w="29" w:type="dxa"/>
              <w:right w:w="29" w:type="dxa"/>
            </w:tcMar>
            <w:vAlign w:val="center"/>
          </w:tcPr>
          <w:p w:rsidR="0082145B" w:rsidRDefault="00A248E2">
            <w:pPr>
              <w:jc w:val="center"/>
              <w:rPr>
                <w:rFonts w:ascii="Calibri" w:hAnsi="Calibri"/>
                <w:color w:val="000000"/>
              </w:rPr>
            </w:pPr>
            <w:r>
              <w:rPr>
                <w:rFonts w:ascii="Calibri" w:hAnsi="Calibri"/>
                <w:color w:val="000000"/>
              </w:rPr>
              <w:t>Talent Development High Schools</w:t>
            </w:r>
          </w:p>
        </w:tc>
        <w:tc>
          <w:tcPr>
            <w:tcW w:w="1710" w:type="dxa"/>
            <w:shd w:val="clear" w:color="auto" w:fill="FFFFFF" w:themeFill="background1"/>
            <w:tcMar>
              <w:top w:w="29" w:type="dxa"/>
              <w:left w:w="29" w:type="dxa"/>
              <w:bottom w:w="29" w:type="dxa"/>
              <w:right w:w="29" w:type="dxa"/>
            </w:tcMar>
            <w:vAlign w:val="center"/>
          </w:tcPr>
          <w:p w:rsidR="00A248E2" w:rsidRDefault="00A248E2" w:rsidP="00C9422B">
            <w:pPr>
              <w:jc w:val="center"/>
              <w:rPr>
                <w:rFonts w:ascii="Calibri" w:hAnsi="Calibri"/>
                <w:color w:val="000000"/>
              </w:rPr>
            </w:pPr>
            <w:r>
              <w:rPr>
                <w:rFonts w:ascii="Calibri" w:hAnsi="Calibri"/>
                <w:color w:val="000000"/>
              </w:rPr>
              <w:t>7.00</w:t>
            </w:r>
          </w:p>
        </w:tc>
        <w:tc>
          <w:tcPr>
            <w:tcW w:w="1613" w:type="dxa"/>
            <w:shd w:val="clear" w:color="auto" w:fill="FFFFFF" w:themeFill="background1"/>
            <w:tcMar>
              <w:top w:w="29" w:type="dxa"/>
              <w:left w:w="29" w:type="dxa"/>
              <w:bottom w:w="29" w:type="dxa"/>
              <w:right w:w="29" w:type="dxa"/>
            </w:tcMar>
            <w:vAlign w:val="center"/>
          </w:tcPr>
          <w:p w:rsidR="00A248E2" w:rsidRDefault="00A248E2" w:rsidP="00C9422B">
            <w:pPr>
              <w:jc w:val="center"/>
              <w:rPr>
                <w:rFonts w:ascii="Calibri" w:hAnsi="Calibri"/>
                <w:color w:val="000000"/>
              </w:rPr>
            </w:pPr>
            <w:r>
              <w:rPr>
                <w:rFonts w:ascii="Calibri" w:hAnsi="Calibri"/>
                <w:color w:val="000000"/>
              </w:rPr>
              <w:t>7</w:t>
            </w:r>
          </w:p>
        </w:tc>
        <w:tc>
          <w:tcPr>
            <w:tcW w:w="1080" w:type="dxa"/>
            <w:shd w:val="clear" w:color="auto" w:fill="FFFFFF" w:themeFill="background1"/>
            <w:tcMar>
              <w:top w:w="29" w:type="dxa"/>
              <w:left w:w="29" w:type="dxa"/>
              <w:bottom w:w="29" w:type="dxa"/>
              <w:right w:w="29" w:type="dxa"/>
            </w:tcMar>
            <w:vAlign w:val="center"/>
          </w:tcPr>
          <w:p w:rsidR="00A248E2" w:rsidRDefault="00A248E2" w:rsidP="00C9422B">
            <w:pPr>
              <w:jc w:val="center"/>
              <w:rPr>
                <w:rFonts w:ascii="Calibri" w:hAnsi="Calibri"/>
                <w:color w:val="000000"/>
              </w:rPr>
            </w:pPr>
            <w:r>
              <w:rPr>
                <w:rFonts w:ascii="Calibri" w:hAnsi="Calibri"/>
                <w:color w:val="000000"/>
              </w:rPr>
              <w:t>1</w:t>
            </w:r>
          </w:p>
        </w:tc>
        <w:tc>
          <w:tcPr>
            <w:tcW w:w="1530" w:type="dxa"/>
            <w:shd w:val="clear" w:color="auto" w:fill="FFFFFF" w:themeFill="background1"/>
            <w:tcMar>
              <w:top w:w="29" w:type="dxa"/>
              <w:left w:w="29" w:type="dxa"/>
              <w:bottom w:w="29" w:type="dxa"/>
              <w:right w:w="29" w:type="dxa"/>
            </w:tcMar>
            <w:vAlign w:val="center"/>
          </w:tcPr>
          <w:p w:rsidR="00A248E2" w:rsidRDefault="00A248E2" w:rsidP="00C9422B">
            <w:pPr>
              <w:jc w:val="center"/>
              <w:rPr>
                <w:rFonts w:ascii="Calibri" w:hAnsi="Calibri"/>
                <w:color w:val="000000"/>
              </w:rPr>
            </w:pPr>
          </w:p>
        </w:tc>
        <w:tc>
          <w:tcPr>
            <w:tcW w:w="1170" w:type="dxa"/>
            <w:shd w:val="clear" w:color="auto" w:fill="FFFFFF" w:themeFill="background1"/>
            <w:tcMar>
              <w:top w:w="29" w:type="dxa"/>
              <w:left w:w="29" w:type="dxa"/>
              <w:bottom w:w="29" w:type="dxa"/>
              <w:right w:w="29" w:type="dxa"/>
            </w:tcMar>
            <w:vAlign w:val="center"/>
          </w:tcPr>
          <w:p w:rsidR="00A248E2" w:rsidRDefault="00A248E2" w:rsidP="00C9422B">
            <w:pPr>
              <w:jc w:val="center"/>
              <w:rPr>
                <w:rFonts w:ascii="Calibri" w:hAnsi="Calibri"/>
                <w:color w:val="000000"/>
              </w:rPr>
            </w:pPr>
          </w:p>
        </w:tc>
        <w:tc>
          <w:tcPr>
            <w:tcW w:w="1530" w:type="dxa"/>
            <w:shd w:val="clear" w:color="auto" w:fill="FFFFFF" w:themeFill="background1"/>
            <w:tcMar>
              <w:top w:w="29" w:type="dxa"/>
              <w:left w:w="29" w:type="dxa"/>
              <w:bottom w:w="29" w:type="dxa"/>
              <w:right w:w="29" w:type="dxa"/>
            </w:tcMar>
            <w:vAlign w:val="center"/>
          </w:tcPr>
          <w:p w:rsidR="00A248E2" w:rsidRDefault="00A248E2" w:rsidP="00C9422B">
            <w:pPr>
              <w:jc w:val="center"/>
              <w:rPr>
                <w:rFonts w:ascii="Calibri" w:hAnsi="Calibri"/>
                <w:color w:val="000000"/>
              </w:rPr>
            </w:pPr>
          </w:p>
        </w:tc>
        <w:tc>
          <w:tcPr>
            <w:tcW w:w="1170" w:type="dxa"/>
            <w:shd w:val="clear" w:color="auto" w:fill="FFFFFF" w:themeFill="background1"/>
            <w:tcMar>
              <w:top w:w="29" w:type="dxa"/>
              <w:left w:w="29" w:type="dxa"/>
              <w:bottom w:w="29" w:type="dxa"/>
              <w:right w:w="29" w:type="dxa"/>
            </w:tcMar>
            <w:vAlign w:val="center"/>
          </w:tcPr>
          <w:p w:rsidR="00A248E2" w:rsidRDefault="00A248E2" w:rsidP="00C9422B">
            <w:pPr>
              <w:jc w:val="center"/>
              <w:rPr>
                <w:rFonts w:ascii="Calibri" w:hAnsi="Calibri"/>
                <w:color w:val="000000"/>
              </w:rPr>
            </w:pPr>
          </w:p>
        </w:tc>
      </w:tr>
      <w:tr w:rsidR="00A248E2" w:rsidTr="00FD345D">
        <w:tc>
          <w:tcPr>
            <w:tcW w:w="2545" w:type="dxa"/>
            <w:shd w:val="clear" w:color="auto" w:fill="FFFFFF" w:themeFill="background1"/>
            <w:tcMar>
              <w:top w:w="29" w:type="dxa"/>
              <w:left w:w="29" w:type="dxa"/>
              <w:bottom w:w="29" w:type="dxa"/>
              <w:right w:w="29" w:type="dxa"/>
            </w:tcMar>
            <w:vAlign w:val="center"/>
          </w:tcPr>
          <w:p w:rsidR="0082145B" w:rsidRDefault="00A248E2">
            <w:pPr>
              <w:jc w:val="center"/>
              <w:rPr>
                <w:rFonts w:ascii="Calibri" w:eastAsiaTheme="majorEastAsia" w:hAnsi="Calibri" w:cstheme="majorBidi"/>
                <w:b/>
                <w:bCs/>
                <w:color w:val="000000"/>
                <w:sz w:val="28"/>
                <w:szCs w:val="28"/>
              </w:rPr>
            </w:pPr>
            <w:r>
              <w:rPr>
                <w:rFonts w:ascii="Calibri" w:hAnsi="Calibri"/>
                <w:color w:val="000000"/>
              </w:rPr>
              <w:t>First Things First</w:t>
            </w:r>
          </w:p>
        </w:tc>
        <w:tc>
          <w:tcPr>
            <w:tcW w:w="1710" w:type="dxa"/>
            <w:shd w:val="clear" w:color="auto" w:fill="FFFFFF" w:themeFill="background1"/>
            <w:tcMar>
              <w:top w:w="29" w:type="dxa"/>
              <w:left w:w="29" w:type="dxa"/>
              <w:bottom w:w="29" w:type="dxa"/>
              <w:right w:w="29" w:type="dxa"/>
            </w:tcMar>
            <w:vAlign w:val="center"/>
          </w:tcPr>
          <w:p w:rsidR="00A248E2" w:rsidRDefault="00A248E2" w:rsidP="00C9422B">
            <w:pPr>
              <w:jc w:val="center"/>
              <w:rPr>
                <w:rFonts w:ascii="Calibri" w:hAnsi="Calibri"/>
                <w:color w:val="000000"/>
              </w:rPr>
            </w:pPr>
            <w:r>
              <w:rPr>
                <w:rFonts w:ascii="Calibri" w:hAnsi="Calibri"/>
                <w:color w:val="000000"/>
              </w:rPr>
              <w:t>-1.00</w:t>
            </w:r>
          </w:p>
        </w:tc>
        <w:tc>
          <w:tcPr>
            <w:tcW w:w="1613" w:type="dxa"/>
            <w:shd w:val="clear" w:color="auto" w:fill="FFFFFF" w:themeFill="background1"/>
            <w:tcMar>
              <w:top w:w="29" w:type="dxa"/>
              <w:left w:w="29" w:type="dxa"/>
              <w:bottom w:w="29" w:type="dxa"/>
              <w:right w:w="29" w:type="dxa"/>
            </w:tcMar>
            <w:vAlign w:val="center"/>
          </w:tcPr>
          <w:p w:rsidR="00A248E2" w:rsidRDefault="00A248E2" w:rsidP="00C9422B">
            <w:pPr>
              <w:jc w:val="center"/>
              <w:rPr>
                <w:rFonts w:ascii="Calibri" w:hAnsi="Calibri"/>
                <w:color w:val="000000"/>
              </w:rPr>
            </w:pPr>
          </w:p>
        </w:tc>
        <w:tc>
          <w:tcPr>
            <w:tcW w:w="1080" w:type="dxa"/>
            <w:shd w:val="clear" w:color="auto" w:fill="FFFFFF" w:themeFill="background1"/>
            <w:tcMar>
              <w:top w:w="29" w:type="dxa"/>
              <w:left w:w="29" w:type="dxa"/>
              <w:bottom w:w="29" w:type="dxa"/>
              <w:right w:w="29" w:type="dxa"/>
            </w:tcMar>
            <w:vAlign w:val="center"/>
          </w:tcPr>
          <w:p w:rsidR="00A248E2" w:rsidRDefault="00A248E2" w:rsidP="00C9422B">
            <w:pPr>
              <w:jc w:val="center"/>
              <w:rPr>
                <w:rFonts w:ascii="Calibri" w:hAnsi="Calibri"/>
                <w:color w:val="000000"/>
              </w:rPr>
            </w:pPr>
          </w:p>
        </w:tc>
        <w:tc>
          <w:tcPr>
            <w:tcW w:w="1530" w:type="dxa"/>
            <w:shd w:val="clear" w:color="auto" w:fill="FFFFFF" w:themeFill="background1"/>
            <w:tcMar>
              <w:top w:w="29" w:type="dxa"/>
              <w:left w:w="29" w:type="dxa"/>
              <w:bottom w:w="29" w:type="dxa"/>
              <w:right w:w="29" w:type="dxa"/>
            </w:tcMar>
            <w:vAlign w:val="center"/>
          </w:tcPr>
          <w:p w:rsidR="00A248E2" w:rsidRDefault="00A248E2" w:rsidP="00C9422B">
            <w:pPr>
              <w:jc w:val="center"/>
              <w:rPr>
                <w:rFonts w:ascii="Calibri" w:hAnsi="Calibri"/>
                <w:color w:val="000000"/>
              </w:rPr>
            </w:pPr>
            <w:r>
              <w:rPr>
                <w:rFonts w:ascii="Calibri" w:hAnsi="Calibri"/>
                <w:color w:val="000000"/>
              </w:rPr>
              <w:t>-1</w:t>
            </w:r>
          </w:p>
        </w:tc>
        <w:tc>
          <w:tcPr>
            <w:tcW w:w="1170" w:type="dxa"/>
            <w:shd w:val="clear" w:color="auto" w:fill="FFFFFF" w:themeFill="background1"/>
            <w:tcMar>
              <w:top w:w="29" w:type="dxa"/>
              <w:left w:w="29" w:type="dxa"/>
              <w:bottom w:w="29" w:type="dxa"/>
              <w:right w:w="29" w:type="dxa"/>
            </w:tcMar>
            <w:vAlign w:val="center"/>
          </w:tcPr>
          <w:p w:rsidR="00A248E2" w:rsidRDefault="00A248E2" w:rsidP="00C9422B">
            <w:pPr>
              <w:jc w:val="center"/>
              <w:rPr>
                <w:rFonts w:ascii="Calibri" w:hAnsi="Calibri"/>
                <w:color w:val="000000"/>
              </w:rPr>
            </w:pPr>
            <w:r>
              <w:rPr>
                <w:rFonts w:ascii="Calibri" w:hAnsi="Calibri"/>
                <w:color w:val="000000"/>
              </w:rPr>
              <w:t>1</w:t>
            </w:r>
          </w:p>
        </w:tc>
        <w:tc>
          <w:tcPr>
            <w:tcW w:w="1530" w:type="dxa"/>
            <w:shd w:val="clear" w:color="auto" w:fill="FFFFFF" w:themeFill="background1"/>
            <w:tcMar>
              <w:top w:w="29" w:type="dxa"/>
              <w:left w:w="29" w:type="dxa"/>
              <w:bottom w:w="29" w:type="dxa"/>
              <w:right w:w="29" w:type="dxa"/>
            </w:tcMar>
            <w:vAlign w:val="center"/>
          </w:tcPr>
          <w:p w:rsidR="00A248E2" w:rsidRDefault="00A248E2" w:rsidP="00C9422B">
            <w:pPr>
              <w:jc w:val="center"/>
              <w:rPr>
                <w:rFonts w:ascii="Calibri" w:hAnsi="Calibri"/>
                <w:color w:val="000000"/>
              </w:rPr>
            </w:pPr>
          </w:p>
        </w:tc>
        <w:tc>
          <w:tcPr>
            <w:tcW w:w="1170" w:type="dxa"/>
            <w:shd w:val="clear" w:color="auto" w:fill="FFFFFF" w:themeFill="background1"/>
            <w:tcMar>
              <w:top w:w="29" w:type="dxa"/>
              <w:left w:w="29" w:type="dxa"/>
              <w:bottom w:w="29" w:type="dxa"/>
              <w:right w:w="29" w:type="dxa"/>
            </w:tcMar>
            <w:vAlign w:val="center"/>
          </w:tcPr>
          <w:p w:rsidR="00A248E2" w:rsidRDefault="00A248E2" w:rsidP="00C9422B">
            <w:pPr>
              <w:jc w:val="center"/>
              <w:rPr>
                <w:rFonts w:ascii="Calibri" w:hAnsi="Calibri"/>
                <w:color w:val="000000"/>
              </w:rPr>
            </w:pPr>
          </w:p>
        </w:tc>
      </w:tr>
    </w:tbl>
    <w:p w:rsidR="008A2D2C" w:rsidRDefault="008A2D2C" w:rsidP="00CF74FA">
      <w:pPr>
        <w:spacing w:before="100" w:after="0" w:line="240" w:lineRule="auto"/>
        <w:sectPr w:rsidR="008A2D2C" w:rsidSect="00636283">
          <w:pgSz w:w="15840" w:h="12240" w:orient="landscape"/>
          <w:pgMar w:top="1440" w:right="1440" w:bottom="1440" w:left="1440" w:header="720" w:footer="720" w:gutter="0"/>
          <w:cols w:space="720"/>
          <w:docGrid w:linePitch="360"/>
        </w:sectPr>
      </w:pPr>
      <w:r w:rsidRPr="00C05ABB">
        <w:rPr>
          <w:i/>
          <w:sz w:val="20"/>
          <w:szCs w:val="20"/>
        </w:rPr>
        <w:t xml:space="preserve">Note: </w:t>
      </w:r>
      <w:r w:rsidRPr="00C80C71">
        <w:rPr>
          <w:sz w:val="20"/>
          <w:szCs w:val="20"/>
        </w:rPr>
        <w:t xml:space="preserve">The </w:t>
      </w:r>
      <w:r w:rsidR="006B543B" w:rsidRPr="006B543B">
        <w:rPr>
          <w:sz w:val="20"/>
          <w:szCs w:val="20"/>
        </w:rPr>
        <w:t>overall average weighted improvement index</w:t>
      </w:r>
      <w:r w:rsidRPr="00C80C71">
        <w:rPr>
          <w:sz w:val="20"/>
          <w:szCs w:val="20"/>
        </w:rPr>
        <w:t xml:space="preserve"> was calculated by multiplying each outcome improvement index by its extent of evidence rating, summing across outcomes, and dividing by the sum of the extent of evidence ratings. </w:t>
      </w:r>
      <w:r w:rsidR="006B543B" w:rsidRPr="006B543B">
        <w:rPr>
          <w:sz w:val="20"/>
          <w:szCs w:val="20"/>
        </w:rPr>
        <w:t>Progressing in School</w:t>
      </w:r>
      <w:r w:rsidRPr="00C80C71">
        <w:rPr>
          <w:sz w:val="20"/>
          <w:szCs w:val="20"/>
        </w:rPr>
        <w:t xml:space="preserve"> is measured by the number of credits accumulated, grades promoted, or highest grade completed; </w:t>
      </w:r>
      <w:r w:rsidR="006B543B" w:rsidRPr="006B543B">
        <w:rPr>
          <w:sz w:val="20"/>
          <w:szCs w:val="20"/>
        </w:rPr>
        <w:t>Staying in School</w:t>
      </w:r>
      <w:r w:rsidRPr="00C80C71">
        <w:rPr>
          <w:sz w:val="20"/>
          <w:szCs w:val="20"/>
        </w:rPr>
        <w:t xml:space="preserve"> is measured by whether a student is enrolled in school; </w:t>
      </w:r>
      <w:r w:rsidR="006B543B" w:rsidRPr="006B543B">
        <w:rPr>
          <w:sz w:val="20"/>
          <w:szCs w:val="20"/>
        </w:rPr>
        <w:t>Completing School</w:t>
      </w:r>
      <w:r w:rsidRPr="00C80C71">
        <w:rPr>
          <w:sz w:val="20"/>
          <w:szCs w:val="20"/>
        </w:rPr>
        <w:t xml:space="preserve"> is measured by whether a student earned a high school diploma or a GED. The </w:t>
      </w:r>
      <w:r w:rsidR="006B543B" w:rsidRPr="006B543B">
        <w:rPr>
          <w:sz w:val="20"/>
          <w:szCs w:val="20"/>
        </w:rPr>
        <w:t>extent of evidence</w:t>
      </w:r>
      <w:r w:rsidRPr="00C80C71">
        <w:rPr>
          <w:sz w:val="20"/>
          <w:szCs w:val="20"/>
        </w:rPr>
        <w:t xml:space="preserve"> is rated by WWC using two categories: “small</w:t>
      </w:r>
      <w:r w:rsidR="00C65AA3">
        <w:rPr>
          <w:sz w:val="20"/>
          <w:szCs w:val="20"/>
        </w:rPr>
        <w:t>,</w:t>
      </w:r>
      <w:r w:rsidRPr="00C80C71">
        <w:rPr>
          <w:sz w:val="20"/>
          <w:szCs w:val="20"/>
        </w:rPr>
        <w:t>” which is defined as evidence that</w:t>
      </w:r>
      <w:r w:rsidR="006E64B2" w:rsidRPr="00C80C71">
        <w:rPr>
          <w:sz w:val="20"/>
          <w:szCs w:val="20"/>
        </w:rPr>
        <w:t xml:space="preserve"> </w:t>
      </w:r>
      <w:r w:rsidRPr="00C80C71">
        <w:rPr>
          <w:sz w:val="20"/>
          <w:szCs w:val="20"/>
        </w:rPr>
        <w:t xml:space="preserve">includes “only one study, or one school, or findings based on a total sample size of less than 350 student and 14 classrooms (assuming 25 students in a class),” and “medium to large” which is defined as evidence that includes “more than one study, more than one school, and findings based on a total sample of at least 350 students or 14 classrooms” (What Works Clearinghouse, n.d.). </w:t>
      </w:r>
      <w:r w:rsidR="006B543B" w:rsidRPr="006B543B">
        <w:rPr>
          <w:sz w:val="20"/>
          <w:szCs w:val="20"/>
        </w:rPr>
        <w:t>Blank cells</w:t>
      </w:r>
      <w:r w:rsidR="00B04B32" w:rsidRPr="00C80C71">
        <w:rPr>
          <w:sz w:val="20"/>
          <w:szCs w:val="20"/>
        </w:rPr>
        <w:t xml:space="preserve"> indicate that no information was available or the information did not meet WWC evidence standards.</w:t>
      </w:r>
    </w:p>
    <w:p w:rsidR="0082145B" w:rsidRDefault="000A7051">
      <w:r>
        <w:lastRenderedPageBreak/>
        <w:t xml:space="preserve">Based on the information presented in Table 3, Career Academies is the most effective of these three Tier 1 programs. </w:t>
      </w:r>
      <w:r w:rsidR="008841E1">
        <w:t xml:space="preserve">To understand </w:t>
      </w:r>
      <w:r w:rsidR="001A2D77">
        <w:t xml:space="preserve">in practical terms </w:t>
      </w:r>
      <w:r w:rsidR="008841E1">
        <w:t xml:space="preserve">what it means for Career Academies to be </w:t>
      </w:r>
      <w:r w:rsidR="009425AC">
        <w:t xml:space="preserve">the </w:t>
      </w:r>
      <w:r w:rsidR="008841E1">
        <w:t>most effective</w:t>
      </w:r>
      <w:r>
        <w:t xml:space="preserve">, </w:t>
      </w:r>
      <w:r w:rsidR="008841E1">
        <w:t>the original outcome results</w:t>
      </w:r>
      <w:r w:rsidR="001A2D77">
        <w:t>—</w:t>
      </w:r>
      <w:r w:rsidR="008841E1">
        <w:t>before the information was transformed into a standardized measure</w:t>
      </w:r>
      <w:r w:rsidR="001A2D77">
        <w:t>—</w:t>
      </w:r>
      <w:r w:rsidR="008841E1">
        <w:t xml:space="preserve">are helpful. </w:t>
      </w:r>
      <w:r w:rsidR="00E9701C">
        <w:t xml:space="preserve">The original outcome results are presented in the Appendices of each WWC intervention report. </w:t>
      </w:r>
      <w:r w:rsidR="009425AC">
        <w:t xml:space="preserve">The Career Academies </w:t>
      </w:r>
      <w:r w:rsidR="00537F30">
        <w:t xml:space="preserve">WWC </w:t>
      </w:r>
      <w:r w:rsidR="009425AC">
        <w:t xml:space="preserve">Intervention Report </w:t>
      </w:r>
      <w:r w:rsidR="00587B56">
        <w:t xml:space="preserve">Appendix A3.2 </w:t>
      </w:r>
      <w:r w:rsidR="00537F30">
        <w:t xml:space="preserve">(“Summary of Study Findings including the rating for the </w:t>
      </w:r>
      <w:r w:rsidR="006B543B" w:rsidRPr="006B543B">
        <w:t>Progressing in School</w:t>
      </w:r>
      <w:r w:rsidR="00537F30">
        <w:t xml:space="preserve"> domain”) </w:t>
      </w:r>
      <w:r w:rsidR="00587B56">
        <w:t>shows</w:t>
      </w:r>
      <w:r w:rsidR="00537F30">
        <w:t xml:space="preserve"> </w:t>
      </w:r>
      <w:r w:rsidR="00AE179E">
        <w:t>that the</w:t>
      </w:r>
      <w:r w:rsidR="00587B56">
        <w:t xml:space="preserve"> average </w:t>
      </w:r>
      <w:r w:rsidR="00E9701C">
        <w:t>high-risk youth</w:t>
      </w:r>
      <w:r w:rsidR="00E9701C">
        <w:rPr>
          <w:rStyle w:val="FootnoteReference"/>
        </w:rPr>
        <w:footnoteReference w:id="6"/>
      </w:r>
      <w:r w:rsidR="00E9701C">
        <w:t xml:space="preserve"> in the Career Academ</w:t>
      </w:r>
      <w:r w:rsidR="00587B56">
        <w:t>ies</w:t>
      </w:r>
      <w:r w:rsidR="00E9701C">
        <w:t xml:space="preserve"> experimental group earned an average of 13.7 credits more toward graduation than that earned by </w:t>
      </w:r>
      <w:r w:rsidR="00587B56">
        <w:t xml:space="preserve">average </w:t>
      </w:r>
      <w:r w:rsidR="00E9701C">
        <w:t>high-risk youth in the control group.</w:t>
      </w:r>
      <w:r w:rsidR="006E64B2">
        <w:t xml:space="preserve"> </w:t>
      </w:r>
      <w:r w:rsidR="00A06F76">
        <w:t>This finding</w:t>
      </w:r>
      <w:r w:rsidR="00534D72">
        <w:t xml:space="preserve"> indicates that </w:t>
      </w:r>
      <w:r w:rsidR="00537F30">
        <w:t>one practical benefit of participating in Career Academies is</w:t>
      </w:r>
      <w:r w:rsidR="00534D72">
        <w:t xml:space="preserve"> earn</w:t>
      </w:r>
      <w:r w:rsidR="00537F30">
        <w:t>ing</w:t>
      </w:r>
      <w:r w:rsidR="00534D72">
        <w:t xml:space="preserve"> </w:t>
      </w:r>
      <w:r w:rsidR="00C62724">
        <w:t xml:space="preserve">an average of </w:t>
      </w:r>
      <w:r w:rsidR="00534D72">
        <w:t xml:space="preserve">13.7 credits toward </w:t>
      </w:r>
      <w:r w:rsidR="00AE179E">
        <w:t xml:space="preserve">high school </w:t>
      </w:r>
      <w:r w:rsidR="00534D72">
        <w:t>graduation</w:t>
      </w:r>
      <w:r w:rsidR="00537F30">
        <w:t xml:space="preserve">. </w:t>
      </w:r>
    </w:p>
    <w:p w:rsidR="00AA4482" w:rsidRPr="00751904" w:rsidRDefault="004156AD" w:rsidP="001B2059">
      <w:pPr>
        <w:pStyle w:val="Heading3"/>
      </w:pPr>
      <w:r w:rsidRPr="00751904">
        <w:t>Discussion</w:t>
      </w:r>
    </w:p>
    <w:p w:rsidR="00F505DB" w:rsidRDefault="002C5001" w:rsidP="004156AD">
      <w:r>
        <w:t xml:space="preserve">Expertise and the best evidence available suggest </w:t>
      </w:r>
      <w:r w:rsidR="00705CBC">
        <w:t xml:space="preserve">that </w:t>
      </w:r>
      <w:r w:rsidR="00A2458D">
        <w:t xml:space="preserve">effective </w:t>
      </w:r>
      <w:r w:rsidR="00675F6D">
        <w:t xml:space="preserve">Tier 1 </w:t>
      </w:r>
      <w:r w:rsidR="00705CBC">
        <w:t xml:space="preserve">dropout prevention </w:t>
      </w:r>
      <w:r w:rsidR="00675F6D">
        <w:t xml:space="preserve">programs </w:t>
      </w:r>
      <w:r>
        <w:t>start</w:t>
      </w:r>
      <w:r w:rsidR="006E64B2">
        <w:t xml:space="preserve"> </w:t>
      </w:r>
      <w:r>
        <w:t>early</w:t>
      </w:r>
      <w:r w:rsidR="00705CBC">
        <w:t xml:space="preserve">. </w:t>
      </w:r>
      <w:r w:rsidR="00675F6D">
        <w:t xml:space="preserve">With early education, </w:t>
      </w:r>
      <w:r>
        <w:t>children</w:t>
      </w:r>
      <w:r w:rsidR="00675F6D">
        <w:t xml:space="preserve"> can develop the </w:t>
      </w:r>
      <w:r>
        <w:t xml:space="preserve">foundational skills and knowledge </w:t>
      </w:r>
      <w:r w:rsidR="00675F6D">
        <w:t xml:space="preserve">necessary </w:t>
      </w:r>
      <w:r w:rsidR="004E29A5">
        <w:t xml:space="preserve">for </w:t>
      </w:r>
      <w:r w:rsidR="00675F6D">
        <w:t xml:space="preserve">later </w:t>
      </w:r>
      <w:r>
        <w:t xml:space="preserve">academic success. </w:t>
      </w:r>
      <w:r w:rsidR="00AF10DF">
        <w:t xml:space="preserve">In the later grades, </w:t>
      </w:r>
      <w:r w:rsidR="00AC7B6C">
        <w:t xml:space="preserve">Mac Iver and Mac Iver </w:t>
      </w:r>
      <w:r w:rsidR="004E29A5">
        <w:t xml:space="preserve">(2009) </w:t>
      </w:r>
      <w:r w:rsidR="0080271C">
        <w:t xml:space="preserve">and the IES </w:t>
      </w:r>
      <w:r w:rsidR="00197341" w:rsidRPr="00197341">
        <w:rPr>
          <w:i/>
        </w:rPr>
        <w:t>D</w:t>
      </w:r>
      <w:r w:rsidR="00816030" w:rsidRPr="00197341">
        <w:rPr>
          <w:i/>
        </w:rPr>
        <w:t xml:space="preserve">ropout </w:t>
      </w:r>
      <w:r w:rsidR="00197341">
        <w:rPr>
          <w:i/>
        </w:rPr>
        <w:t>P</w:t>
      </w:r>
      <w:r w:rsidR="00816030" w:rsidRPr="00197341">
        <w:rPr>
          <w:i/>
        </w:rPr>
        <w:t>revention</w:t>
      </w:r>
      <w:r w:rsidR="006E64B2">
        <w:t xml:space="preserve"> </w:t>
      </w:r>
      <w:r w:rsidR="00197341">
        <w:t>P</w:t>
      </w:r>
      <w:r w:rsidR="0080271C">
        <w:t xml:space="preserve">ractice </w:t>
      </w:r>
      <w:r w:rsidR="00197341">
        <w:t>G</w:t>
      </w:r>
      <w:r w:rsidR="0080271C">
        <w:t xml:space="preserve">uide </w:t>
      </w:r>
      <w:r w:rsidR="00F505DB">
        <w:t xml:space="preserve">(Dynarski et al., 2008) </w:t>
      </w:r>
      <w:r w:rsidR="00AC7B6C">
        <w:t xml:space="preserve">recommend </w:t>
      </w:r>
      <w:r>
        <w:t>team</w:t>
      </w:r>
      <w:r w:rsidR="004E29A5">
        <w:t xml:space="preserve"> use of early warning systems to discuss</w:t>
      </w:r>
      <w:r w:rsidR="00751904">
        <w:t>,</w:t>
      </w:r>
      <w:r w:rsidR="004E29A5">
        <w:t xml:space="preserve"> </w:t>
      </w:r>
      <w:r w:rsidR="00751904">
        <w:t xml:space="preserve">plan, and implement supports and interventions for </w:t>
      </w:r>
      <w:r w:rsidR="004E29A5">
        <w:t>students at</w:t>
      </w:r>
      <w:r w:rsidR="00751904">
        <w:t xml:space="preserve"> </w:t>
      </w:r>
      <w:r w:rsidR="004E29A5">
        <w:t>risk for dropping out.</w:t>
      </w:r>
      <w:r w:rsidR="006E64B2">
        <w:t xml:space="preserve"> </w:t>
      </w:r>
      <w:r w:rsidR="002A3603">
        <w:t>Tier 1 p</w:t>
      </w:r>
      <w:r w:rsidR="00F505DB">
        <w:t>ersonalization</w:t>
      </w:r>
      <w:r w:rsidR="002A3603">
        <w:t xml:space="preserve"> </w:t>
      </w:r>
      <w:r w:rsidR="002D3C3F">
        <w:t>in school structure</w:t>
      </w:r>
      <w:r w:rsidR="007A4DFD">
        <w:t>/</w:t>
      </w:r>
      <w:r w:rsidR="002D3C3F">
        <w:t xml:space="preserve">interactions </w:t>
      </w:r>
      <w:r w:rsidR="00C827D4">
        <w:t>and relevant</w:t>
      </w:r>
      <w:r w:rsidR="002A3603">
        <w:t xml:space="preserve">, </w:t>
      </w:r>
      <w:r w:rsidR="00F505DB">
        <w:t>rigor</w:t>
      </w:r>
      <w:r w:rsidR="002A3603">
        <w:t xml:space="preserve">ous </w:t>
      </w:r>
      <w:r w:rsidR="00197341">
        <w:t xml:space="preserve">instruction </w:t>
      </w:r>
      <w:r w:rsidR="00675F6D">
        <w:t xml:space="preserve">can </w:t>
      </w:r>
      <w:r w:rsidR="00197341">
        <w:t>also</w:t>
      </w:r>
      <w:r w:rsidR="00F505DB">
        <w:t xml:space="preserve"> bring about positive results for at-risk youth</w:t>
      </w:r>
      <w:r w:rsidR="005E6DF0">
        <w:t>,</w:t>
      </w:r>
      <w:r w:rsidR="00F505DB">
        <w:t xml:space="preserve"> as indicated by the research reviewed in the IES practice guide (Dynarski et al., 2008) and by the Career Academies and Talent Development High Schools research reviewed by What Works Clearinghouse.</w:t>
      </w:r>
      <w:r w:rsidR="001B5F38">
        <w:t xml:space="preserve"> </w:t>
      </w:r>
      <w:r w:rsidR="007A4DFD">
        <w:t>However, i</w:t>
      </w:r>
      <w:r w:rsidR="001B5F38">
        <w:t>t is important to bear in mind the conditions in which the</w:t>
      </w:r>
      <w:r w:rsidR="00675F6D">
        <w:t xml:space="preserve"> WWC </w:t>
      </w:r>
      <w:r w:rsidR="001B5F38">
        <w:t xml:space="preserve">results were </w:t>
      </w:r>
      <w:r w:rsidR="00A55782">
        <w:t xml:space="preserve">obtained. </w:t>
      </w:r>
      <w:r w:rsidR="001B5F38">
        <w:t xml:space="preserve">Specifically, the Career Academies that produced the </w:t>
      </w:r>
      <w:r w:rsidR="00675F6D">
        <w:t xml:space="preserve">WWC </w:t>
      </w:r>
      <w:r w:rsidR="001B5F38">
        <w:t>results enrolled heterogeneous groups of students</w:t>
      </w:r>
      <w:r w:rsidR="007A4DFD">
        <w:t>—</w:t>
      </w:r>
      <w:r w:rsidR="001B5F38">
        <w:t xml:space="preserve">that is, the </w:t>
      </w:r>
      <w:r w:rsidR="00A55782">
        <w:t>enrollment included</w:t>
      </w:r>
      <w:r w:rsidR="001B5F38">
        <w:t xml:space="preserve"> both high-risk and low-risk youth. It is not known if the same results would be obtained with a homogeneous group of </w:t>
      </w:r>
      <w:r w:rsidR="006C5108">
        <w:t xml:space="preserve">only high-risk students </w:t>
      </w:r>
      <w:r w:rsidR="001B5F38">
        <w:t xml:space="preserve">(WWC Career Academies </w:t>
      </w:r>
      <w:r w:rsidR="00A55782">
        <w:t>I</w:t>
      </w:r>
      <w:r w:rsidR="001B5F38">
        <w:t xml:space="preserve">ntervention </w:t>
      </w:r>
      <w:r w:rsidR="00A55782">
        <w:t>R</w:t>
      </w:r>
      <w:r w:rsidR="001B5F38">
        <w:t>eport, n.d.).</w:t>
      </w:r>
    </w:p>
    <w:p w:rsidR="00E04E4F" w:rsidRDefault="00E04E4F">
      <w:pPr>
        <w:pStyle w:val="Heading3"/>
        <w:sectPr w:rsidR="00E04E4F" w:rsidSect="00DF0E33">
          <w:pgSz w:w="12240" w:h="15840" w:code="1"/>
          <w:pgMar w:top="1440" w:right="1440" w:bottom="1440" w:left="1440" w:header="720" w:footer="720" w:gutter="0"/>
          <w:cols w:space="720"/>
          <w:docGrid w:linePitch="360"/>
        </w:sectPr>
      </w:pPr>
    </w:p>
    <w:p w:rsidR="0082145B" w:rsidRDefault="00D333EB">
      <w:pPr>
        <w:pStyle w:val="Heading3"/>
      </w:pPr>
      <w:r w:rsidRPr="00D333EB">
        <w:lastRenderedPageBreak/>
        <w:t>Tier 2</w:t>
      </w:r>
      <w:r w:rsidR="00FD345D">
        <w:t xml:space="preserve">: </w:t>
      </w:r>
      <w:r w:rsidRPr="00D333EB">
        <w:t xml:space="preserve">Dropout Intervention </w:t>
      </w:r>
      <w:r w:rsidR="00F23995">
        <w:t>Strategy</w:t>
      </w:r>
      <w:r w:rsidR="00F23995" w:rsidRPr="00D333EB">
        <w:t xml:space="preserve"> </w:t>
      </w:r>
      <w:r w:rsidRPr="00D333EB">
        <w:t>Effectiveness</w:t>
      </w:r>
    </w:p>
    <w:p w:rsidR="0082145B" w:rsidRDefault="003C56A8">
      <w:r>
        <w:t xml:space="preserve">Tier 2 dropout prevention programs are more targeted </w:t>
      </w:r>
      <w:r w:rsidR="00B84743">
        <w:t>than general education (Tier 1) practices. Tier 2 strategies and programs</w:t>
      </w:r>
      <w:r w:rsidR="0068722D">
        <w:t xml:space="preserve"> directly address</w:t>
      </w:r>
      <w:r w:rsidR="00985672">
        <w:t xml:space="preserve"> students’</w:t>
      </w:r>
      <w:r w:rsidR="00B84743">
        <w:t xml:space="preserve"> </w:t>
      </w:r>
      <w:r>
        <w:t>reasons for dropping out</w:t>
      </w:r>
      <w:r w:rsidR="00E3389B">
        <w:t>,</w:t>
      </w:r>
      <w:r w:rsidR="00B84743">
        <w:t xml:space="preserve"> and </w:t>
      </w:r>
      <w:r w:rsidR="00995BC4">
        <w:t>the resources needed for them</w:t>
      </w:r>
      <w:r w:rsidR="00B84743">
        <w:t xml:space="preserve"> to graduate</w:t>
      </w:r>
      <w:r>
        <w:t xml:space="preserve">. </w:t>
      </w:r>
      <w:r w:rsidR="002A07AC">
        <w:t>Some experts contend that failure to succeed academically is the main source of dropout, a</w:t>
      </w:r>
      <w:r w:rsidR="00ED2FA5">
        <w:t xml:space="preserve">lthough life events or being pushed out of school may seem like the most common reasons </w:t>
      </w:r>
      <w:r w:rsidR="002A07AC">
        <w:t xml:space="preserve">(Rosch &amp; </w:t>
      </w:r>
      <w:r w:rsidR="00730B18">
        <w:t>Owen,</w:t>
      </w:r>
      <w:r w:rsidR="002A07AC">
        <w:t xml:space="preserve"> 2008)</w:t>
      </w:r>
      <w:r w:rsidR="006926C1">
        <w:t xml:space="preserve">. </w:t>
      </w:r>
      <w:r w:rsidR="00F51B83">
        <w:t>Based on the Chicago Schools Consortium experience, researchers contend that t</w:t>
      </w:r>
      <w:r w:rsidR="00E87E51">
        <w:t>utoring, summer school</w:t>
      </w:r>
      <w:r w:rsidR="001D7EDE">
        <w:t>,</w:t>
      </w:r>
      <w:r w:rsidR="00E87E51">
        <w:t xml:space="preserve"> and other opportunities </w:t>
      </w:r>
      <w:r w:rsidR="00F51B83">
        <w:t xml:space="preserve">for students </w:t>
      </w:r>
      <w:r w:rsidR="00E87E51">
        <w:t xml:space="preserve">to master course content and accumulate credits have great potential for increasing graduation rates (Allensworth &amp; Easton, 2007). </w:t>
      </w:r>
      <w:r w:rsidR="00B0262B">
        <w:t xml:space="preserve">In addition, for </w:t>
      </w:r>
      <w:r w:rsidR="00F9735F">
        <w:t xml:space="preserve">students with two course failures in a semester, </w:t>
      </w:r>
      <w:r w:rsidR="003010CA">
        <w:t xml:space="preserve">it is estimated that </w:t>
      </w:r>
      <w:r w:rsidR="00F9735F">
        <w:t xml:space="preserve">effective targeted academic tutoring assistance that results in passing two more courses </w:t>
      </w:r>
      <w:r w:rsidR="003010CA">
        <w:t xml:space="preserve">will </w:t>
      </w:r>
      <w:r w:rsidR="006D50F7">
        <w:t xml:space="preserve">increase </w:t>
      </w:r>
      <w:r w:rsidR="00F9735F">
        <w:t xml:space="preserve">graduation rates from 55% to 85% (Allensworth &amp; Easton, 2007). </w:t>
      </w:r>
    </w:p>
    <w:p w:rsidR="0082145B" w:rsidRDefault="00A6231A">
      <w:r>
        <w:t>Finding moderately strong evidence of effectiveness, authors of t</w:t>
      </w:r>
      <w:r w:rsidR="00E87E51">
        <w:t xml:space="preserve">he IES </w:t>
      </w:r>
      <w:r w:rsidR="00286A1B" w:rsidRPr="00286A1B">
        <w:rPr>
          <w:i/>
        </w:rPr>
        <w:t>Dropout Prevention</w:t>
      </w:r>
      <w:r w:rsidR="00546814">
        <w:t xml:space="preserve"> </w:t>
      </w:r>
      <w:r w:rsidR="00D15E63">
        <w:t xml:space="preserve">Practice Guide </w:t>
      </w:r>
      <w:r w:rsidR="00ED2FA5">
        <w:t xml:space="preserve">recommend providing </w:t>
      </w:r>
      <w:r w:rsidR="00371475">
        <w:t xml:space="preserve">targeted </w:t>
      </w:r>
      <w:r w:rsidR="00ED2FA5">
        <w:t>academic skill tutoring and individualized academic assistance</w:t>
      </w:r>
      <w:r w:rsidR="006E64B2">
        <w:t xml:space="preserve"> </w:t>
      </w:r>
      <w:r w:rsidR="00ED2FA5">
        <w:t>and enrichment to students when such support is needed (Dynarski et al., 2008). The</w:t>
      </w:r>
      <w:r>
        <w:t xml:space="preserve">se strategies </w:t>
      </w:r>
      <w:r w:rsidR="002709D4">
        <w:t>address “</w:t>
      </w:r>
      <w:r w:rsidR="00ED2FA5">
        <w:t>skill gaps and offsetting a cycle of frustration</w:t>
      </w:r>
      <w:r w:rsidR="00B0262B">
        <w:t>,</w:t>
      </w:r>
      <w:r w:rsidR="00ED2FA5">
        <w:t xml:space="preserve">” </w:t>
      </w:r>
      <w:r w:rsidR="003A1059">
        <w:t xml:space="preserve">as well as </w:t>
      </w:r>
      <w:r w:rsidR="00ED2FA5">
        <w:t>“enriching the academic experience of students who may be bored or disengaged</w:t>
      </w:r>
      <w:r w:rsidR="00B84743">
        <w:t>” (</w:t>
      </w:r>
      <w:r w:rsidR="00ED2FA5">
        <w:t xml:space="preserve">Dynarski et al., 2008, p. 22). </w:t>
      </w:r>
      <w:r w:rsidR="008300DD">
        <w:t>Specific recommendations for implementation include offering individual and small</w:t>
      </w:r>
      <w:r w:rsidR="00FA2F2E">
        <w:t>-</w:t>
      </w:r>
      <w:r w:rsidR="008300DD">
        <w:t>group instruction and support in test</w:t>
      </w:r>
      <w:r w:rsidR="00B0262B">
        <w:t>-</w:t>
      </w:r>
      <w:r w:rsidR="008300DD">
        <w:t>taking</w:t>
      </w:r>
      <w:r w:rsidR="00B0262B">
        <w:t>;</w:t>
      </w:r>
      <w:r w:rsidR="008300DD">
        <w:t xml:space="preserve"> study skills</w:t>
      </w:r>
      <w:r w:rsidR="00B0262B">
        <w:t>;</w:t>
      </w:r>
      <w:r w:rsidR="008300DD">
        <w:t xml:space="preserve"> reading, writing</w:t>
      </w:r>
      <w:r w:rsidR="00B0262B">
        <w:t>,</w:t>
      </w:r>
      <w:r w:rsidR="008300DD">
        <w:t xml:space="preserve"> and mathematics</w:t>
      </w:r>
      <w:r w:rsidR="00B0262B">
        <w:t>;</w:t>
      </w:r>
      <w:r w:rsidR="008300DD">
        <w:t xml:space="preserve"> </w:t>
      </w:r>
      <w:r w:rsidR="00B0262B">
        <w:t xml:space="preserve">and </w:t>
      </w:r>
      <w:r w:rsidR="008300DD">
        <w:t>extra study time and opportunity for credit recovery and accumulation through after</w:t>
      </w:r>
      <w:r w:rsidR="001D7EDE">
        <w:t>-</w:t>
      </w:r>
      <w:r w:rsidR="008300DD">
        <w:t>school, Saturday school, and summer school.</w:t>
      </w:r>
    </w:p>
    <w:p w:rsidR="0082145B" w:rsidRDefault="00CE1607">
      <w:r w:rsidRPr="00DF0E33">
        <w:t xml:space="preserve">Additional evidence on Tier 2 type strategies and </w:t>
      </w:r>
      <w:r w:rsidR="00DF0E33" w:rsidRPr="00DF0E33">
        <w:t xml:space="preserve">programs </w:t>
      </w:r>
      <w:r w:rsidR="00564555">
        <w:t>is available in the WWC Dropout Prevention topic review</w:t>
      </w:r>
      <w:r w:rsidRPr="00DF0E33">
        <w:t>.</w:t>
      </w:r>
      <w:r w:rsidR="006E64B2">
        <w:t xml:space="preserve"> </w:t>
      </w:r>
      <w:r w:rsidR="00C04EFB">
        <w:t xml:space="preserve">Of the </w:t>
      </w:r>
      <w:r w:rsidR="00F96E2F">
        <w:t>1</w:t>
      </w:r>
      <w:r w:rsidR="00C04EFB">
        <w:t xml:space="preserve">5 </w:t>
      </w:r>
      <w:r w:rsidR="000E0B57">
        <w:t xml:space="preserve">Tier 2 </w:t>
      </w:r>
      <w:r w:rsidR="00C04EFB">
        <w:t xml:space="preserve">programs reviewed </w:t>
      </w:r>
      <w:r w:rsidR="000E0B57">
        <w:t xml:space="preserve">in </w:t>
      </w:r>
      <w:r w:rsidR="00C04EFB">
        <w:t>the WWC</w:t>
      </w:r>
      <w:r w:rsidR="00F716C3">
        <w:t xml:space="preserve"> </w:t>
      </w:r>
      <w:r w:rsidR="000E0B57">
        <w:t xml:space="preserve">Dropout Prevention </w:t>
      </w:r>
      <w:r w:rsidR="00F716C3">
        <w:t>topic</w:t>
      </w:r>
      <w:r w:rsidR="000E0B57">
        <w:t>, eleven</w:t>
      </w:r>
      <w:r w:rsidR="00C04EFB">
        <w:t xml:space="preserve"> had </w:t>
      </w:r>
      <w:r w:rsidR="000E0B57">
        <w:t xml:space="preserve">studies </w:t>
      </w:r>
      <w:r w:rsidR="00C04EFB">
        <w:t xml:space="preserve">that met WWC standards or met </w:t>
      </w:r>
      <w:r w:rsidR="000E0B57">
        <w:t xml:space="preserve">WWC </w:t>
      </w:r>
      <w:r w:rsidR="00C04EFB">
        <w:t>standards with reservations</w:t>
      </w:r>
      <w:r w:rsidR="000E0B57">
        <w:t xml:space="preserve"> and </w:t>
      </w:r>
      <w:r w:rsidR="00467C74">
        <w:t xml:space="preserve">had </w:t>
      </w:r>
      <w:r w:rsidR="000E0B57">
        <w:t>outcome measure</w:t>
      </w:r>
      <w:r w:rsidR="00467C74">
        <w:t xml:space="preserve">s </w:t>
      </w:r>
      <w:r w:rsidR="000E0B57">
        <w:t xml:space="preserve">included in the </w:t>
      </w:r>
      <w:r w:rsidR="005D3FAA">
        <w:t>WWC</w:t>
      </w:r>
      <w:r w:rsidR="000E0B57">
        <w:t xml:space="preserve"> review (i.e., </w:t>
      </w:r>
      <w:r w:rsidR="003A1059">
        <w:t>Progressing in School</w:t>
      </w:r>
      <w:r w:rsidR="000E0B57">
        <w:t xml:space="preserve">, </w:t>
      </w:r>
      <w:r w:rsidR="003A1059">
        <w:t>Staying in School</w:t>
      </w:r>
      <w:r w:rsidR="00B0262B">
        <w:t>,</w:t>
      </w:r>
      <w:r w:rsidR="000E0B57">
        <w:t xml:space="preserve"> and/or </w:t>
      </w:r>
      <w:r w:rsidR="003A1059">
        <w:t>Completing School</w:t>
      </w:r>
      <w:r w:rsidR="000E0B57">
        <w:t>)</w:t>
      </w:r>
      <w:r w:rsidR="00C04EFB">
        <w:t xml:space="preserve">. </w:t>
      </w:r>
      <w:r w:rsidR="000E0B57">
        <w:t>These eleven Tier 2 programs and their overall average improvement index</w:t>
      </w:r>
      <w:r w:rsidR="00B9288A">
        <w:t xml:space="preserve"> are </w:t>
      </w:r>
      <w:r w:rsidR="000E0B57">
        <w:t xml:space="preserve">presented in Table </w:t>
      </w:r>
      <w:r w:rsidR="00B9288A">
        <w:t>4</w:t>
      </w:r>
      <w:r w:rsidR="00B0262B">
        <w:t>,</w:t>
      </w:r>
      <w:r w:rsidR="000E0B57">
        <w:t xml:space="preserve"> along with </w:t>
      </w:r>
      <w:r w:rsidR="00467C74">
        <w:t xml:space="preserve">the </w:t>
      </w:r>
      <w:r w:rsidR="000E0B57">
        <w:t xml:space="preserve">improvement index values and extent of evidence ratings for </w:t>
      </w:r>
      <w:r w:rsidR="00467C74">
        <w:t>each</w:t>
      </w:r>
      <w:r w:rsidR="000E0B57">
        <w:t xml:space="preserve"> different outcome result.</w:t>
      </w:r>
    </w:p>
    <w:p w:rsidR="0082145B" w:rsidRDefault="00467C74">
      <w:r>
        <w:t xml:space="preserve">To read Table </w:t>
      </w:r>
      <w:r w:rsidR="00B9288A">
        <w:t>4</w:t>
      </w:r>
      <w:r>
        <w:t>, the second column shows</w:t>
      </w:r>
      <w:r w:rsidR="00DD7DA5">
        <w:t xml:space="preserve"> </w:t>
      </w:r>
      <w:r w:rsidR="00ED7870">
        <w:t xml:space="preserve">the relative size and direction of the overall impact of these Tier 2 programs on outcomes included in the WWC Dropout Prevention topic review. </w:t>
      </w:r>
      <w:r w:rsidR="00B9288A">
        <w:t xml:space="preserve">The second column of Table 4 shows </w:t>
      </w:r>
      <w:r>
        <w:t xml:space="preserve">four programs </w:t>
      </w:r>
      <w:r w:rsidR="00B9288A">
        <w:t>with</w:t>
      </w:r>
      <w:r>
        <w:t xml:space="preserve"> relatively high overall average </w:t>
      </w:r>
      <w:r w:rsidR="00DD7DA5">
        <w:t xml:space="preserve">weighted </w:t>
      </w:r>
      <w:r>
        <w:t>improvement index values (i.e., 17 or greater)</w:t>
      </w:r>
      <w:r w:rsidR="00B0262B">
        <w:t>,</w:t>
      </w:r>
      <w:r w:rsidR="00DD7DA5">
        <w:t xml:space="preserve"> </w:t>
      </w:r>
      <w:r w:rsidR="009E43A8">
        <w:t xml:space="preserve">as well as </w:t>
      </w:r>
      <w:r>
        <w:t xml:space="preserve">seven programs </w:t>
      </w:r>
      <w:r w:rsidR="00B9288A">
        <w:t>with</w:t>
      </w:r>
      <w:r>
        <w:t xml:space="preserve"> relatively </w:t>
      </w:r>
      <w:r w:rsidR="00B0271B">
        <w:t>low</w:t>
      </w:r>
      <w:r>
        <w:t xml:space="preserve"> overall average </w:t>
      </w:r>
      <w:r w:rsidR="00DD7DA5">
        <w:t xml:space="preserve">weighted </w:t>
      </w:r>
      <w:r>
        <w:lastRenderedPageBreak/>
        <w:t xml:space="preserve">improvement index values, including four </w:t>
      </w:r>
      <w:r w:rsidR="00B9288A">
        <w:t xml:space="preserve">programs </w:t>
      </w:r>
      <w:r w:rsidR="006A13F5">
        <w:t xml:space="preserve">with values </w:t>
      </w:r>
      <w:r>
        <w:t xml:space="preserve">between </w:t>
      </w:r>
      <w:r w:rsidR="00B0271B">
        <w:t xml:space="preserve">4.80 </w:t>
      </w:r>
      <w:r>
        <w:t xml:space="preserve">and </w:t>
      </w:r>
      <w:r w:rsidR="00B0271B">
        <w:t>3.00</w:t>
      </w:r>
      <w:r>
        <w:t xml:space="preserve"> and three </w:t>
      </w:r>
      <w:r w:rsidR="006A13F5">
        <w:t xml:space="preserve">with values </w:t>
      </w:r>
      <w:r>
        <w:t xml:space="preserve">between </w:t>
      </w:r>
      <w:r w:rsidR="00B0271B">
        <w:t>-0.50</w:t>
      </w:r>
      <w:r>
        <w:t xml:space="preserve"> and </w:t>
      </w:r>
      <w:r w:rsidR="00B0271B">
        <w:t>-3.50</w:t>
      </w:r>
      <w:r>
        <w:t>.</w:t>
      </w:r>
      <w:r w:rsidR="006A13F5">
        <w:t xml:space="preserve"> </w:t>
      </w:r>
    </w:p>
    <w:p w:rsidR="0082145B" w:rsidRDefault="009E43A8">
      <w:r>
        <w:t>In</w:t>
      </w:r>
      <w:r w:rsidR="00ED7870">
        <w:t xml:space="preserve"> Table </w:t>
      </w:r>
      <w:r w:rsidR="00527966">
        <w:t>4</w:t>
      </w:r>
      <w:r w:rsidR="00ED7870">
        <w:t>, t</w:t>
      </w:r>
      <w:r w:rsidR="004640EA">
        <w:t xml:space="preserve">he improvement index for each </w:t>
      </w:r>
      <w:r w:rsidR="00ED7870">
        <w:t>p</w:t>
      </w:r>
      <w:r w:rsidR="004640EA">
        <w:t xml:space="preserve">articular outcome (i.e., </w:t>
      </w:r>
      <w:r w:rsidR="0093501B">
        <w:t>Progressing in School, Staying in School,</w:t>
      </w:r>
      <w:r w:rsidR="004640EA">
        <w:t xml:space="preserve"> and </w:t>
      </w:r>
      <w:r w:rsidR="0093501B">
        <w:t>Completing School</w:t>
      </w:r>
      <w:r w:rsidR="004640EA">
        <w:t>) is presented in the remaining columns of the table</w:t>
      </w:r>
      <w:r>
        <w:t>,</w:t>
      </w:r>
      <w:r w:rsidR="004640EA">
        <w:t xml:space="preserve"> as well as each outcome’s extent of evidence rating. </w:t>
      </w:r>
      <w:r w:rsidR="0019771B">
        <w:t xml:space="preserve">The </w:t>
      </w:r>
      <w:r w:rsidR="006B543B" w:rsidRPr="006B543B">
        <w:t>Progressing in School</w:t>
      </w:r>
      <w:r w:rsidR="0019771B">
        <w:t xml:space="preserve"> columns show that all but two programs had results for this outcome</w:t>
      </w:r>
      <w:r w:rsidR="00282D87">
        <w:t>,</w:t>
      </w:r>
      <w:r w:rsidR="0019771B">
        <w:t xml:space="preserve"> and </w:t>
      </w:r>
      <w:r w:rsidR="00282D87">
        <w:t xml:space="preserve">that </w:t>
      </w:r>
      <w:r w:rsidR="0019771B">
        <w:t xml:space="preserve">two programs (Accelerated Schools and High School Redirection) had a medium to large extent of evidence (with a weight of 2). </w:t>
      </w:r>
      <w:r w:rsidR="004640EA">
        <w:t>The</w:t>
      </w:r>
      <w:r w:rsidR="004640EA" w:rsidRPr="004640EA">
        <w:t xml:space="preserve"> </w:t>
      </w:r>
      <w:r>
        <w:t>Staying in School</w:t>
      </w:r>
      <w:r w:rsidR="004640EA">
        <w:t xml:space="preserve"> columns show that all but one program had </w:t>
      </w:r>
      <w:r w:rsidR="0019771B">
        <w:t xml:space="preserve">results for this </w:t>
      </w:r>
      <w:r w:rsidR="004640EA">
        <w:t>outcome</w:t>
      </w:r>
      <w:r w:rsidR="00282D87">
        <w:t>,</w:t>
      </w:r>
      <w:r w:rsidR="004640EA">
        <w:t xml:space="preserve"> </w:t>
      </w:r>
      <w:r w:rsidR="00275254">
        <w:t>and</w:t>
      </w:r>
      <w:r w:rsidR="006E64B2">
        <w:t xml:space="preserve"> </w:t>
      </w:r>
      <w:r w:rsidR="00282D87">
        <w:t xml:space="preserve">that </w:t>
      </w:r>
      <w:r w:rsidR="0019771B">
        <w:t>three programs (</w:t>
      </w:r>
      <w:r w:rsidR="0019771B">
        <w:rPr>
          <w:rFonts w:ascii="Calibri" w:hAnsi="Calibri"/>
          <w:color w:val="000000"/>
        </w:rPr>
        <w:t>Accelerated Middle Schools, Financial Incentives for Teen Parents to Stay in School, and</w:t>
      </w:r>
      <w:r w:rsidR="006E64B2">
        <w:rPr>
          <w:rFonts w:ascii="Calibri" w:hAnsi="Calibri"/>
          <w:color w:val="000000"/>
        </w:rPr>
        <w:t xml:space="preserve"> </w:t>
      </w:r>
      <w:r w:rsidR="0019771B">
        <w:rPr>
          <w:rFonts w:ascii="Calibri" w:hAnsi="Calibri"/>
          <w:color w:val="000000"/>
        </w:rPr>
        <w:t>High School Redirection</w:t>
      </w:r>
      <w:r w:rsidR="0019771B">
        <w:t xml:space="preserve">) had a </w:t>
      </w:r>
      <w:r w:rsidR="00C7788A">
        <w:t xml:space="preserve">medium to large </w:t>
      </w:r>
      <w:r w:rsidR="0019771B">
        <w:t xml:space="preserve">extent of evidence. The </w:t>
      </w:r>
      <w:r>
        <w:t>Completing School</w:t>
      </w:r>
      <w:r w:rsidR="0019771B">
        <w:t xml:space="preserve"> columns show </w:t>
      </w:r>
      <w:r w:rsidR="00E861B3">
        <w:t>that seven</w:t>
      </w:r>
      <w:r w:rsidR="0019771B">
        <w:t xml:space="preserve"> programs had results for this outcome</w:t>
      </w:r>
      <w:r w:rsidR="00282D87">
        <w:t>,</w:t>
      </w:r>
      <w:r w:rsidR="0019771B">
        <w:t xml:space="preserve"> and </w:t>
      </w:r>
      <w:r w:rsidR="00282D87">
        <w:t xml:space="preserve">that </w:t>
      </w:r>
      <w:r w:rsidR="0019771B">
        <w:t>three programs (</w:t>
      </w:r>
      <w:r w:rsidR="00E861B3">
        <w:t xml:space="preserve">Talent Search, </w:t>
      </w:r>
      <w:r w:rsidR="00E861B3">
        <w:rPr>
          <w:rFonts w:ascii="Calibri" w:hAnsi="Calibri"/>
          <w:color w:val="000000"/>
        </w:rPr>
        <w:t>Financial Incentives for Teen Parents to Stay in School, and</w:t>
      </w:r>
      <w:r w:rsidR="006E64B2">
        <w:rPr>
          <w:rFonts w:ascii="Calibri" w:hAnsi="Calibri"/>
          <w:color w:val="000000"/>
        </w:rPr>
        <w:t xml:space="preserve"> </w:t>
      </w:r>
      <w:r w:rsidR="00E861B3">
        <w:rPr>
          <w:rFonts w:ascii="Calibri" w:hAnsi="Calibri"/>
          <w:color w:val="000000"/>
        </w:rPr>
        <w:t>High School Redirection</w:t>
      </w:r>
      <w:r w:rsidR="0019771B">
        <w:t xml:space="preserve">) had a medium to large extent of evidence. </w:t>
      </w:r>
    </w:p>
    <w:p w:rsidR="00A608D4" w:rsidRDefault="00A608D4" w:rsidP="002725A7">
      <w:pPr>
        <w:sectPr w:rsidR="00A608D4" w:rsidSect="00DF0E33">
          <w:pgSz w:w="12240" w:h="15840" w:code="1"/>
          <w:pgMar w:top="1440" w:right="1440" w:bottom="1440" w:left="1440" w:header="720" w:footer="720" w:gutter="0"/>
          <w:cols w:space="720"/>
          <w:docGrid w:linePitch="360"/>
        </w:sectPr>
      </w:pPr>
      <w:r>
        <w:t xml:space="preserve">Following Table </w:t>
      </w:r>
      <w:r w:rsidR="00527966">
        <w:t>4</w:t>
      </w:r>
      <w:r w:rsidR="009E4AE4">
        <w:t xml:space="preserve"> in the present report</w:t>
      </w:r>
      <w:r>
        <w:t xml:space="preserve">, we </w:t>
      </w:r>
      <w:r w:rsidR="00D51ED0">
        <w:t xml:space="preserve">present and </w:t>
      </w:r>
      <w:r>
        <w:t>discuss program specific information for Tier 2 programs with the highest overall average improvement index values.</w:t>
      </w:r>
    </w:p>
    <w:p w:rsidR="0082145B" w:rsidRDefault="00AC0F63">
      <w:pPr>
        <w:spacing w:after="100" w:line="240" w:lineRule="auto"/>
        <w:rPr>
          <w:b/>
        </w:rPr>
      </w:pPr>
      <w:r w:rsidRPr="00930FBE">
        <w:rPr>
          <w:b/>
        </w:rPr>
        <w:lastRenderedPageBreak/>
        <w:t xml:space="preserve">Table </w:t>
      </w:r>
      <w:r w:rsidR="00527966">
        <w:rPr>
          <w:b/>
        </w:rPr>
        <w:t>4</w:t>
      </w:r>
      <w:r w:rsidRPr="00930FBE">
        <w:rPr>
          <w:b/>
        </w:rPr>
        <w:t xml:space="preserve">. </w:t>
      </w:r>
      <w:r w:rsidR="000F766F">
        <w:rPr>
          <w:b/>
        </w:rPr>
        <w:t>Tier 2</w:t>
      </w:r>
      <w:r w:rsidR="00430679">
        <w:rPr>
          <w:b/>
        </w:rPr>
        <w:t xml:space="preserve"> </w:t>
      </w:r>
      <w:r w:rsidR="000F766F">
        <w:rPr>
          <w:b/>
        </w:rPr>
        <w:t xml:space="preserve">Dropout Prevention/intervention </w:t>
      </w:r>
      <w:r w:rsidRPr="00930FBE">
        <w:rPr>
          <w:b/>
        </w:rPr>
        <w:t>Program</w:t>
      </w:r>
      <w:r w:rsidR="000012C1">
        <w:rPr>
          <w:b/>
        </w:rPr>
        <w:t xml:space="preserve"> Effectiveness Results for those </w:t>
      </w:r>
      <w:r w:rsidR="000012C1" w:rsidRPr="00930FBE">
        <w:rPr>
          <w:b/>
        </w:rPr>
        <w:t>with</w:t>
      </w:r>
      <w:r w:rsidR="000F766F">
        <w:rPr>
          <w:b/>
        </w:rPr>
        <w:t xml:space="preserve"> Studies reviewed by </w:t>
      </w:r>
      <w:r w:rsidR="00430679">
        <w:rPr>
          <w:b/>
        </w:rPr>
        <w:t xml:space="preserve">WWC Review </w:t>
      </w:r>
    </w:p>
    <w:tbl>
      <w:tblPr>
        <w:tblStyle w:val="TableGrid"/>
        <w:tblW w:w="12348" w:type="dxa"/>
        <w:tblLayout w:type="fixed"/>
        <w:tblLook w:val="04A0"/>
      </w:tblPr>
      <w:tblGrid>
        <w:gridCol w:w="2628"/>
        <w:gridCol w:w="1620"/>
        <w:gridCol w:w="1530"/>
        <w:gridCol w:w="1170"/>
        <w:gridCol w:w="1530"/>
        <w:gridCol w:w="1170"/>
        <w:gridCol w:w="1530"/>
        <w:gridCol w:w="1170"/>
      </w:tblGrid>
      <w:tr w:rsidR="009321B4" w:rsidTr="0028229F">
        <w:tc>
          <w:tcPr>
            <w:tcW w:w="2628" w:type="dxa"/>
            <w:vMerge w:val="restart"/>
            <w:shd w:val="clear" w:color="auto" w:fill="D9D9D9" w:themeFill="background1" w:themeFillShade="D9"/>
            <w:vAlign w:val="center"/>
          </w:tcPr>
          <w:p w:rsidR="009321B4" w:rsidRPr="007E7790" w:rsidRDefault="009321B4" w:rsidP="00430679">
            <w:pPr>
              <w:pStyle w:val="ListParagraph"/>
              <w:ind w:left="0"/>
              <w:rPr>
                <w:b/>
              </w:rPr>
            </w:pPr>
          </w:p>
        </w:tc>
        <w:tc>
          <w:tcPr>
            <w:tcW w:w="1620" w:type="dxa"/>
            <w:vMerge w:val="restart"/>
            <w:shd w:val="clear" w:color="auto" w:fill="D9D9D9" w:themeFill="background1" w:themeFillShade="D9"/>
            <w:vAlign w:val="center"/>
          </w:tcPr>
          <w:p w:rsidR="009321B4" w:rsidRPr="001F268C" w:rsidRDefault="009321B4" w:rsidP="00E45FE7">
            <w:pPr>
              <w:jc w:val="center"/>
              <w:rPr>
                <w:b/>
              </w:rPr>
            </w:pPr>
            <w:r>
              <w:rPr>
                <w:b/>
              </w:rPr>
              <w:t xml:space="preserve">Overall </w:t>
            </w:r>
            <w:r w:rsidR="00E45FE7">
              <w:rPr>
                <w:b/>
              </w:rPr>
              <w:t xml:space="preserve">Average </w:t>
            </w:r>
            <w:r>
              <w:rPr>
                <w:b/>
              </w:rPr>
              <w:t>Weighted Improvement Index</w:t>
            </w:r>
          </w:p>
        </w:tc>
        <w:tc>
          <w:tcPr>
            <w:tcW w:w="8100" w:type="dxa"/>
            <w:gridSpan w:val="6"/>
            <w:shd w:val="clear" w:color="auto" w:fill="D9D9D9" w:themeFill="background1" w:themeFillShade="D9"/>
            <w:vAlign w:val="center"/>
          </w:tcPr>
          <w:p w:rsidR="009321B4" w:rsidRDefault="009321B4" w:rsidP="009D17C0">
            <w:pPr>
              <w:pStyle w:val="ListParagraph"/>
              <w:ind w:left="0"/>
              <w:jc w:val="center"/>
              <w:rPr>
                <w:b/>
              </w:rPr>
            </w:pPr>
            <w:r w:rsidRPr="001F268C">
              <w:rPr>
                <w:b/>
              </w:rPr>
              <w:t xml:space="preserve">WWC-reported Improvement Index Values </w:t>
            </w:r>
            <w:r>
              <w:rPr>
                <w:b/>
              </w:rPr>
              <w:t xml:space="preserve">and Extent of Evidence Rating </w:t>
            </w:r>
            <w:r w:rsidRPr="001F268C">
              <w:rPr>
                <w:b/>
              </w:rPr>
              <w:t>by Outcome</w:t>
            </w:r>
          </w:p>
        </w:tc>
      </w:tr>
      <w:tr w:rsidR="009321B4" w:rsidTr="0028229F">
        <w:tc>
          <w:tcPr>
            <w:tcW w:w="2628" w:type="dxa"/>
            <w:vMerge/>
            <w:tcBorders>
              <w:bottom w:val="single" w:sz="4" w:space="0" w:color="000000" w:themeColor="text1"/>
            </w:tcBorders>
            <w:shd w:val="clear" w:color="auto" w:fill="D9D9D9" w:themeFill="background1" w:themeFillShade="D9"/>
            <w:vAlign w:val="center"/>
          </w:tcPr>
          <w:p w:rsidR="009321B4" w:rsidRDefault="009321B4" w:rsidP="00AC0F63">
            <w:pPr>
              <w:pStyle w:val="ListParagraph"/>
              <w:ind w:left="0"/>
            </w:pPr>
          </w:p>
        </w:tc>
        <w:tc>
          <w:tcPr>
            <w:tcW w:w="1620" w:type="dxa"/>
            <w:vMerge/>
            <w:shd w:val="clear" w:color="auto" w:fill="D9D9D9" w:themeFill="background1" w:themeFillShade="D9"/>
            <w:vAlign w:val="center"/>
          </w:tcPr>
          <w:p w:rsidR="009321B4" w:rsidRDefault="009321B4" w:rsidP="00AC0F63">
            <w:pPr>
              <w:jc w:val="center"/>
              <w:rPr>
                <w:b/>
              </w:rPr>
            </w:pPr>
          </w:p>
        </w:tc>
        <w:tc>
          <w:tcPr>
            <w:tcW w:w="2700" w:type="dxa"/>
            <w:gridSpan w:val="2"/>
            <w:shd w:val="clear" w:color="auto" w:fill="D9D9D9" w:themeFill="background1" w:themeFillShade="D9"/>
            <w:vAlign w:val="center"/>
          </w:tcPr>
          <w:p w:rsidR="009321B4" w:rsidRPr="001F268C" w:rsidRDefault="009321B4" w:rsidP="00AC0F63">
            <w:pPr>
              <w:jc w:val="center"/>
              <w:rPr>
                <w:b/>
              </w:rPr>
            </w:pPr>
            <w:r>
              <w:rPr>
                <w:b/>
              </w:rPr>
              <w:t>Progressing in S</w:t>
            </w:r>
            <w:r w:rsidRPr="001F268C">
              <w:rPr>
                <w:b/>
              </w:rPr>
              <w:t>chool</w:t>
            </w:r>
            <w:r w:rsidR="00993F90" w:rsidRPr="00993F90">
              <w:rPr>
                <w:b/>
                <w:vertAlign w:val="superscript"/>
              </w:rPr>
              <w:t>a</w:t>
            </w:r>
          </w:p>
        </w:tc>
        <w:tc>
          <w:tcPr>
            <w:tcW w:w="2700" w:type="dxa"/>
            <w:gridSpan w:val="2"/>
            <w:shd w:val="clear" w:color="auto" w:fill="D9D9D9" w:themeFill="background1" w:themeFillShade="D9"/>
            <w:vAlign w:val="center"/>
          </w:tcPr>
          <w:p w:rsidR="009321B4" w:rsidRPr="001F268C" w:rsidRDefault="009321B4" w:rsidP="00100D0D">
            <w:pPr>
              <w:jc w:val="center"/>
              <w:rPr>
                <w:b/>
              </w:rPr>
            </w:pPr>
            <w:r w:rsidRPr="001F268C">
              <w:rPr>
                <w:b/>
              </w:rPr>
              <w:t xml:space="preserve">Staying in </w:t>
            </w:r>
            <w:r>
              <w:rPr>
                <w:b/>
              </w:rPr>
              <w:t>S</w:t>
            </w:r>
            <w:r w:rsidRPr="001F268C">
              <w:rPr>
                <w:b/>
              </w:rPr>
              <w:t>chool</w:t>
            </w:r>
            <w:r w:rsidR="00993F90" w:rsidRPr="00993F90">
              <w:rPr>
                <w:b/>
                <w:vertAlign w:val="superscript"/>
              </w:rPr>
              <w:t>b</w:t>
            </w:r>
          </w:p>
        </w:tc>
        <w:tc>
          <w:tcPr>
            <w:tcW w:w="2700" w:type="dxa"/>
            <w:gridSpan w:val="2"/>
            <w:shd w:val="clear" w:color="auto" w:fill="D9D9D9" w:themeFill="background1" w:themeFillShade="D9"/>
            <w:vAlign w:val="center"/>
          </w:tcPr>
          <w:p w:rsidR="009321B4" w:rsidRDefault="009321B4" w:rsidP="00234D13">
            <w:pPr>
              <w:jc w:val="center"/>
              <w:rPr>
                <w:b/>
              </w:rPr>
            </w:pPr>
            <w:r w:rsidRPr="001F268C">
              <w:rPr>
                <w:b/>
              </w:rPr>
              <w:t>Completing school</w:t>
            </w:r>
            <w:r w:rsidR="00993F90" w:rsidRPr="00993F90">
              <w:rPr>
                <w:b/>
                <w:vertAlign w:val="superscript"/>
              </w:rPr>
              <w:t>c</w:t>
            </w:r>
          </w:p>
        </w:tc>
      </w:tr>
      <w:tr w:rsidR="009321B4" w:rsidTr="0028229F">
        <w:tc>
          <w:tcPr>
            <w:tcW w:w="2628" w:type="dxa"/>
            <w:vMerge/>
            <w:tcBorders>
              <w:bottom w:val="single" w:sz="4" w:space="0" w:color="000000" w:themeColor="text1"/>
            </w:tcBorders>
            <w:shd w:val="clear" w:color="auto" w:fill="D9D9D9" w:themeFill="background1" w:themeFillShade="D9"/>
            <w:vAlign w:val="center"/>
          </w:tcPr>
          <w:p w:rsidR="009321B4" w:rsidRDefault="009321B4" w:rsidP="00AC0F63">
            <w:pPr>
              <w:pStyle w:val="ListParagraph"/>
              <w:ind w:left="0"/>
            </w:pPr>
          </w:p>
        </w:tc>
        <w:tc>
          <w:tcPr>
            <w:tcW w:w="1620" w:type="dxa"/>
            <w:vMerge/>
            <w:shd w:val="clear" w:color="auto" w:fill="F2F2F2" w:themeFill="background1" w:themeFillShade="F2"/>
            <w:vAlign w:val="center"/>
          </w:tcPr>
          <w:p w:rsidR="009321B4" w:rsidRDefault="009321B4" w:rsidP="00AC0F63">
            <w:pPr>
              <w:jc w:val="center"/>
              <w:rPr>
                <w:b/>
              </w:rPr>
            </w:pPr>
          </w:p>
        </w:tc>
        <w:tc>
          <w:tcPr>
            <w:tcW w:w="1530" w:type="dxa"/>
            <w:shd w:val="clear" w:color="auto" w:fill="F2F2F2" w:themeFill="background1" w:themeFillShade="F2"/>
            <w:vAlign w:val="center"/>
          </w:tcPr>
          <w:p w:rsidR="009321B4" w:rsidRPr="001F268C" w:rsidRDefault="009321B4" w:rsidP="00AC0F63">
            <w:pPr>
              <w:jc w:val="center"/>
              <w:rPr>
                <w:b/>
              </w:rPr>
            </w:pPr>
            <w:r>
              <w:rPr>
                <w:b/>
              </w:rPr>
              <w:t>Improvement Index</w:t>
            </w:r>
          </w:p>
        </w:tc>
        <w:tc>
          <w:tcPr>
            <w:tcW w:w="1170" w:type="dxa"/>
            <w:shd w:val="clear" w:color="auto" w:fill="F2F2F2" w:themeFill="background1" w:themeFillShade="F2"/>
            <w:vAlign w:val="center"/>
          </w:tcPr>
          <w:p w:rsidR="009321B4" w:rsidRPr="001F268C" w:rsidRDefault="009321B4" w:rsidP="00AC0F63">
            <w:pPr>
              <w:jc w:val="center"/>
              <w:rPr>
                <w:b/>
              </w:rPr>
            </w:pPr>
            <w:r>
              <w:rPr>
                <w:b/>
              </w:rPr>
              <w:t>Extent of Evidence</w:t>
            </w:r>
            <w:r w:rsidR="00993F90" w:rsidRPr="00993F90">
              <w:rPr>
                <w:b/>
                <w:vertAlign w:val="superscript"/>
              </w:rPr>
              <w:t>d</w:t>
            </w:r>
          </w:p>
        </w:tc>
        <w:tc>
          <w:tcPr>
            <w:tcW w:w="1530" w:type="dxa"/>
            <w:shd w:val="clear" w:color="auto" w:fill="F2F2F2" w:themeFill="background1" w:themeFillShade="F2"/>
            <w:vAlign w:val="center"/>
          </w:tcPr>
          <w:p w:rsidR="009321B4" w:rsidRPr="001F268C" w:rsidRDefault="009321B4" w:rsidP="00E56E97">
            <w:pPr>
              <w:jc w:val="center"/>
              <w:rPr>
                <w:b/>
              </w:rPr>
            </w:pPr>
            <w:r>
              <w:rPr>
                <w:b/>
              </w:rPr>
              <w:t>Improvement Index</w:t>
            </w:r>
          </w:p>
        </w:tc>
        <w:tc>
          <w:tcPr>
            <w:tcW w:w="1170" w:type="dxa"/>
            <w:shd w:val="clear" w:color="auto" w:fill="F2F2F2" w:themeFill="background1" w:themeFillShade="F2"/>
            <w:vAlign w:val="center"/>
          </w:tcPr>
          <w:p w:rsidR="009321B4" w:rsidRPr="001F268C" w:rsidRDefault="009321B4" w:rsidP="00E56E97">
            <w:pPr>
              <w:jc w:val="center"/>
              <w:rPr>
                <w:b/>
              </w:rPr>
            </w:pPr>
            <w:r>
              <w:rPr>
                <w:b/>
              </w:rPr>
              <w:t>Extent of Evidence</w:t>
            </w:r>
          </w:p>
        </w:tc>
        <w:tc>
          <w:tcPr>
            <w:tcW w:w="1530" w:type="dxa"/>
            <w:shd w:val="clear" w:color="auto" w:fill="F2F2F2" w:themeFill="background1" w:themeFillShade="F2"/>
            <w:vAlign w:val="center"/>
          </w:tcPr>
          <w:p w:rsidR="009321B4" w:rsidRPr="001F268C" w:rsidRDefault="009321B4" w:rsidP="00E56E97">
            <w:pPr>
              <w:jc w:val="center"/>
              <w:rPr>
                <w:b/>
              </w:rPr>
            </w:pPr>
            <w:r>
              <w:rPr>
                <w:b/>
              </w:rPr>
              <w:t>Improvement Index</w:t>
            </w:r>
          </w:p>
        </w:tc>
        <w:tc>
          <w:tcPr>
            <w:tcW w:w="1170" w:type="dxa"/>
            <w:shd w:val="clear" w:color="auto" w:fill="F2F2F2" w:themeFill="background1" w:themeFillShade="F2"/>
            <w:vAlign w:val="center"/>
          </w:tcPr>
          <w:p w:rsidR="009321B4" w:rsidRPr="001F268C" w:rsidRDefault="009321B4" w:rsidP="00E56E97">
            <w:pPr>
              <w:jc w:val="center"/>
              <w:rPr>
                <w:b/>
              </w:rPr>
            </w:pPr>
            <w:r>
              <w:rPr>
                <w:b/>
              </w:rPr>
              <w:t>Extent of Evidence</w:t>
            </w:r>
          </w:p>
        </w:tc>
      </w:tr>
      <w:tr w:rsidR="009321B4" w:rsidTr="0028229F">
        <w:trPr>
          <w:trHeight w:val="332"/>
        </w:trPr>
        <w:tc>
          <w:tcPr>
            <w:tcW w:w="2628" w:type="dxa"/>
            <w:shd w:val="clear" w:color="auto" w:fill="FFFFFF" w:themeFill="background1"/>
            <w:vAlign w:val="center"/>
          </w:tcPr>
          <w:p w:rsidR="009321B4" w:rsidRDefault="009321B4" w:rsidP="00D655CB">
            <w:pPr>
              <w:rPr>
                <w:rFonts w:ascii="Calibri" w:hAnsi="Calibri"/>
                <w:color w:val="000000"/>
              </w:rPr>
            </w:pPr>
            <w:r>
              <w:rPr>
                <w:rFonts w:ascii="Calibri" w:hAnsi="Calibri"/>
                <w:color w:val="000000"/>
              </w:rPr>
              <w:t>ALAS</w:t>
            </w:r>
          </w:p>
        </w:tc>
        <w:tc>
          <w:tcPr>
            <w:tcW w:w="1620" w:type="dxa"/>
            <w:shd w:val="clear" w:color="auto" w:fill="FFFFFF" w:themeFill="background1"/>
            <w:vAlign w:val="center"/>
          </w:tcPr>
          <w:p w:rsidR="009321B4" w:rsidRDefault="009321B4" w:rsidP="00A35A57">
            <w:pPr>
              <w:jc w:val="center"/>
              <w:rPr>
                <w:rFonts w:ascii="Calibri" w:hAnsi="Calibri"/>
                <w:color w:val="000000"/>
              </w:rPr>
            </w:pPr>
            <w:r>
              <w:rPr>
                <w:rFonts w:ascii="Calibri" w:hAnsi="Calibri"/>
                <w:color w:val="000000"/>
              </w:rPr>
              <w:t>30.50</w:t>
            </w:r>
          </w:p>
        </w:tc>
        <w:tc>
          <w:tcPr>
            <w:tcW w:w="1530" w:type="dxa"/>
            <w:shd w:val="clear" w:color="auto" w:fill="FFFFFF" w:themeFill="background1"/>
            <w:vAlign w:val="center"/>
          </w:tcPr>
          <w:p w:rsidR="009321B4" w:rsidRDefault="009321B4" w:rsidP="00A35A57">
            <w:pPr>
              <w:jc w:val="center"/>
              <w:rPr>
                <w:rFonts w:ascii="Calibri" w:hAnsi="Calibri"/>
                <w:color w:val="000000"/>
              </w:rPr>
            </w:pPr>
            <w:r>
              <w:rPr>
                <w:rFonts w:ascii="Calibri" w:hAnsi="Calibri"/>
                <w:color w:val="000000"/>
              </w:rPr>
              <w:t>19</w:t>
            </w:r>
          </w:p>
        </w:tc>
        <w:tc>
          <w:tcPr>
            <w:tcW w:w="1170" w:type="dxa"/>
            <w:shd w:val="clear" w:color="auto" w:fill="FFFFFF" w:themeFill="background1"/>
            <w:vAlign w:val="center"/>
          </w:tcPr>
          <w:p w:rsidR="009321B4" w:rsidRDefault="009321B4" w:rsidP="00A35A57">
            <w:pPr>
              <w:jc w:val="center"/>
              <w:rPr>
                <w:rFonts w:ascii="Calibri" w:hAnsi="Calibri"/>
                <w:color w:val="000000"/>
              </w:rPr>
            </w:pPr>
            <w:r>
              <w:rPr>
                <w:rFonts w:ascii="Calibri" w:hAnsi="Calibri"/>
                <w:color w:val="000000"/>
              </w:rPr>
              <w:t>1</w:t>
            </w:r>
          </w:p>
        </w:tc>
        <w:tc>
          <w:tcPr>
            <w:tcW w:w="1530" w:type="dxa"/>
            <w:shd w:val="clear" w:color="auto" w:fill="FFFFFF" w:themeFill="background1"/>
            <w:vAlign w:val="center"/>
          </w:tcPr>
          <w:p w:rsidR="009321B4" w:rsidRDefault="009321B4" w:rsidP="00A35A57">
            <w:pPr>
              <w:jc w:val="center"/>
              <w:rPr>
                <w:rFonts w:ascii="Calibri" w:hAnsi="Calibri"/>
                <w:color w:val="000000"/>
              </w:rPr>
            </w:pPr>
            <w:r>
              <w:rPr>
                <w:rFonts w:ascii="Calibri" w:hAnsi="Calibri"/>
                <w:color w:val="000000"/>
              </w:rPr>
              <w:t>42</w:t>
            </w:r>
          </w:p>
        </w:tc>
        <w:tc>
          <w:tcPr>
            <w:tcW w:w="1170" w:type="dxa"/>
            <w:shd w:val="clear" w:color="auto" w:fill="FFFFFF" w:themeFill="background1"/>
            <w:vAlign w:val="center"/>
          </w:tcPr>
          <w:p w:rsidR="009321B4" w:rsidRDefault="009321B4" w:rsidP="00A35A57">
            <w:pPr>
              <w:jc w:val="center"/>
              <w:rPr>
                <w:rFonts w:ascii="Calibri" w:hAnsi="Calibri"/>
                <w:color w:val="000000"/>
              </w:rPr>
            </w:pPr>
            <w:r>
              <w:rPr>
                <w:rFonts w:ascii="Calibri" w:hAnsi="Calibri"/>
                <w:color w:val="000000"/>
              </w:rPr>
              <w:t>1</w:t>
            </w:r>
          </w:p>
        </w:tc>
        <w:tc>
          <w:tcPr>
            <w:tcW w:w="1530" w:type="dxa"/>
            <w:shd w:val="clear" w:color="auto" w:fill="FFFFFF" w:themeFill="background1"/>
            <w:vAlign w:val="center"/>
          </w:tcPr>
          <w:p w:rsidR="009321B4" w:rsidRDefault="009321B4" w:rsidP="00A35A57">
            <w:pPr>
              <w:jc w:val="center"/>
              <w:rPr>
                <w:rFonts w:ascii="Calibri" w:hAnsi="Calibri"/>
                <w:color w:val="000000"/>
              </w:rPr>
            </w:pPr>
          </w:p>
        </w:tc>
        <w:tc>
          <w:tcPr>
            <w:tcW w:w="1170" w:type="dxa"/>
            <w:shd w:val="clear" w:color="auto" w:fill="FFFFFF" w:themeFill="background1"/>
            <w:vAlign w:val="center"/>
          </w:tcPr>
          <w:p w:rsidR="009321B4" w:rsidRDefault="009321B4" w:rsidP="00A35A57">
            <w:pPr>
              <w:jc w:val="center"/>
              <w:rPr>
                <w:rFonts w:ascii="Calibri" w:hAnsi="Calibri"/>
                <w:color w:val="000000"/>
              </w:rPr>
            </w:pPr>
          </w:p>
        </w:tc>
      </w:tr>
      <w:tr w:rsidR="009321B4" w:rsidTr="0028229F">
        <w:tc>
          <w:tcPr>
            <w:tcW w:w="2628" w:type="dxa"/>
            <w:shd w:val="clear" w:color="auto" w:fill="FFFFFF" w:themeFill="background1"/>
            <w:vAlign w:val="center"/>
          </w:tcPr>
          <w:p w:rsidR="009321B4" w:rsidRDefault="009321B4" w:rsidP="00D655CB">
            <w:pPr>
              <w:rPr>
                <w:rFonts w:ascii="Calibri" w:hAnsi="Calibri"/>
                <w:color w:val="000000"/>
              </w:rPr>
            </w:pPr>
            <w:r>
              <w:rPr>
                <w:rFonts w:ascii="Calibri" w:hAnsi="Calibri"/>
                <w:color w:val="000000"/>
              </w:rPr>
              <w:t>Accelerated Middle Schools</w:t>
            </w:r>
          </w:p>
        </w:tc>
        <w:tc>
          <w:tcPr>
            <w:tcW w:w="1620" w:type="dxa"/>
            <w:shd w:val="clear" w:color="auto" w:fill="FFFFFF" w:themeFill="background1"/>
            <w:vAlign w:val="center"/>
          </w:tcPr>
          <w:p w:rsidR="009321B4" w:rsidRDefault="009321B4" w:rsidP="00A35A57">
            <w:pPr>
              <w:jc w:val="center"/>
              <w:rPr>
                <w:rFonts w:ascii="Calibri" w:hAnsi="Calibri"/>
                <w:color w:val="000000"/>
              </w:rPr>
            </w:pPr>
            <w:r>
              <w:rPr>
                <w:rFonts w:ascii="Calibri" w:hAnsi="Calibri"/>
                <w:color w:val="000000"/>
              </w:rPr>
              <w:t>26.50</w:t>
            </w:r>
          </w:p>
        </w:tc>
        <w:tc>
          <w:tcPr>
            <w:tcW w:w="1530" w:type="dxa"/>
            <w:shd w:val="clear" w:color="auto" w:fill="FFFFFF" w:themeFill="background1"/>
            <w:vAlign w:val="center"/>
          </w:tcPr>
          <w:p w:rsidR="009321B4" w:rsidRDefault="009321B4" w:rsidP="00A35A57">
            <w:pPr>
              <w:jc w:val="center"/>
              <w:rPr>
                <w:rFonts w:ascii="Calibri" w:hAnsi="Calibri"/>
                <w:color w:val="000000"/>
              </w:rPr>
            </w:pPr>
            <w:r>
              <w:rPr>
                <w:rFonts w:ascii="Calibri" w:hAnsi="Calibri"/>
                <w:color w:val="000000"/>
              </w:rPr>
              <w:t>35</w:t>
            </w:r>
          </w:p>
        </w:tc>
        <w:tc>
          <w:tcPr>
            <w:tcW w:w="1170" w:type="dxa"/>
            <w:shd w:val="clear" w:color="auto" w:fill="FFFFFF" w:themeFill="background1"/>
            <w:vAlign w:val="center"/>
          </w:tcPr>
          <w:p w:rsidR="009321B4" w:rsidRDefault="009321B4" w:rsidP="00A35A57">
            <w:pPr>
              <w:jc w:val="center"/>
              <w:rPr>
                <w:rFonts w:ascii="Calibri" w:hAnsi="Calibri"/>
                <w:color w:val="000000"/>
              </w:rPr>
            </w:pPr>
            <w:r>
              <w:rPr>
                <w:rFonts w:ascii="Calibri" w:hAnsi="Calibri"/>
                <w:color w:val="000000"/>
              </w:rPr>
              <w:t>2</w:t>
            </w:r>
          </w:p>
        </w:tc>
        <w:tc>
          <w:tcPr>
            <w:tcW w:w="1530" w:type="dxa"/>
            <w:shd w:val="clear" w:color="auto" w:fill="FFFFFF" w:themeFill="background1"/>
            <w:vAlign w:val="center"/>
          </w:tcPr>
          <w:p w:rsidR="009321B4" w:rsidRDefault="009321B4" w:rsidP="00A35A57">
            <w:pPr>
              <w:jc w:val="center"/>
              <w:rPr>
                <w:rFonts w:ascii="Calibri" w:hAnsi="Calibri"/>
                <w:color w:val="000000"/>
              </w:rPr>
            </w:pPr>
            <w:r>
              <w:rPr>
                <w:rFonts w:ascii="Calibri" w:hAnsi="Calibri"/>
                <w:color w:val="000000"/>
              </w:rPr>
              <w:t>18</w:t>
            </w:r>
          </w:p>
        </w:tc>
        <w:tc>
          <w:tcPr>
            <w:tcW w:w="1170" w:type="dxa"/>
            <w:shd w:val="clear" w:color="auto" w:fill="FFFFFF" w:themeFill="background1"/>
            <w:vAlign w:val="center"/>
          </w:tcPr>
          <w:p w:rsidR="009321B4" w:rsidRDefault="009321B4" w:rsidP="00A35A57">
            <w:pPr>
              <w:jc w:val="center"/>
              <w:rPr>
                <w:rFonts w:ascii="Calibri" w:hAnsi="Calibri"/>
                <w:color w:val="000000"/>
              </w:rPr>
            </w:pPr>
            <w:r>
              <w:rPr>
                <w:rFonts w:ascii="Calibri" w:hAnsi="Calibri"/>
                <w:color w:val="000000"/>
              </w:rPr>
              <w:t>2</w:t>
            </w:r>
          </w:p>
        </w:tc>
        <w:tc>
          <w:tcPr>
            <w:tcW w:w="1530" w:type="dxa"/>
            <w:shd w:val="clear" w:color="auto" w:fill="FFFFFF" w:themeFill="background1"/>
            <w:vAlign w:val="center"/>
          </w:tcPr>
          <w:p w:rsidR="009321B4" w:rsidRDefault="009321B4" w:rsidP="00A35A57">
            <w:pPr>
              <w:jc w:val="center"/>
              <w:rPr>
                <w:rFonts w:ascii="Calibri" w:hAnsi="Calibri"/>
                <w:color w:val="000000"/>
              </w:rPr>
            </w:pPr>
          </w:p>
        </w:tc>
        <w:tc>
          <w:tcPr>
            <w:tcW w:w="1170" w:type="dxa"/>
            <w:shd w:val="clear" w:color="auto" w:fill="FFFFFF" w:themeFill="background1"/>
            <w:vAlign w:val="center"/>
          </w:tcPr>
          <w:p w:rsidR="009321B4" w:rsidRDefault="009321B4" w:rsidP="00A35A57">
            <w:pPr>
              <w:jc w:val="center"/>
              <w:rPr>
                <w:rFonts w:ascii="Calibri" w:hAnsi="Calibri"/>
                <w:color w:val="000000"/>
              </w:rPr>
            </w:pPr>
          </w:p>
        </w:tc>
      </w:tr>
      <w:tr w:rsidR="009321B4" w:rsidTr="0028229F">
        <w:tc>
          <w:tcPr>
            <w:tcW w:w="2628" w:type="dxa"/>
            <w:shd w:val="clear" w:color="auto" w:fill="FFFFFF" w:themeFill="background1"/>
            <w:vAlign w:val="center"/>
          </w:tcPr>
          <w:p w:rsidR="009321B4" w:rsidRDefault="009321B4" w:rsidP="00D655CB">
            <w:pPr>
              <w:rPr>
                <w:rFonts w:ascii="Calibri" w:hAnsi="Calibri"/>
                <w:color w:val="000000"/>
              </w:rPr>
            </w:pPr>
            <w:r>
              <w:rPr>
                <w:rFonts w:ascii="Calibri" w:hAnsi="Calibri"/>
                <w:color w:val="000000"/>
              </w:rPr>
              <w:t>Check &amp; Connect</w:t>
            </w:r>
          </w:p>
        </w:tc>
        <w:tc>
          <w:tcPr>
            <w:tcW w:w="1620" w:type="dxa"/>
            <w:shd w:val="clear" w:color="auto" w:fill="FFFFFF" w:themeFill="background1"/>
            <w:vAlign w:val="center"/>
          </w:tcPr>
          <w:p w:rsidR="009321B4" w:rsidRDefault="009321B4" w:rsidP="00A35A57">
            <w:pPr>
              <w:jc w:val="center"/>
              <w:rPr>
                <w:rFonts w:ascii="Calibri" w:hAnsi="Calibri"/>
                <w:color w:val="000000"/>
              </w:rPr>
            </w:pPr>
            <w:r>
              <w:rPr>
                <w:rFonts w:ascii="Calibri" w:hAnsi="Calibri"/>
                <w:color w:val="000000"/>
              </w:rPr>
              <w:t>18.67</w:t>
            </w:r>
          </w:p>
        </w:tc>
        <w:tc>
          <w:tcPr>
            <w:tcW w:w="1530" w:type="dxa"/>
            <w:shd w:val="clear" w:color="auto" w:fill="FFFFFF" w:themeFill="background1"/>
            <w:vAlign w:val="center"/>
          </w:tcPr>
          <w:p w:rsidR="009321B4" w:rsidRDefault="009321B4" w:rsidP="00A35A57">
            <w:pPr>
              <w:jc w:val="center"/>
              <w:rPr>
                <w:rFonts w:ascii="Calibri" w:hAnsi="Calibri"/>
                <w:color w:val="000000"/>
              </w:rPr>
            </w:pPr>
            <w:r>
              <w:rPr>
                <w:rFonts w:ascii="Calibri" w:hAnsi="Calibri"/>
                <w:color w:val="000000"/>
              </w:rPr>
              <w:t>30</w:t>
            </w:r>
          </w:p>
        </w:tc>
        <w:tc>
          <w:tcPr>
            <w:tcW w:w="1170" w:type="dxa"/>
            <w:shd w:val="clear" w:color="auto" w:fill="FFFFFF" w:themeFill="background1"/>
            <w:vAlign w:val="center"/>
          </w:tcPr>
          <w:p w:rsidR="009321B4" w:rsidRDefault="009321B4" w:rsidP="00A35A57">
            <w:pPr>
              <w:jc w:val="center"/>
              <w:rPr>
                <w:rFonts w:ascii="Calibri" w:hAnsi="Calibri"/>
                <w:color w:val="000000"/>
              </w:rPr>
            </w:pPr>
            <w:r>
              <w:rPr>
                <w:rFonts w:ascii="Calibri" w:hAnsi="Calibri"/>
                <w:color w:val="000000"/>
              </w:rPr>
              <w:t>1</w:t>
            </w:r>
          </w:p>
        </w:tc>
        <w:tc>
          <w:tcPr>
            <w:tcW w:w="1530" w:type="dxa"/>
            <w:shd w:val="clear" w:color="auto" w:fill="FFFFFF" w:themeFill="background1"/>
            <w:vAlign w:val="center"/>
          </w:tcPr>
          <w:p w:rsidR="009321B4" w:rsidRDefault="009321B4" w:rsidP="00A35A57">
            <w:pPr>
              <w:jc w:val="center"/>
              <w:rPr>
                <w:rFonts w:ascii="Calibri" w:hAnsi="Calibri"/>
                <w:color w:val="000000"/>
              </w:rPr>
            </w:pPr>
            <w:r>
              <w:rPr>
                <w:rFonts w:ascii="Calibri" w:hAnsi="Calibri"/>
                <w:color w:val="000000"/>
              </w:rPr>
              <w:t>25</w:t>
            </w:r>
          </w:p>
        </w:tc>
        <w:tc>
          <w:tcPr>
            <w:tcW w:w="1170" w:type="dxa"/>
            <w:shd w:val="clear" w:color="auto" w:fill="FFFFFF" w:themeFill="background1"/>
            <w:vAlign w:val="center"/>
          </w:tcPr>
          <w:p w:rsidR="009321B4" w:rsidRDefault="009321B4" w:rsidP="00A35A57">
            <w:pPr>
              <w:jc w:val="center"/>
              <w:rPr>
                <w:rFonts w:ascii="Calibri" w:hAnsi="Calibri"/>
                <w:color w:val="000000"/>
              </w:rPr>
            </w:pPr>
            <w:r>
              <w:rPr>
                <w:rFonts w:ascii="Calibri" w:hAnsi="Calibri"/>
                <w:color w:val="000000"/>
              </w:rPr>
              <w:t>1</w:t>
            </w:r>
          </w:p>
        </w:tc>
        <w:tc>
          <w:tcPr>
            <w:tcW w:w="1530" w:type="dxa"/>
            <w:shd w:val="clear" w:color="auto" w:fill="FFFFFF" w:themeFill="background1"/>
            <w:vAlign w:val="center"/>
          </w:tcPr>
          <w:p w:rsidR="009321B4" w:rsidRDefault="009321B4" w:rsidP="00A35A57">
            <w:pPr>
              <w:jc w:val="center"/>
              <w:rPr>
                <w:rFonts w:ascii="Calibri" w:hAnsi="Calibri"/>
                <w:color w:val="000000"/>
              </w:rPr>
            </w:pPr>
            <w:r>
              <w:rPr>
                <w:rFonts w:ascii="Calibri" w:hAnsi="Calibri"/>
                <w:color w:val="000000"/>
              </w:rPr>
              <w:t>1</w:t>
            </w:r>
          </w:p>
        </w:tc>
        <w:tc>
          <w:tcPr>
            <w:tcW w:w="1170" w:type="dxa"/>
            <w:shd w:val="clear" w:color="auto" w:fill="FFFFFF" w:themeFill="background1"/>
            <w:vAlign w:val="center"/>
          </w:tcPr>
          <w:p w:rsidR="009321B4" w:rsidRDefault="009321B4" w:rsidP="00A35A57">
            <w:pPr>
              <w:jc w:val="center"/>
              <w:rPr>
                <w:rFonts w:ascii="Calibri" w:hAnsi="Calibri"/>
                <w:color w:val="000000"/>
              </w:rPr>
            </w:pPr>
            <w:r>
              <w:rPr>
                <w:rFonts w:ascii="Calibri" w:hAnsi="Calibri"/>
                <w:color w:val="000000"/>
              </w:rPr>
              <w:t>1</w:t>
            </w:r>
          </w:p>
        </w:tc>
      </w:tr>
      <w:tr w:rsidR="009321B4" w:rsidTr="0028229F">
        <w:tc>
          <w:tcPr>
            <w:tcW w:w="2628" w:type="dxa"/>
            <w:shd w:val="clear" w:color="auto" w:fill="FFFFFF" w:themeFill="background1"/>
            <w:vAlign w:val="center"/>
          </w:tcPr>
          <w:p w:rsidR="009321B4" w:rsidRDefault="009321B4" w:rsidP="00D655CB">
            <w:pPr>
              <w:rPr>
                <w:rFonts w:ascii="Calibri" w:hAnsi="Calibri"/>
                <w:color w:val="000000"/>
              </w:rPr>
            </w:pPr>
            <w:r>
              <w:rPr>
                <w:rFonts w:ascii="Calibri" w:hAnsi="Calibri"/>
                <w:color w:val="000000"/>
              </w:rPr>
              <w:t>Talent Search</w:t>
            </w:r>
          </w:p>
        </w:tc>
        <w:tc>
          <w:tcPr>
            <w:tcW w:w="1620" w:type="dxa"/>
            <w:shd w:val="clear" w:color="auto" w:fill="FFFFFF" w:themeFill="background1"/>
            <w:vAlign w:val="center"/>
          </w:tcPr>
          <w:p w:rsidR="009321B4" w:rsidRDefault="009321B4" w:rsidP="00A35A57">
            <w:pPr>
              <w:jc w:val="center"/>
              <w:rPr>
                <w:rFonts w:ascii="Calibri" w:hAnsi="Calibri"/>
                <w:color w:val="000000"/>
              </w:rPr>
            </w:pPr>
            <w:r>
              <w:rPr>
                <w:rFonts w:ascii="Calibri" w:hAnsi="Calibri"/>
                <w:color w:val="000000"/>
              </w:rPr>
              <w:t>17.00</w:t>
            </w:r>
          </w:p>
        </w:tc>
        <w:tc>
          <w:tcPr>
            <w:tcW w:w="1530" w:type="dxa"/>
            <w:shd w:val="clear" w:color="auto" w:fill="FFFFFF" w:themeFill="background1"/>
            <w:vAlign w:val="center"/>
          </w:tcPr>
          <w:p w:rsidR="009321B4" w:rsidRDefault="009321B4" w:rsidP="00A35A57">
            <w:pPr>
              <w:jc w:val="center"/>
              <w:rPr>
                <w:rFonts w:ascii="Calibri" w:hAnsi="Calibri"/>
                <w:color w:val="000000"/>
              </w:rPr>
            </w:pPr>
          </w:p>
        </w:tc>
        <w:tc>
          <w:tcPr>
            <w:tcW w:w="1170" w:type="dxa"/>
            <w:shd w:val="clear" w:color="auto" w:fill="FFFFFF" w:themeFill="background1"/>
            <w:vAlign w:val="center"/>
          </w:tcPr>
          <w:p w:rsidR="009321B4" w:rsidRDefault="009321B4" w:rsidP="00A35A57">
            <w:pPr>
              <w:jc w:val="center"/>
              <w:rPr>
                <w:rFonts w:ascii="Calibri" w:hAnsi="Calibri"/>
                <w:color w:val="000000"/>
              </w:rPr>
            </w:pPr>
          </w:p>
        </w:tc>
        <w:tc>
          <w:tcPr>
            <w:tcW w:w="1530" w:type="dxa"/>
            <w:shd w:val="clear" w:color="auto" w:fill="FFFFFF" w:themeFill="background1"/>
            <w:vAlign w:val="center"/>
          </w:tcPr>
          <w:p w:rsidR="009321B4" w:rsidRDefault="009321B4" w:rsidP="00A35A57">
            <w:pPr>
              <w:jc w:val="center"/>
              <w:rPr>
                <w:rFonts w:ascii="Calibri" w:hAnsi="Calibri"/>
                <w:color w:val="000000"/>
              </w:rPr>
            </w:pPr>
          </w:p>
        </w:tc>
        <w:tc>
          <w:tcPr>
            <w:tcW w:w="1170" w:type="dxa"/>
            <w:shd w:val="clear" w:color="auto" w:fill="FFFFFF" w:themeFill="background1"/>
            <w:vAlign w:val="center"/>
          </w:tcPr>
          <w:p w:rsidR="009321B4" w:rsidRDefault="009321B4" w:rsidP="00A35A57">
            <w:pPr>
              <w:jc w:val="center"/>
              <w:rPr>
                <w:rFonts w:ascii="Calibri" w:hAnsi="Calibri"/>
                <w:color w:val="000000"/>
              </w:rPr>
            </w:pPr>
          </w:p>
        </w:tc>
        <w:tc>
          <w:tcPr>
            <w:tcW w:w="1530" w:type="dxa"/>
            <w:shd w:val="clear" w:color="auto" w:fill="FFFFFF" w:themeFill="background1"/>
            <w:vAlign w:val="center"/>
          </w:tcPr>
          <w:p w:rsidR="009321B4" w:rsidRDefault="009321B4" w:rsidP="00A35A57">
            <w:pPr>
              <w:jc w:val="center"/>
              <w:rPr>
                <w:rFonts w:ascii="Calibri" w:hAnsi="Calibri"/>
                <w:color w:val="000000"/>
              </w:rPr>
            </w:pPr>
            <w:r>
              <w:rPr>
                <w:rFonts w:ascii="Calibri" w:hAnsi="Calibri"/>
                <w:color w:val="000000"/>
              </w:rPr>
              <w:t>17</w:t>
            </w:r>
          </w:p>
        </w:tc>
        <w:tc>
          <w:tcPr>
            <w:tcW w:w="1170" w:type="dxa"/>
            <w:shd w:val="clear" w:color="auto" w:fill="FFFFFF" w:themeFill="background1"/>
            <w:vAlign w:val="center"/>
          </w:tcPr>
          <w:p w:rsidR="009321B4" w:rsidRDefault="009321B4" w:rsidP="00A35A57">
            <w:pPr>
              <w:jc w:val="center"/>
              <w:rPr>
                <w:rFonts w:ascii="Calibri" w:hAnsi="Calibri"/>
                <w:color w:val="000000"/>
              </w:rPr>
            </w:pPr>
            <w:r>
              <w:rPr>
                <w:rFonts w:ascii="Calibri" w:hAnsi="Calibri"/>
                <w:color w:val="000000"/>
              </w:rPr>
              <w:t>2</w:t>
            </w:r>
          </w:p>
        </w:tc>
      </w:tr>
      <w:tr w:rsidR="009321B4" w:rsidTr="0028229F">
        <w:tc>
          <w:tcPr>
            <w:tcW w:w="2628" w:type="dxa"/>
            <w:shd w:val="clear" w:color="auto" w:fill="FFFFFF" w:themeFill="background1"/>
            <w:vAlign w:val="center"/>
          </w:tcPr>
          <w:p w:rsidR="009321B4" w:rsidRDefault="009321B4" w:rsidP="00D655CB">
            <w:pPr>
              <w:rPr>
                <w:rFonts w:ascii="Calibri" w:hAnsi="Calibri"/>
                <w:color w:val="000000"/>
              </w:rPr>
            </w:pPr>
            <w:r>
              <w:rPr>
                <w:rFonts w:ascii="Calibri" w:hAnsi="Calibri"/>
                <w:color w:val="000000"/>
              </w:rPr>
              <w:t>Financial Incentives for Teen Parents to Stay in School</w:t>
            </w:r>
          </w:p>
        </w:tc>
        <w:tc>
          <w:tcPr>
            <w:tcW w:w="162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4.80</w:t>
            </w:r>
          </w:p>
        </w:tc>
        <w:tc>
          <w:tcPr>
            <w:tcW w:w="153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4</w:t>
            </w:r>
          </w:p>
        </w:tc>
        <w:tc>
          <w:tcPr>
            <w:tcW w:w="117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1</w:t>
            </w:r>
          </w:p>
        </w:tc>
        <w:tc>
          <w:tcPr>
            <w:tcW w:w="153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6</w:t>
            </w:r>
          </w:p>
        </w:tc>
        <w:tc>
          <w:tcPr>
            <w:tcW w:w="117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2</w:t>
            </w:r>
          </w:p>
        </w:tc>
        <w:tc>
          <w:tcPr>
            <w:tcW w:w="153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4</w:t>
            </w:r>
          </w:p>
        </w:tc>
        <w:tc>
          <w:tcPr>
            <w:tcW w:w="117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2</w:t>
            </w:r>
          </w:p>
        </w:tc>
      </w:tr>
      <w:tr w:rsidR="009321B4" w:rsidTr="0028229F">
        <w:tc>
          <w:tcPr>
            <w:tcW w:w="2628" w:type="dxa"/>
            <w:shd w:val="clear" w:color="auto" w:fill="FFFFFF" w:themeFill="background1"/>
            <w:vAlign w:val="center"/>
          </w:tcPr>
          <w:p w:rsidR="009321B4" w:rsidRDefault="009321B4" w:rsidP="00D655CB">
            <w:pPr>
              <w:rPr>
                <w:rFonts w:ascii="Calibri" w:hAnsi="Calibri"/>
                <w:color w:val="000000"/>
              </w:rPr>
            </w:pPr>
            <w:r>
              <w:rPr>
                <w:rFonts w:ascii="Calibri" w:hAnsi="Calibri"/>
                <w:color w:val="000000"/>
              </w:rPr>
              <w:t>High School Redirection</w:t>
            </w:r>
          </w:p>
        </w:tc>
        <w:tc>
          <w:tcPr>
            <w:tcW w:w="162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4.67</w:t>
            </w:r>
          </w:p>
        </w:tc>
        <w:tc>
          <w:tcPr>
            <w:tcW w:w="153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4</w:t>
            </w:r>
          </w:p>
        </w:tc>
        <w:tc>
          <w:tcPr>
            <w:tcW w:w="117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2</w:t>
            </w:r>
          </w:p>
        </w:tc>
        <w:tc>
          <w:tcPr>
            <w:tcW w:w="153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6</w:t>
            </w:r>
          </w:p>
        </w:tc>
        <w:tc>
          <w:tcPr>
            <w:tcW w:w="117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2</w:t>
            </w:r>
          </w:p>
        </w:tc>
        <w:tc>
          <w:tcPr>
            <w:tcW w:w="153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4</w:t>
            </w:r>
          </w:p>
        </w:tc>
        <w:tc>
          <w:tcPr>
            <w:tcW w:w="117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2</w:t>
            </w:r>
          </w:p>
        </w:tc>
      </w:tr>
      <w:tr w:rsidR="009321B4" w:rsidTr="0028229F">
        <w:tc>
          <w:tcPr>
            <w:tcW w:w="2628" w:type="dxa"/>
            <w:shd w:val="clear" w:color="auto" w:fill="FFFFFF" w:themeFill="background1"/>
            <w:vAlign w:val="center"/>
          </w:tcPr>
          <w:p w:rsidR="009321B4" w:rsidRDefault="009321B4" w:rsidP="00D655CB">
            <w:pPr>
              <w:rPr>
                <w:rFonts w:ascii="Calibri" w:hAnsi="Calibri"/>
                <w:color w:val="000000"/>
              </w:rPr>
            </w:pPr>
            <w:r>
              <w:rPr>
                <w:rFonts w:ascii="Calibri" w:hAnsi="Calibri"/>
                <w:color w:val="000000"/>
              </w:rPr>
              <w:t>Twelve Together</w:t>
            </w:r>
          </w:p>
        </w:tc>
        <w:tc>
          <w:tcPr>
            <w:tcW w:w="162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3.50</w:t>
            </w:r>
          </w:p>
        </w:tc>
        <w:tc>
          <w:tcPr>
            <w:tcW w:w="153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-6</w:t>
            </w:r>
          </w:p>
        </w:tc>
        <w:tc>
          <w:tcPr>
            <w:tcW w:w="117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1</w:t>
            </w:r>
          </w:p>
        </w:tc>
        <w:tc>
          <w:tcPr>
            <w:tcW w:w="153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13</w:t>
            </w:r>
          </w:p>
        </w:tc>
        <w:tc>
          <w:tcPr>
            <w:tcW w:w="117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1</w:t>
            </w:r>
          </w:p>
        </w:tc>
        <w:tc>
          <w:tcPr>
            <w:tcW w:w="1530" w:type="dxa"/>
            <w:shd w:val="clear" w:color="auto" w:fill="FFFFFF" w:themeFill="background1"/>
            <w:vAlign w:val="center"/>
          </w:tcPr>
          <w:p w:rsidR="009321B4" w:rsidRDefault="009321B4" w:rsidP="007C193F">
            <w:pPr>
              <w:jc w:val="center"/>
              <w:rPr>
                <w:rFonts w:ascii="Calibri" w:hAnsi="Calibri"/>
                <w:color w:val="000000"/>
              </w:rPr>
            </w:pPr>
          </w:p>
        </w:tc>
        <w:tc>
          <w:tcPr>
            <w:tcW w:w="1170" w:type="dxa"/>
            <w:shd w:val="clear" w:color="auto" w:fill="FFFFFF" w:themeFill="background1"/>
            <w:vAlign w:val="center"/>
          </w:tcPr>
          <w:p w:rsidR="009321B4" w:rsidRDefault="009321B4" w:rsidP="007C193F">
            <w:pPr>
              <w:jc w:val="center"/>
              <w:rPr>
                <w:rFonts w:ascii="Calibri" w:hAnsi="Calibri"/>
                <w:color w:val="000000"/>
              </w:rPr>
            </w:pPr>
          </w:p>
        </w:tc>
      </w:tr>
      <w:tr w:rsidR="009321B4" w:rsidTr="0028229F">
        <w:tc>
          <w:tcPr>
            <w:tcW w:w="2628" w:type="dxa"/>
            <w:shd w:val="clear" w:color="auto" w:fill="FFFFFF" w:themeFill="background1"/>
            <w:vAlign w:val="center"/>
          </w:tcPr>
          <w:p w:rsidR="009321B4" w:rsidRDefault="009321B4" w:rsidP="00D655CB">
            <w:pPr>
              <w:rPr>
                <w:rFonts w:ascii="Calibri" w:hAnsi="Calibri"/>
                <w:color w:val="000000"/>
              </w:rPr>
            </w:pPr>
            <w:r>
              <w:rPr>
                <w:rFonts w:ascii="Calibri" w:hAnsi="Calibri"/>
                <w:color w:val="000000"/>
              </w:rPr>
              <w:t>Quantum Opportunity Program</w:t>
            </w:r>
          </w:p>
        </w:tc>
        <w:tc>
          <w:tcPr>
            <w:tcW w:w="162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3.00</w:t>
            </w:r>
          </w:p>
        </w:tc>
        <w:tc>
          <w:tcPr>
            <w:tcW w:w="153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2</w:t>
            </w:r>
          </w:p>
        </w:tc>
        <w:tc>
          <w:tcPr>
            <w:tcW w:w="117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1</w:t>
            </w:r>
          </w:p>
        </w:tc>
        <w:tc>
          <w:tcPr>
            <w:tcW w:w="1530" w:type="dxa"/>
            <w:shd w:val="clear" w:color="auto" w:fill="FFFFFF" w:themeFill="background1"/>
            <w:vAlign w:val="center"/>
          </w:tcPr>
          <w:p w:rsidR="009321B4" w:rsidRDefault="009321B4" w:rsidP="007C193F">
            <w:pPr>
              <w:jc w:val="center"/>
              <w:rPr>
                <w:rFonts w:ascii="Calibri" w:hAnsi="Calibri"/>
                <w:color w:val="000000"/>
              </w:rPr>
            </w:pPr>
          </w:p>
        </w:tc>
        <w:tc>
          <w:tcPr>
            <w:tcW w:w="1170" w:type="dxa"/>
            <w:shd w:val="clear" w:color="auto" w:fill="FFFFFF" w:themeFill="background1"/>
            <w:vAlign w:val="center"/>
          </w:tcPr>
          <w:p w:rsidR="009321B4" w:rsidRDefault="009321B4" w:rsidP="007C193F">
            <w:pPr>
              <w:jc w:val="center"/>
              <w:rPr>
                <w:rFonts w:ascii="Calibri" w:hAnsi="Calibri"/>
                <w:color w:val="000000"/>
              </w:rPr>
            </w:pPr>
          </w:p>
        </w:tc>
        <w:tc>
          <w:tcPr>
            <w:tcW w:w="153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4</w:t>
            </w:r>
          </w:p>
        </w:tc>
        <w:tc>
          <w:tcPr>
            <w:tcW w:w="117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1</w:t>
            </w:r>
          </w:p>
        </w:tc>
      </w:tr>
      <w:tr w:rsidR="009321B4" w:rsidTr="0028229F">
        <w:tc>
          <w:tcPr>
            <w:tcW w:w="2628" w:type="dxa"/>
            <w:shd w:val="clear" w:color="auto" w:fill="FFFFFF" w:themeFill="background1"/>
            <w:vAlign w:val="center"/>
          </w:tcPr>
          <w:p w:rsidR="009321B4" w:rsidRDefault="009321B4" w:rsidP="00D655CB">
            <w:pPr>
              <w:rPr>
                <w:rFonts w:ascii="Calibri" w:hAnsi="Calibri"/>
                <w:color w:val="000000"/>
              </w:rPr>
            </w:pPr>
            <w:r>
              <w:rPr>
                <w:rFonts w:ascii="Calibri" w:hAnsi="Calibri"/>
                <w:color w:val="000000"/>
              </w:rPr>
              <w:t>Middle College High School</w:t>
            </w:r>
          </w:p>
        </w:tc>
        <w:tc>
          <w:tcPr>
            <w:tcW w:w="162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-0.50</w:t>
            </w:r>
          </w:p>
        </w:tc>
        <w:tc>
          <w:tcPr>
            <w:tcW w:w="1530" w:type="dxa"/>
            <w:shd w:val="clear" w:color="auto" w:fill="FFFFFF" w:themeFill="background1"/>
            <w:vAlign w:val="center"/>
          </w:tcPr>
          <w:p w:rsidR="009321B4" w:rsidRDefault="009321B4" w:rsidP="007C193F">
            <w:pPr>
              <w:jc w:val="center"/>
              <w:rPr>
                <w:rFonts w:ascii="Calibri" w:hAnsi="Calibri"/>
                <w:color w:val="000000"/>
              </w:rPr>
            </w:pPr>
          </w:p>
        </w:tc>
        <w:tc>
          <w:tcPr>
            <w:tcW w:w="1170" w:type="dxa"/>
            <w:shd w:val="clear" w:color="auto" w:fill="FFFFFF" w:themeFill="background1"/>
            <w:vAlign w:val="center"/>
          </w:tcPr>
          <w:p w:rsidR="009321B4" w:rsidRDefault="009321B4" w:rsidP="007C193F">
            <w:pPr>
              <w:jc w:val="center"/>
              <w:rPr>
                <w:rFonts w:ascii="Calibri" w:hAnsi="Calibri"/>
                <w:color w:val="000000"/>
              </w:rPr>
            </w:pPr>
          </w:p>
        </w:tc>
        <w:tc>
          <w:tcPr>
            <w:tcW w:w="153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-3</w:t>
            </w:r>
          </w:p>
        </w:tc>
        <w:tc>
          <w:tcPr>
            <w:tcW w:w="117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1</w:t>
            </w:r>
          </w:p>
        </w:tc>
        <w:tc>
          <w:tcPr>
            <w:tcW w:w="153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2</w:t>
            </w:r>
          </w:p>
        </w:tc>
        <w:tc>
          <w:tcPr>
            <w:tcW w:w="117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1</w:t>
            </w:r>
          </w:p>
        </w:tc>
      </w:tr>
      <w:tr w:rsidR="009321B4" w:rsidTr="0028229F">
        <w:tc>
          <w:tcPr>
            <w:tcW w:w="2628" w:type="dxa"/>
            <w:shd w:val="clear" w:color="auto" w:fill="FFFFFF" w:themeFill="background1"/>
            <w:vAlign w:val="center"/>
          </w:tcPr>
          <w:p w:rsidR="009321B4" w:rsidRDefault="009321B4" w:rsidP="00D655CB">
            <w:pPr>
              <w:rPr>
                <w:rFonts w:ascii="Calibri" w:hAnsi="Calibri"/>
                <w:color w:val="000000"/>
              </w:rPr>
            </w:pPr>
            <w:r>
              <w:rPr>
                <w:rFonts w:ascii="Calibri" w:hAnsi="Calibri"/>
                <w:color w:val="000000"/>
              </w:rPr>
              <w:t>Summer Training and Education Program (STEP)</w:t>
            </w:r>
          </w:p>
        </w:tc>
        <w:tc>
          <w:tcPr>
            <w:tcW w:w="162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-2.00</w:t>
            </w:r>
          </w:p>
        </w:tc>
        <w:tc>
          <w:tcPr>
            <w:tcW w:w="1530" w:type="dxa"/>
            <w:shd w:val="clear" w:color="auto" w:fill="FFFFFF" w:themeFill="background1"/>
            <w:vAlign w:val="center"/>
          </w:tcPr>
          <w:p w:rsidR="009321B4" w:rsidRDefault="009321B4" w:rsidP="007C193F">
            <w:pPr>
              <w:jc w:val="center"/>
              <w:rPr>
                <w:rFonts w:ascii="Calibri" w:hAnsi="Calibri"/>
                <w:color w:val="000000"/>
              </w:rPr>
            </w:pPr>
          </w:p>
        </w:tc>
        <w:tc>
          <w:tcPr>
            <w:tcW w:w="1170" w:type="dxa"/>
            <w:shd w:val="clear" w:color="auto" w:fill="FFFFFF" w:themeFill="background1"/>
            <w:vAlign w:val="center"/>
          </w:tcPr>
          <w:p w:rsidR="009321B4" w:rsidRDefault="009321B4" w:rsidP="007C193F">
            <w:pPr>
              <w:jc w:val="center"/>
              <w:rPr>
                <w:rFonts w:ascii="Calibri" w:hAnsi="Calibri"/>
                <w:color w:val="000000"/>
              </w:rPr>
            </w:pPr>
          </w:p>
        </w:tc>
        <w:tc>
          <w:tcPr>
            <w:tcW w:w="153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-2</w:t>
            </w:r>
          </w:p>
        </w:tc>
        <w:tc>
          <w:tcPr>
            <w:tcW w:w="117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1</w:t>
            </w:r>
          </w:p>
        </w:tc>
        <w:tc>
          <w:tcPr>
            <w:tcW w:w="1530" w:type="dxa"/>
            <w:shd w:val="clear" w:color="auto" w:fill="FFFFFF" w:themeFill="background1"/>
            <w:vAlign w:val="center"/>
          </w:tcPr>
          <w:p w:rsidR="009321B4" w:rsidRDefault="009321B4" w:rsidP="007C193F">
            <w:pPr>
              <w:jc w:val="center"/>
              <w:rPr>
                <w:rFonts w:ascii="Calibri" w:hAnsi="Calibri"/>
                <w:color w:val="000000"/>
              </w:rPr>
            </w:pPr>
          </w:p>
        </w:tc>
        <w:tc>
          <w:tcPr>
            <w:tcW w:w="1170" w:type="dxa"/>
            <w:shd w:val="clear" w:color="auto" w:fill="FFFFFF" w:themeFill="background1"/>
            <w:vAlign w:val="center"/>
          </w:tcPr>
          <w:p w:rsidR="009321B4" w:rsidRDefault="009321B4" w:rsidP="007C193F">
            <w:pPr>
              <w:jc w:val="center"/>
              <w:rPr>
                <w:rFonts w:ascii="Calibri" w:hAnsi="Calibri"/>
                <w:color w:val="000000"/>
              </w:rPr>
            </w:pPr>
          </w:p>
        </w:tc>
      </w:tr>
      <w:tr w:rsidR="009321B4" w:rsidTr="0028229F">
        <w:tc>
          <w:tcPr>
            <w:tcW w:w="2628" w:type="dxa"/>
            <w:shd w:val="clear" w:color="auto" w:fill="FFFFFF" w:themeFill="background1"/>
            <w:vAlign w:val="center"/>
          </w:tcPr>
          <w:p w:rsidR="009321B4" w:rsidRDefault="009321B4" w:rsidP="00D655CB">
            <w:pPr>
              <w:rPr>
                <w:rFonts w:ascii="Calibri" w:hAnsi="Calibri"/>
                <w:color w:val="000000"/>
              </w:rPr>
            </w:pPr>
            <w:r>
              <w:rPr>
                <w:rFonts w:ascii="Calibri" w:hAnsi="Calibri"/>
                <w:color w:val="000000"/>
              </w:rPr>
              <w:t>Project GRAD</w:t>
            </w:r>
          </w:p>
        </w:tc>
        <w:tc>
          <w:tcPr>
            <w:tcW w:w="162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-3.50</w:t>
            </w:r>
          </w:p>
        </w:tc>
        <w:tc>
          <w:tcPr>
            <w:tcW w:w="153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-4</w:t>
            </w:r>
          </w:p>
        </w:tc>
        <w:tc>
          <w:tcPr>
            <w:tcW w:w="117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1</w:t>
            </w:r>
          </w:p>
        </w:tc>
        <w:tc>
          <w:tcPr>
            <w:tcW w:w="1530" w:type="dxa"/>
            <w:shd w:val="clear" w:color="auto" w:fill="FFFFFF" w:themeFill="background1"/>
            <w:vAlign w:val="center"/>
          </w:tcPr>
          <w:p w:rsidR="009321B4" w:rsidRDefault="009321B4" w:rsidP="007C193F">
            <w:pPr>
              <w:jc w:val="center"/>
              <w:rPr>
                <w:rFonts w:ascii="Calibri" w:hAnsi="Calibri"/>
                <w:color w:val="000000"/>
              </w:rPr>
            </w:pPr>
          </w:p>
        </w:tc>
        <w:tc>
          <w:tcPr>
            <w:tcW w:w="1170" w:type="dxa"/>
            <w:shd w:val="clear" w:color="auto" w:fill="FFFFFF" w:themeFill="background1"/>
            <w:vAlign w:val="center"/>
          </w:tcPr>
          <w:p w:rsidR="009321B4" w:rsidRDefault="009321B4" w:rsidP="007C193F">
            <w:pPr>
              <w:jc w:val="center"/>
              <w:rPr>
                <w:rFonts w:ascii="Calibri" w:hAnsi="Calibri"/>
                <w:color w:val="000000"/>
              </w:rPr>
            </w:pPr>
          </w:p>
        </w:tc>
        <w:tc>
          <w:tcPr>
            <w:tcW w:w="153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-3</w:t>
            </w:r>
          </w:p>
        </w:tc>
        <w:tc>
          <w:tcPr>
            <w:tcW w:w="1170" w:type="dxa"/>
            <w:shd w:val="clear" w:color="auto" w:fill="FFFFFF" w:themeFill="background1"/>
            <w:vAlign w:val="center"/>
          </w:tcPr>
          <w:p w:rsidR="009321B4" w:rsidRDefault="009321B4" w:rsidP="007C193F">
            <w:pPr>
              <w:jc w:val="center"/>
              <w:rPr>
                <w:rFonts w:ascii="Calibri" w:hAnsi="Calibri"/>
                <w:color w:val="000000"/>
              </w:rPr>
            </w:pPr>
            <w:r>
              <w:rPr>
                <w:rFonts w:ascii="Calibri" w:hAnsi="Calibri"/>
                <w:color w:val="000000"/>
              </w:rPr>
              <w:t>1</w:t>
            </w:r>
          </w:p>
        </w:tc>
      </w:tr>
    </w:tbl>
    <w:p w:rsidR="0082145B" w:rsidRDefault="00622DC3">
      <w:pPr>
        <w:spacing w:before="100" w:after="0" w:line="240" w:lineRule="auto"/>
        <w:rPr>
          <w:sz w:val="20"/>
          <w:szCs w:val="20"/>
        </w:rPr>
      </w:pPr>
      <w:r w:rsidRPr="00C05ABB">
        <w:rPr>
          <w:i/>
          <w:sz w:val="20"/>
          <w:szCs w:val="20"/>
        </w:rPr>
        <w:t xml:space="preserve">Note: </w:t>
      </w:r>
      <w:r w:rsidR="00BA01BE" w:rsidRPr="00C05ABB">
        <w:rPr>
          <w:sz w:val="20"/>
          <w:szCs w:val="20"/>
        </w:rPr>
        <w:t xml:space="preserve">The </w:t>
      </w:r>
      <w:r w:rsidR="006B543B" w:rsidRPr="006B543B">
        <w:rPr>
          <w:sz w:val="20"/>
          <w:szCs w:val="20"/>
        </w:rPr>
        <w:t>overall average weighted improvement index</w:t>
      </w:r>
      <w:r w:rsidR="00BA01BE" w:rsidRPr="00C05ABB">
        <w:rPr>
          <w:sz w:val="20"/>
          <w:szCs w:val="20"/>
        </w:rPr>
        <w:t xml:space="preserve"> was calculated by multiplying each outcome improvement index by its extent of evidence rating, summing across outcomes, and dividing by the sum o</w:t>
      </w:r>
      <w:r w:rsidR="00B04B32">
        <w:rPr>
          <w:sz w:val="20"/>
          <w:szCs w:val="20"/>
        </w:rPr>
        <w:t>f the extent of evidence ratings</w:t>
      </w:r>
      <w:r w:rsidR="00BA01BE" w:rsidRPr="00C05ABB">
        <w:rPr>
          <w:sz w:val="20"/>
          <w:szCs w:val="20"/>
        </w:rPr>
        <w:t>.</w:t>
      </w:r>
      <w:r w:rsidR="00993F90" w:rsidRPr="00993F90">
        <w:rPr>
          <w:sz w:val="20"/>
          <w:szCs w:val="20"/>
        </w:rPr>
        <w:t xml:space="preserve"> </w:t>
      </w:r>
      <w:r w:rsidR="006B543B" w:rsidRPr="006B543B">
        <w:rPr>
          <w:sz w:val="20"/>
          <w:szCs w:val="20"/>
        </w:rPr>
        <w:t>Blank cells</w:t>
      </w:r>
      <w:r w:rsidR="00B04B32" w:rsidRPr="00B04B32">
        <w:rPr>
          <w:sz w:val="20"/>
          <w:szCs w:val="20"/>
        </w:rPr>
        <w:t xml:space="preserve"> indicate that no information was available</w:t>
      </w:r>
      <w:r w:rsidR="0028229F">
        <w:rPr>
          <w:sz w:val="20"/>
          <w:szCs w:val="20"/>
        </w:rPr>
        <w:t>,</w:t>
      </w:r>
      <w:r w:rsidR="00B04B32" w:rsidRPr="00B04B32">
        <w:rPr>
          <w:sz w:val="20"/>
          <w:szCs w:val="20"/>
        </w:rPr>
        <w:t xml:space="preserve"> or </w:t>
      </w:r>
      <w:r w:rsidR="0028229F">
        <w:rPr>
          <w:sz w:val="20"/>
          <w:szCs w:val="20"/>
        </w:rPr>
        <w:t xml:space="preserve">that </w:t>
      </w:r>
      <w:r w:rsidR="00B04B32" w:rsidRPr="00B04B32">
        <w:rPr>
          <w:sz w:val="20"/>
          <w:szCs w:val="20"/>
        </w:rPr>
        <w:t>the information did not meet WWC evidence standards.</w:t>
      </w:r>
    </w:p>
    <w:p w:rsidR="00993F90" w:rsidRDefault="00993F90" w:rsidP="00BA01BE">
      <w:pPr>
        <w:spacing w:after="0" w:line="240" w:lineRule="auto"/>
        <w:rPr>
          <w:sz w:val="20"/>
          <w:szCs w:val="20"/>
        </w:rPr>
      </w:pPr>
      <w:r w:rsidRPr="00993F90">
        <w:rPr>
          <w:sz w:val="20"/>
          <w:szCs w:val="20"/>
          <w:vertAlign w:val="superscript"/>
        </w:rPr>
        <w:t>a</w:t>
      </w:r>
      <w:r w:rsidR="00BA01BE" w:rsidRPr="00C05ABB">
        <w:rPr>
          <w:sz w:val="20"/>
          <w:szCs w:val="20"/>
        </w:rPr>
        <w:t xml:space="preserve"> </w:t>
      </w:r>
      <w:r w:rsidR="00C60959" w:rsidRPr="00C05ABB">
        <w:rPr>
          <w:sz w:val="20"/>
          <w:szCs w:val="20"/>
        </w:rPr>
        <w:t>Progressing in School is measured by the number of credits accumulated, grades promoted, or highest grade completed</w:t>
      </w:r>
      <w:r>
        <w:rPr>
          <w:sz w:val="20"/>
          <w:szCs w:val="20"/>
        </w:rPr>
        <w:t>.</w:t>
      </w:r>
    </w:p>
    <w:p w:rsidR="00993F90" w:rsidRDefault="00993F90" w:rsidP="00BA01BE">
      <w:pPr>
        <w:spacing w:after="0" w:line="240" w:lineRule="auto"/>
        <w:rPr>
          <w:sz w:val="20"/>
          <w:szCs w:val="20"/>
        </w:rPr>
      </w:pPr>
      <w:r w:rsidRPr="00993F90">
        <w:rPr>
          <w:sz w:val="20"/>
          <w:szCs w:val="20"/>
          <w:vertAlign w:val="superscript"/>
        </w:rPr>
        <w:t>b</w:t>
      </w:r>
      <w:r w:rsidR="00C60959" w:rsidRPr="00C05ABB">
        <w:rPr>
          <w:sz w:val="20"/>
          <w:szCs w:val="20"/>
        </w:rPr>
        <w:t xml:space="preserve"> Staying in School is measured by whether a student is enrolled in school</w:t>
      </w:r>
      <w:r>
        <w:rPr>
          <w:sz w:val="20"/>
          <w:szCs w:val="20"/>
        </w:rPr>
        <w:t>.</w:t>
      </w:r>
    </w:p>
    <w:p w:rsidR="00993F90" w:rsidRDefault="00993F90" w:rsidP="00BA01BE">
      <w:pPr>
        <w:spacing w:after="0" w:line="240" w:lineRule="auto"/>
        <w:rPr>
          <w:sz w:val="20"/>
          <w:szCs w:val="20"/>
        </w:rPr>
      </w:pPr>
      <w:r w:rsidRPr="00993F90">
        <w:rPr>
          <w:sz w:val="20"/>
          <w:szCs w:val="20"/>
          <w:vertAlign w:val="superscript"/>
        </w:rPr>
        <w:t>c</w:t>
      </w:r>
      <w:r w:rsidR="006E64B2">
        <w:rPr>
          <w:sz w:val="20"/>
          <w:szCs w:val="20"/>
          <w:vertAlign w:val="superscript"/>
        </w:rPr>
        <w:t xml:space="preserve"> </w:t>
      </w:r>
      <w:r w:rsidR="00C60959" w:rsidRPr="00C05ABB">
        <w:rPr>
          <w:sz w:val="20"/>
          <w:szCs w:val="20"/>
        </w:rPr>
        <w:t xml:space="preserve">Completing School is measured by whether a student earned a high school diploma or a GED. </w:t>
      </w:r>
    </w:p>
    <w:p w:rsidR="006F1966" w:rsidRDefault="00CA6A7F" w:rsidP="00CA6A7F">
      <w:pPr>
        <w:spacing w:after="0" w:line="240" w:lineRule="auto"/>
        <w:sectPr w:rsidR="006F1966" w:rsidSect="009321B4">
          <w:pgSz w:w="15840" w:h="12240" w:orient="landscape" w:code="1"/>
          <w:pgMar w:top="1440" w:right="1440" w:bottom="1440" w:left="1440" w:header="720" w:footer="720" w:gutter="0"/>
          <w:cols w:space="720"/>
          <w:docGrid w:linePitch="360"/>
        </w:sectPr>
      </w:pPr>
      <w:r w:rsidRPr="00CA6A7F">
        <w:rPr>
          <w:sz w:val="20"/>
          <w:szCs w:val="20"/>
          <w:vertAlign w:val="superscript"/>
        </w:rPr>
        <w:t>d</w:t>
      </w:r>
      <w:r>
        <w:rPr>
          <w:sz w:val="20"/>
          <w:szCs w:val="20"/>
          <w:vertAlign w:val="superscript"/>
        </w:rPr>
        <w:t xml:space="preserve"> </w:t>
      </w:r>
      <w:r w:rsidRPr="00C05ABB">
        <w:rPr>
          <w:sz w:val="20"/>
          <w:szCs w:val="20"/>
        </w:rPr>
        <w:t xml:space="preserve">The </w:t>
      </w:r>
      <w:r w:rsidR="006B543B" w:rsidRPr="006B543B">
        <w:rPr>
          <w:sz w:val="20"/>
          <w:szCs w:val="20"/>
        </w:rPr>
        <w:t>extent of evidence</w:t>
      </w:r>
      <w:r w:rsidRPr="00C05ABB">
        <w:rPr>
          <w:sz w:val="20"/>
          <w:szCs w:val="20"/>
        </w:rPr>
        <w:t xml:space="preserve"> is rated by WWC using two categories: “small” which is defined as evidence that</w:t>
      </w:r>
      <w:r w:rsidR="006E64B2">
        <w:rPr>
          <w:sz w:val="20"/>
          <w:szCs w:val="20"/>
        </w:rPr>
        <w:t xml:space="preserve"> </w:t>
      </w:r>
      <w:r w:rsidRPr="00C05ABB">
        <w:rPr>
          <w:sz w:val="20"/>
          <w:szCs w:val="20"/>
        </w:rPr>
        <w:t xml:space="preserve">includes “only one study, or one school, or findings based on a total sample size of less than 350 student and 14 classrooms (assuming 25 students in a class),” and “medium to large” which is defined as evidence that includes “more than one study, more than one school, and findings based on a total sample of at least 350 students or 14 classrooms” (What Works Clearinghouse, </w:t>
      </w:r>
      <w:r w:rsidR="008E2E14">
        <w:rPr>
          <w:sz w:val="20"/>
          <w:szCs w:val="20"/>
        </w:rPr>
        <w:t>n.d.</w:t>
      </w:r>
      <w:r w:rsidRPr="00C05ABB">
        <w:rPr>
          <w:sz w:val="20"/>
          <w:szCs w:val="20"/>
        </w:rPr>
        <w:t>)</w:t>
      </w:r>
    </w:p>
    <w:p w:rsidR="006243E9" w:rsidRPr="00493E4A" w:rsidRDefault="006243E9" w:rsidP="00CF5106">
      <w:pPr>
        <w:pStyle w:val="Heading3"/>
      </w:pPr>
      <w:r w:rsidRPr="00493E4A">
        <w:lastRenderedPageBreak/>
        <w:t>ALAS</w:t>
      </w:r>
    </w:p>
    <w:p w:rsidR="006243E9" w:rsidRDefault="006243E9" w:rsidP="006243E9">
      <w:r>
        <w:t>ALAS (Spanish for “wings”)</w:t>
      </w:r>
      <w:r w:rsidR="00ED26E3">
        <w:t xml:space="preserve"> is </w:t>
      </w:r>
      <w:r>
        <w:t>a Tier 2 program</w:t>
      </w:r>
      <w:r w:rsidR="00ED26E3">
        <w:t xml:space="preserve"> that</w:t>
      </w:r>
      <w:r>
        <w:t xml:space="preserve"> assigns counselors/mentors to individual students in grades 7, 8, </w:t>
      </w:r>
      <w:r w:rsidR="00B84FF5">
        <w:t>and 9</w:t>
      </w:r>
      <w:r>
        <w:t xml:space="preserve">. The counselor/mentor </w:t>
      </w:r>
      <w:r w:rsidR="00350A71">
        <w:t xml:space="preserve">acts as an adult advocate; </w:t>
      </w:r>
      <w:r>
        <w:t>monitors students’ attendance, behavior, and academic achievement; and coordinates the provision of interventions and resources to students, their families, and teachers. ALAS also includes training for students and parents. Students are trained in problem solving, self-control</w:t>
      </w:r>
      <w:r w:rsidR="00350A71">
        <w:t>,</w:t>
      </w:r>
      <w:r>
        <w:t xml:space="preserve"> and assertiveness. Parents are trained in parent-child problem solving, school participation, and contacting teachers and administrators to address issues. </w:t>
      </w:r>
      <w:r w:rsidR="001256D8">
        <w:t xml:space="preserve">The staffing </w:t>
      </w:r>
      <w:r w:rsidR="00B84FF5">
        <w:t>for ALAS</w:t>
      </w:r>
      <w:r w:rsidR="001256D8">
        <w:t>, for a</w:t>
      </w:r>
      <w:r>
        <w:t xml:space="preserve"> program serving 107 students</w:t>
      </w:r>
      <w:r w:rsidR="001256D8">
        <w:t>,</w:t>
      </w:r>
      <w:r>
        <w:t xml:space="preserve"> included a half-time supervisor, three counselors</w:t>
      </w:r>
      <w:r w:rsidR="00350A71">
        <w:t>,</w:t>
      </w:r>
      <w:r>
        <w:t xml:space="preserve"> and a half-time clerk</w:t>
      </w:r>
      <w:r w:rsidR="001256D8">
        <w:t xml:space="preserve"> (What Works </w:t>
      </w:r>
      <w:r w:rsidR="002F587A">
        <w:t xml:space="preserve">Clearinghouse </w:t>
      </w:r>
      <w:r w:rsidR="002F587A" w:rsidRPr="002F587A">
        <w:rPr>
          <w:i/>
        </w:rPr>
        <w:t>ALAS Intervention Report</w:t>
      </w:r>
      <w:r w:rsidR="001256D8">
        <w:t xml:space="preserve">, </w:t>
      </w:r>
      <w:r w:rsidR="008E2E14">
        <w:t>n.d.</w:t>
      </w:r>
      <w:r w:rsidR="001256D8">
        <w:t>)</w:t>
      </w:r>
      <w:r>
        <w:t>.</w:t>
      </w:r>
    </w:p>
    <w:p w:rsidR="00AE200F" w:rsidRDefault="00AE200F" w:rsidP="006243E9">
      <w:r>
        <w:t xml:space="preserve">As shown in Table </w:t>
      </w:r>
      <w:r w:rsidR="00984F1E">
        <w:t>4</w:t>
      </w:r>
      <w:r>
        <w:t xml:space="preserve"> above, t</w:t>
      </w:r>
      <w:r w:rsidR="006243E9">
        <w:t xml:space="preserve">he </w:t>
      </w:r>
      <w:r w:rsidR="00B84FF5">
        <w:t>available evidence</w:t>
      </w:r>
      <w:r w:rsidR="006243E9">
        <w:t xml:space="preserve"> </w:t>
      </w:r>
      <w:r w:rsidR="00ED26E3">
        <w:t>indicate</w:t>
      </w:r>
      <w:r w:rsidR="006243E9">
        <w:t>s that ALAS ha</w:t>
      </w:r>
      <w:r w:rsidR="00B84FF5">
        <w:t>d</w:t>
      </w:r>
      <w:r w:rsidR="006243E9">
        <w:t xml:space="preserve"> an impact on</w:t>
      </w:r>
      <w:r w:rsidR="006243E9" w:rsidRPr="00350A71">
        <w:t xml:space="preserve"> </w:t>
      </w:r>
      <w:r w:rsidR="00350A71">
        <w:t>P</w:t>
      </w:r>
      <w:r w:rsidR="006B543B" w:rsidRPr="006B543B">
        <w:t xml:space="preserve">rogressing in </w:t>
      </w:r>
      <w:r w:rsidR="00350A71">
        <w:t>S</w:t>
      </w:r>
      <w:r w:rsidR="006B543B" w:rsidRPr="006B543B">
        <w:t>chool</w:t>
      </w:r>
      <w:r w:rsidR="00350A71" w:rsidRPr="00350A71">
        <w:t xml:space="preserve"> </w:t>
      </w:r>
      <w:r w:rsidR="006243E9" w:rsidRPr="00350A71">
        <w:t xml:space="preserve">and </w:t>
      </w:r>
      <w:r w:rsidR="00350A71">
        <w:t>S</w:t>
      </w:r>
      <w:r w:rsidR="006B543B" w:rsidRPr="006B543B">
        <w:t xml:space="preserve">taying in </w:t>
      </w:r>
      <w:r w:rsidR="00350A71">
        <w:t>S</w:t>
      </w:r>
      <w:r w:rsidR="006B543B" w:rsidRPr="006B543B">
        <w:t>chool</w:t>
      </w:r>
      <w:r w:rsidR="006243E9">
        <w:t xml:space="preserve">. </w:t>
      </w:r>
      <w:r>
        <w:t xml:space="preserve">To understand the impact in practical terms, we accessed the What Works Clearinghouse </w:t>
      </w:r>
      <w:r w:rsidRPr="002F587A">
        <w:rPr>
          <w:i/>
        </w:rPr>
        <w:t>ALAS Intervention Report</w:t>
      </w:r>
      <w:r>
        <w:t xml:space="preserve"> Appendices to retrieve the original data and results before we transformed these data into a standardized measure for comparative purposes. </w:t>
      </w:r>
    </w:p>
    <w:p w:rsidR="0082145B" w:rsidRDefault="00AE200F">
      <w:r>
        <w:t>The original outcome measure f</w:t>
      </w:r>
      <w:r w:rsidR="006243E9">
        <w:t xml:space="preserve">or </w:t>
      </w:r>
      <w:r w:rsidR="00540CFC">
        <w:t>P</w:t>
      </w:r>
      <w:r w:rsidR="00540CFC" w:rsidRPr="00350A71">
        <w:t xml:space="preserve">rogressing in </w:t>
      </w:r>
      <w:r w:rsidR="00540CFC">
        <w:t>S</w:t>
      </w:r>
      <w:r w:rsidR="00540CFC" w:rsidRPr="00350A71">
        <w:t>chool</w:t>
      </w:r>
      <w:r>
        <w:t xml:space="preserve"> in the ALAS WWC report appendices was percentage of students on track to graduate.</w:t>
      </w:r>
      <w:r w:rsidR="006E64B2">
        <w:t xml:space="preserve"> </w:t>
      </w:r>
      <w:r>
        <w:t>The original outcome measure for</w:t>
      </w:r>
      <w:r w:rsidR="006B543B" w:rsidRPr="006B543B">
        <w:t xml:space="preserve"> </w:t>
      </w:r>
      <w:r w:rsidR="00540CFC">
        <w:t>S</w:t>
      </w:r>
      <w:r w:rsidR="00540CFC" w:rsidRPr="00350A71">
        <w:t xml:space="preserve">taying in </w:t>
      </w:r>
      <w:r w:rsidR="00540CFC">
        <w:t>S</w:t>
      </w:r>
      <w:r w:rsidR="00540CFC" w:rsidRPr="00350A71">
        <w:t>chool</w:t>
      </w:r>
      <w:r w:rsidRPr="00AE200F">
        <w:t xml:space="preserve">, </w:t>
      </w:r>
      <w:r w:rsidR="00FD1DDA" w:rsidRPr="00AE200F">
        <w:t xml:space="preserve">was </w:t>
      </w:r>
      <w:r w:rsidR="00FD1DDA">
        <w:t>percentage</w:t>
      </w:r>
      <w:r>
        <w:t xml:space="preserve"> of students enrolled in school (vs. dropped out).</w:t>
      </w:r>
      <w:r w:rsidR="006E64B2">
        <w:t xml:space="preserve"> </w:t>
      </w:r>
      <w:r>
        <w:t xml:space="preserve">Table </w:t>
      </w:r>
      <w:r w:rsidR="00984F1E">
        <w:t>5</w:t>
      </w:r>
      <w:r>
        <w:t xml:space="preserve"> presents these results for the ALAS and control groups in the studies reviewed by WWC.</w:t>
      </w:r>
      <w:r w:rsidR="00391C52">
        <w:t xml:space="preserve"> The results presented in Table </w:t>
      </w:r>
      <w:r w:rsidR="00984F1E">
        <w:t>5</w:t>
      </w:r>
      <w:r w:rsidR="00391C52">
        <w:t xml:space="preserve"> indicate that the likelihood </w:t>
      </w:r>
      <w:r w:rsidR="00DA24A9">
        <w:t>of</w:t>
      </w:r>
      <w:r w:rsidR="00391C52">
        <w:t xml:space="preserve"> ALAS </w:t>
      </w:r>
      <w:r w:rsidR="0047789C">
        <w:t>participants stay</w:t>
      </w:r>
      <w:r w:rsidR="00DA24A9">
        <w:t>ing</w:t>
      </w:r>
      <w:r w:rsidR="00391C52">
        <w:t xml:space="preserve"> on track to graduate and stay</w:t>
      </w:r>
      <w:r w:rsidR="00DA24A9">
        <w:t>ing</w:t>
      </w:r>
      <w:r w:rsidR="00391C52">
        <w:t xml:space="preserve"> enrolled in school is always higher than that of controls, but </w:t>
      </w:r>
      <w:r w:rsidR="00DA24A9">
        <w:t xml:space="preserve">that </w:t>
      </w:r>
      <w:r w:rsidR="0047789C">
        <w:t xml:space="preserve">the advantage for ALAS participants </w:t>
      </w:r>
      <w:r w:rsidR="00391C52">
        <w:t>diminishes over time.</w:t>
      </w:r>
    </w:p>
    <w:p w:rsidR="0082145B" w:rsidRDefault="006243E9">
      <w:pPr>
        <w:spacing w:after="100" w:line="240" w:lineRule="auto"/>
        <w:rPr>
          <w:b/>
        </w:rPr>
      </w:pPr>
      <w:r w:rsidRPr="00AC30C4">
        <w:rPr>
          <w:b/>
        </w:rPr>
        <w:t xml:space="preserve">Table </w:t>
      </w:r>
      <w:r w:rsidR="00984F1E">
        <w:rPr>
          <w:b/>
        </w:rPr>
        <w:t>5</w:t>
      </w:r>
      <w:r w:rsidRPr="00AC30C4">
        <w:rPr>
          <w:b/>
        </w:rPr>
        <w:t>.</w:t>
      </w:r>
      <w:r>
        <w:rPr>
          <w:b/>
        </w:rPr>
        <w:t xml:space="preserve"> Comparison of ALAS and Control Group Outcomes</w:t>
      </w:r>
      <w:r w:rsidR="00835B13">
        <w:rPr>
          <w:b/>
        </w:rPr>
        <w:t xml:space="preserve"> </w:t>
      </w:r>
      <w:r w:rsidR="001F7984">
        <w:rPr>
          <w:b/>
        </w:rPr>
        <w:t xml:space="preserve">at </w:t>
      </w:r>
      <w:r w:rsidR="00835B13">
        <w:rPr>
          <w:b/>
        </w:rPr>
        <w:t>end of 9</w:t>
      </w:r>
      <w:r w:rsidR="00835B13" w:rsidRPr="00835B13">
        <w:rPr>
          <w:b/>
          <w:vertAlign w:val="superscript"/>
        </w:rPr>
        <w:t>th</w:t>
      </w:r>
      <w:r w:rsidR="00835B13">
        <w:rPr>
          <w:b/>
        </w:rPr>
        <w:t>, 10</w:t>
      </w:r>
      <w:r w:rsidR="00835B13" w:rsidRPr="00835B13">
        <w:rPr>
          <w:b/>
          <w:vertAlign w:val="superscript"/>
        </w:rPr>
        <w:t>th</w:t>
      </w:r>
      <w:r w:rsidR="00835B13">
        <w:rPr>
          <w:b/>
        </w:rPr>
        <w:t xml:space="preserve"> and 11</w:t>
      </w:r>
      <w:r w:rsidR="00835B13" w:rsidRPr="00835B13">
        <w:rPr>
          <w:b/>
          <w:vertAlign w:val="superscript"/>
        </w:rPr>
        <w:t>th</w:t>
      </w:r>
      <w:r w:rsidR="00835B13">
        <w:rPr>
          <w:b/>
        </w:rPr>
        <w:t xml:space="preserve"> Grade</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tblPr>
      <w:tblGrid>
        <w:gridCol w:w="1368"/>
        <w:gridCol w:w="1710"/>
        <w:gridCol w:w="1710"/>
        <w:gridCol w:w="270"/>
        <w:gridCol w:w="1665"/>
        <w:gridCol w:w="1665"/>
      </w:tblGrid>
      <w:tr w:rsidR="006243E9" w:rsidTr="00CD39DA">
        <w:trPr>
          <w:trHeight w:val="701"/>
        </w:trPr>
        <w:tc>
          <w:tcPr>
            <w:tcW w:w="1368" w:type="dxa"/>
          </w:tcPr>
          <w:p w:rsidR="006243E9" w:rsidRDefault="006243E9" w:rsidP="00266E88">
            <w:pPr>
              <w:rPr>
                <w:b/>
              </w:rPr>
            </w:pPr>
          </w:p>
        </w:tc>
        <w:tc>
          <w:tcPr>
            <w:tcW w:w="3420" w:type="dxa"/>
            <w:gridSpan w:val="2"/>
            <w:tcBorders>
              <w:top w:val="single" w:sz="4" w:space="0" w:color="000000" w:themeColor="text1"/>
              <w:bottom w:val="single" w:sz="4" w:space="0" w:color="000000" w:themeColor="text1"/>
            </w:tcBorders>
          </w:tcPr>
          <w:p w:rsidR="00ED26E3" w:rsidRDefault="006243E9" w:rsidP="00266E88">
            <w:pPr>
              <w:jc w:val="center"/>
              <w:rPr>
                <w:b/>
              </w:rPr>
            </w:pPr>
            <w:r>
              <w:rPr>
                <w:b/>
              </w:rPr>
              <w:t xml:space="preserve">Progressing in School </w:t>
            </w:r>
          </w:p>
          <w:p w:rsidR="006243E9" w:rsidRDefault="006243E9" w:rsidP="00266E88">
            <w:pPr>
              <w:jc w:val="center"/>
              <w:rPr>
                <w:b/>
              </w:rPr>
            </w:pPr>
            <w:r>
              <w:rPr>
                <w:b/>
              </w:rPr>
              <w:t>(percentage on track to graduate)</w:t>
            </w:r>
          </w:p>
        </w:tc>
        <w:tc>
          <w:tcPr>
            <w:tcW w:w="270" w:type="dxa"/>
          </w:tcPr>
          <w:p w:rsidR="006243E9" w:rsidRDefault="006243E9" w:rsidP="00266E88">
            <w:pPr>
              <w:jc w:val="center"/>
              <w:rPr>
                <w:b/>
              </w:rPr>
            </w:pPr>
          </w:p>
        </w:tc>
        <w:tc>
          <w:tcPr>
            <w:tcW w:w="3330" w:type="dxa"/>
            <w:gridSpan w:val="2"/>
            <w:tcBorders>
              <w:top w:val="single" w:sz="4" w:space="0" w:color="000000" w:themeColor="text1"/>
              <w:bottom w:val="single" w:sz="4" w:space="0" w:color="000000" w:themeColor="text1"/>
            </w:tcBorders>
          </w:tcPr>
          <w:p w:rsidR="00350E5D" w:rsidRDefault="006243E9" w:rsidP="00266E88">
            <w:pPr>
              <w:jc w:val="center"/>
              <w:rPr>
                <w:b/>
              </w:rPr>
            </w:pPr>
            <w:r>
              <w:rPr>
                <w:b/>
              </w:rPr>
              <w:t xml:space="preserve">Staying in School </w:t>
            </w:r>
          </w:p>
          <w:p w:rsidR="006243E9" w:rsidRDefault="006243E9" w:rsidP="00266E88">
            <w:pPr>
              <w:jc w:val="center"/>
              <w:rPr>
                <w:b/>
              </w:rPr>
            </w:pPr>
            <w:r>
              <w:rPr>
                <w:b/>
              </w:rPr>
              <w:t>(percentage enrolled)</w:t>
            </w:r>
          </w:p>
        </w:tc>
      </w:tr>
      <w:tr w:rsidR="006243E9" w:rsidTr="00350E5D">
        <w:tc>
          <w:tcPr>
            <w:tcW w:w="1368" w:type="dxa"/>
          </w:tcPr>
          <w:p w:rsidR="006243E9" w:rsidRPr="00AC30C4" w:rsidRDefault="006243E9" w:rsidP="00266E88"/>
        </w:tc>
        <w:tc>
          <w:tcPr>
            <w:tcW w:w="1710" w:type="dxa"/>
            <w:tcBorders>
              <w:top w:val="single" w:sz="4" w:space="0" w:color="000000" w:themeColor="text1"/>
              <w:bottom w:val="single" w:sz="4" w:space="0" w:color="000000" w:themeColor="text1"/>
            </w:tcBorders>
          </w:tcPr>
          <w:p w:rsidR="006243E9" w:rsidRDefault="006243E9" w:rsidP="00266E88">
            <w:pPr>
              <w:jc w:val="center"/>
            </w:pPr>
            <w:r>
              <w:t>ALAS</w:t>
            </w:r>
          </w:p>
        </w:tc>
        <w:tc>
          <w:tcPr>
            <w:tcW w:w="1710" w:type="dxa"/>
            <w:tcBorders>
              <w:top w:val="single" w:sz="4" w:space="0" w:color="000000" w:themeColor="text1"/>
              <w:bottom w:val="single" w:sz="4" w:space="0" w:color="000000" w:themeColor="text1"/>
            </w:tcBorders>
          </w:tcPr>
          <w:p w:rsidR="006243E9" w:rsidRDefault="006243E9" w:rsidP="00266E88">
            <w:pPr>
              <w:jc w:val="center"/>
            </w:pPr>
            <w:r>
              <w:t>Control</w:t>
            </w:r>
          </w:p>
          <w:p w:rsidR="006243E9" w:rsidRPr="00AC30C4" w:rsidRDefault="006243E9" w:rsidP="00266E88">
            <w:pPr>
              <w:jc w:val="center"/>
            </w:pPr>
          </w:p>
        </w:tc>
        <w:tc>
          <w:tcPr>
            <w:tcW w:w="270" w:type="dxa"/>
          </w:tcPr>
          <w:p w:rsidR="006243E9" w:rsidRDefault="006243E9" w:rsidP="00266E88">
            <w:pPr>
              <w:jc w:val="center"/>
            </w:pPr>
          </w:p>
        </w:tc>
        <w:tc>
          <w:tcPr>
            <w:tcW w:w="1665" w:type="dxa"/>
            <w:tcBorders>
              <w:top w:val="single" w:sz="4" w:space="0" w:color="000000" w:themeColor="text1"/>
              <w:bottom w:val="single" w:sz="4" w:space="0" w:color="000000" w:themeColor="text1"/>
            </w:tcBorders>
          </w:tcPr>
          <w:p w:rsidR="006243E9" w:rsidRDefault="006243E9" w:rsidP="00266E88">
            <w:pPr>
              <w:jc w:val="center"/>
            </w:pPr>
            <w:r>
              <w:t>ALAS</w:t>
            </w:r>
          </w:p>
        </w:tc>
        <w:tc>
          <w:tcPr>
            <w:tcW w:w="1665" w:type="dxa"/>
            <w:tcBorders>
              <w:top w:val="single" w:sz="4" w:space="0" w:color="000000" w:themeColor="text1"/>
              <w:bottom w:val="single" w:sz="4" w:space="0" w:color="000000" w:themeColor="text1"/>
            </w:tcBorders>
          </w:tcPr>
          <w:p w:rsidR="006243E9" w:rsidRPr="00AC30C4" w:rsidRDefault="006243E9" w:rsidP="00266E88">
            <w:pPr>
              <w:jc w:val="center"/>
            </w:pPr>
            <w:r>
              <w:t>Control</w:t>
            </w:r>
          </w:p>
        </w:tc>
      </w:tr>
      <w:tr w:rsidR="006243E9" w:rsidTr="00350E5D">
        <w:trPr>
          <w:trHeight w:val="547"/>
        </w:trPr>
        <w:tc>
          <w:tcPr>
            <w:tcW w:w="1368" w:type="dxa"/>
            <w:vMerge w:val="restart"/>
          </w:tcPr>
          <w:p w:rsidR="006243E9" w:rsidRPr="00AC30C4" w:rsidRDefault="006243E9" w:rsidP="00266E88">
            <w:r>
              <w:t>End</w:t>
            </w:r>
            <w:r w:rsidR="006E64B2">
              <w:t xml:space="preserve"> </w:t>
            </w:r>
            <w:r w:rsidRPr="00AC30C4">
              <w:t xml:space="preserve">of </w:t>
            </w:r>
            <w:r>
              <w:t>9</w:t>
            </w:r>
            <w:r w:rsidRPr="00AC30C4">
              <w:t>th grade</w:t>
            </w:r>
          </w:p>
        </w:tc>
        <w:tc>
          <w:tcPr>
            <w:tcW w:w="1710" w:type="dxa"/>
            <w:tcBorders>
              <w:top w:val="single" w:sz="4" w:space="0" w:color="000000" w:themeColor="text1"/>
            </w:tcBorders>
          </w:tcPr>
          <w:p w:rsidR="006243E9" w:rsidRDefault="006243E9" w:rsidP="00266E88">
            <w:pPr>
              <w:jc w:val="center"/>
            </w:pPr>
            <w:r>
              <w:t>72%</w:t>
            </w:r>
          </w:p>
          <w:p w:rsidR="006243E9" w:rsidRDefault="006243E9" w:rsidP="00266E88">
            <w:pPr>
              <w:jc w:val="center"/>
            </w:pPr>
          </w:p>
        </w:tc>
        <w:tc>
          <w:tcPr>
            <w:tcW w:w="1710" w:type="dxa"/>
            <w:tcBorders>
              <w:top w:val="single" w:sz="4" w:space="0" w:color="000000" w:themeColor="text1"/>
            </w:tcBorders>
          </w:tcPr>
          <w:p w:rsidR="006243E9" w:rsidRPr="00AC30C4" w:rsidRDefault="006243E9" w:rsidP="00266E88">
            <w:pPr>
              <w:jc w:val="center"/>
            </w:pPr>
            <w:r>
              <w:t>53%</w:t>
            </w:r>
          </w:p>
        </w:tc>
        <w:tc>
          <w:tcPr>
            <w:tcW w:w="270" w:type="dxa"/>
          </w:tcPr>
          <w:p w:rsidR="006243E9" w:rsidRDefault="006243E9" w:rsidP="00266E88">
            <w:pPr>
              <w:jc w:val="center"/>
            </w:pPr>
          </w:p>
        </w:tc>
        <w:tc>
          <w:tcPr>
            <w:tcW w:w="1665" w:type="dxa"/>
            <w:vMerge w:val="restart"/>
            <w:tcBorders>
              <w:top w:val="single" w:sz="4" w:space="0" w:color="000000" w:themeColor="text1"/>
            </w:tcBorders>
          </w:tcPr>
          <w:p w:rsidR="006243E9" w:rsidRPr="00AC30C4" w:rsidRDefault="006243E9" w:rsidP="00266E88">
            <w:pPr>
              <w:jc w:val="center"/>
            </w:pPr>
            <w:r>
              <w:t>98%</w:t>
            </w:r>
          </w:p>
          <w:p w:rsidR="006243E9" w:rsidRPr="00AC30C4" w:rsidRDefault="006243E9" w:rsidP="00266E88">
            <w:pPr>
              <w:jc w:val="center"/>
            </w:pPr>
          </w:p>
        </w:tc>
        <w:tc>
          <w:tcPr>
            <w:tcW w:w="1665" w:type="dxa"/>
            <w:vMerge w:val="restart"/>
            <w:tcBorders>
              <w:top w:val="single" w:sz="4" w:space="0" w:color="000000" w:themeColor="text1"/>
            </w:tcBorders>
          </w:tcPr>
          <w:p w:rsidR="006243E9" w:rsidRDefault="006243E9" w:rsidP="00266E88">
            <w:pPr>
              <w:jc w:val="center"/>
            </w:pPr>
            <w:r>
              <w:t>83%</w:t>
            </w:r>
          </w:p>
          <w:p w:rsidR="006243E9" w:rsidRDefault="006243E9" w:rsidP="00266E88">
            <w:pPr>
              <w:jc w:val="center"/>
            </w:pPr>
          </w:p>
        </w:tc>
      </w:tr>
      <w:tr w:rsidR="006243E9" w:rsidTr="00350E5D">
        <w:trPr>
          <w:trHeight w:val="405"/>
        </w:trPr>
        <w:tc>
          <w:tcPr>
            <w:tcW w:w="1368" w:type="dxa"/>
            <w:vMerge/>
          </w:tcPr>
          <w:p w:rsidR="006243E9" w:rsidRPr="00AC30C4" w:rsidRDefault="006243E9" w:rsidP="00266E88"/>
        </w:tc>
        <w:tc>
          <w:tcPr>
            <w:tcW w:w="1710" w:type="dxa"/>
          </w:tcPr>
          <w:p w:rsidR="006243E9" w:rsidRDefault="006243E9" w:rsidP="00266E88">
            <w:pPr>
              <w:jc w:val="center"/>
            </w:pPr>
            <w:r>
              <w:t>75%</w:t>
            </w:r>
          </w:p>
        </w:tc>
        <w:tc>
          <w:tcPr>
            <w:tcW w:w="1710" w:type="dxa"/>
          </w:tcPr>
          <w:p w:rsidR="006243E9" w:rsidRDefault="006243E9" w:rsidP="00266E88">
            <w:pPr>
              <w:jc w:val="center"/>
            </w:pPr>
            <w:r>
              <w:t>44%</w:t>
            </w:r>
          </w:p>
          <w:p w:rsidR="006243E9" w:rsidRDefault="006243E9" w:rsidP="00266E88">
            <w:pPr>
              <w:jc w:val="center"/>
            </w:pPr>
          </w:p>
        </w:tc>
        <w:tc>
          <w:tcPr>
            <w:tcW w:w="270" w:type="dxa"/>
          </w:tcPr>
          <w:p w:rsidR="006243E9" w:rsidRDefault="006243E9" w:rsidP="00266E88">
            <w:pPr>
              <w:jc w:val="center"/>
            </w:pPr>
          </w:p>
        </w:tc>
        <w:tc>
          <w:tcPr>
            <w:tcW w:w="1665" w:type="dxa"/>
            <w:vMerge/>
          </w:tcPr>
          <w:p w:rsidR="006243E9" w:rsidRDefault="006243E9" w:rsidP="00266E88">
            <w:pPr>
              <w:jc w:val="center"/>
            </w:pPr>
          </w:p>
        </w:tc>
        <w:tc>
          <w:tcPr>
            <w:tcW w:w="1665" w:type="dxa"/>
            <w:vMerge/>
          </w:tcPr>
          <w:p w:rsidR="006243E9" w:rsidRDefault="006243E9" w:rsidP="00266E88">
            <w:pPr>
              <w:jc w:val="center"/>
            </w:pPr>
          </w:p>
        </w:tc>
      </w:tr>
      <w:tr w:rsidR="006243E9" w:rsidTr="00350E5D">
        <w:tc>
          <w:tcPr>
            <w:tcW w:w="1368" w:type="dxa"/>
          </w:tcPr>
          <w:p w:rsidR="006243E9" w:rsidRDefault="006243E9" w:rsidP="00266E88">
            <w:r>
              <w:t>End of 10th grade</w:t>
            </w:r>
          </w:p>
          <w:p w:rsidR="006243E9" w:rsidRPr="00AC30C4" w:rsidRDefault="006243E9" w:rsidP="00266E88"/>
        </w:tc>
        <w:tc>
          <w:tcPr>
            <w:tcW w:w="1710" w:type="dxa"/>
          </w:tcPr>
          <w:p w:rsidR="006243E9" w:rsidRPr="00AC30C4" w:rsidRDefault="006243E9" w:rsidP="00266E88">
            <w:pPr>
              <w:jc w:val="center"/>
            </w:pPr>
            <w:r>
              <w:t>44%</w:t>
            </w:r>
          </w:p>
        </w:tc>
        <w:tc>
          <w:tcPr>
            <w:tcW w:w="1710" w:type="dxa"/>
          </w:tcPr>
          <w:p w:rsidR="006243E9" w:rsidRPr="00AC30C4" w:rsidRDefault="006243E9" w:rsidP="00266E88">
            <w:pPr>
              <w:jc w:val="center"/>
            </w:pPr>
            <w:r>
              <w:t>22%</w:t>
            </w:r>
          </w:p>
        </w:tc>
        <w:tc>
          <w:tcPr>
            <w:tcW w:w="270" w:type="dxa"/>
          </w:tcPr>
          <w:p w:rsidR="006243E9" w:rsidRDefault="006243E9" w:rsidP="00266E88">
            <w:pPr>
              <w:jc w:val="center"/>
            </w:pPr>
          </w:p>
        </w:tc>
        <w:tc>
          <w:tcPr>
            <w:tcW w:w="1665" w:type="dxa"/>
          </w:tcPr>
          <w:p w:rsidR="006243E9" w:rsidRDefault="006243E9" w:rsidP="00266E88">
            <w:pPr>
              <w:jc w:val="center"/>
            </w:pPr>
            <w:r>
              <w:t>86%</w:t>
            </w:r>
          </w:p>
        </w:tc>
        <w:tc>
          <w:tcPr>
            <w:tcW w:w="1665" w:type="dxa"/>
          </w:tcPr>
          <w:p w:rsidR="006243E9" w:rsidRDefault="006243E9" w:rsidP="00266E88">
            <w:pPr>
              <w:jc w:val="center"/>
            </w:pPr>
            <w:r>
              <w:t>69%</w:t>
            </w:r>
          </w:p>
        </w:tc>
      </w:tr>
      <w:tr w:rsidR="006243E9" w:rsidTr="00350E5D">
        <w:tc>
          <w:tcPr>
            <w:tcW w:w="1368" w:type="dxa"/>
          </w:tcPr>
          <w:p w:rsidR="006243E9" w:rsidRPr="00AC30C4" w:rsidRDefault="006243E9" w:rsidP="00266E88">
            <w:r>
              <w:t>End of 11th grade</w:t>
            </w:r>
          </w:p>
        </w:tc>
        <w:tc>
          <w:tcPr>
            <w:tcW w:w="1710" w:type="dxa"/>
          </w:tcPr>
          <w:p w:rsidR="006243E9" w:rsidRPr="00AC30C4" w:rsidRDefault="006243E9" w:rsidP="00266E88">
            <w:pPr>
              <w:jc w:val="center"/>
            </w:pPr>
            <w:r>
              <w:t>33%</w:t>
            </w:r>
          </w:p>
        </w:tc>
        <w:tc>
          <w:tcPr>
            <w:tcW w:w="1710" w:type="dxa"/>
          </w:tcPr>
          <w:p w:rsidR="006243E9" w:rsidRPr="00AC30C4" w:rsidRDefault="006243E9" w:rsidP="00266E88">
            <w:pPr>
              <w:jc w:val="center"/>
            </w:pPr>
            <w:r>
              <w:t>26%</w:t>
            </w:r>
          </w:p>
        </w:tc>
        <w:tc>
          <w:tcPr>
            <w:tcW w:w="270" w:type="dxa"/>
          </w:tcPr>
          <w:p w:rsidR="006243E9" w:rsidRDefault="006243E9" w:rsidP="00266E88">
            <w:pPr>
              <w:jc w:val="center"/>
            </w:pPr>
          </w:p>
        </w:tc>
        <w:tc>
          <w:tcPr>
            <w:tcW w:w="1665" w:type="dxa"/>
          </w:tcPr>
          <w:p w:rsidR="006243E9" w:rsidRPr="00AC30C4" w:rsidRDefault="006243E9" w:rsidP="00266E88">
            <w:pPr>
              <w:jc w:val="center"/>
            </w:pPr>
            <w:r>
              <w:t>75%</w:t>
            </w:r>
          </w:p>
        </w:tc>
        <w:tc>
          <w:tcPr>
            <w:tcW w:w="1665" w:type="dxa"/>
          </w:tcPr>
          <w:p w:rsidR="006243E9" w:rsidRPr="00AC30C4" w:rsidRDefault="006243E9" w:rsidP="00266E88">
            <w:pPr>
              <w:jc w:val="center"/>
            </w:pPr>
            <w:r>
              <w:t>67%</w:t>
            </w:r>
          </w:p>
        </w:tc>
      </w:tr>
    </w:tbl>
    <w:p w:rsidR="000E3CA2" w:rsidRPr="00493E4A" w:rsidRDefault="000E3CA2" w:rsidP="00CF5106">
      <w:pPr>
        <w:pStyle w:val="Heading3"/>
      </w:pPr>
      <w:r>
        <w:lastRenderedPageBreak/>
        <w:t>Accelerated Middle School</w:t>
      </w:r>
      <w:r w:rsidR="00791301">
        <w:t>s</w:t>
      </w:r>
      <w:r>
        <w:t xml:space="preserve"> Program</w:t>
      </w:r>
    </w:p>
    <w:p w:rsidR="000E3CA2" w:rsidRDefault="000E3CA2" w:rsidP="000E3CA2">
      <w:r>
        <w:t>The Accelerated Middle School</w:t>
      </w:r>
      <w:r w:rsidR="004748E4">
        <w:t>s</w:t>
      </w:r>
      <w:r>
        <w:t xml:space="preserve"> program is a targeted intervention (Tier 2) that operates </w:t>
      </w:r>
      <w:r w:rsidR="004748E4">
        <w:t xml:space="preserve">as </w:t>
      </w:r>
      <w:r>
        <w:t>a school within a school</w:t>
      </w:r>
      <w:r w:rsidR="00791301">
        <w:t>,</w:t>
      </w:r>
      <w:r>
        <w:t xml:space="preserve"> or as a separate school</w:t>
      </w:r>
      <w:r w:rsidR="00791301">
        <w:t>,</w:t>
      </w:r>
      <w:r w:rsidR="00B16C03">
        <w:t xml:space="preserve"> </w:t>
      </w:r>
      <w:r w:rsidR="00B40921">
        <w:t>at the middle school level</w:t>
      </w:r>
      <w:r>
        <w:t>. In either case, the intervention is designed to help students “catch up” by covering curriculum at an accelerated pace</w:t>
      </w:r>
      <w:r w:rsidR="00791301">
        <w:t>,</w:t>
      </w:r>
      <w:r>
        <w:t xml:space="preserve"> </w:t>
      </w:r>
      <w:r w:rsidR="00791301">
        <w:t>with</w:t>
      </w:r>
      <w:r>
        <w:t xml:space="preserve"> students </w:t>
      </w:r>
      <w:r w:rsidR="00791301">
        <w:t xml:space="preserve">engaging </w:t>
      </w:r>
      <w:r>
        <w:t>in additional core academic instruction and enroll</w:t>
      </w:r>
      <w:r w:rsidR="00791301">
        <w:t>ing</w:t>
      </w:r>
      <w:r>
        <w:t xml:space="preserve"> in relatively few electives. Also, instruction across disciplines is often linked thematically, emphasizes experiential learning, and uses smaller class size</w:t>
      </w:r>
      <w:r w:rsidR="00596277">
        <w:t>s</w:t>
      </w:r>
      <w:r>
        <w:t>; additional supports include tutoring, attendance monitoring, counseling</w:t>
      </w:r>
      <w:r w:rsidR="00596277">
        <w:t>,</w:t>
      </w:r>
      <w:r>
        <w:t xml:space="preserve"> and family outreach. Program costs </w:t>
      </w:r>
      <w:r w:rsidR="00731443">
        <w:t xml:space="preserve">for a school district </w:t>
      </w:r>
      <w:r>
        <w:t>exceed traditional middle school costs by $2,000 to $5,000</w:t>
      </w:r>
      <w:r w:rsidR="008F1B31">
        <w:t xml:space="preserve"> as of 2007</w:t>
      </w:r>
      <w:r>
        <w:t>.</w:t>
      </w:r>
    </w:p>
    <w:p w:rsidR="000E3CA2" w:rsidRDefault="0025304A" w:rsidP="000E3CA2">
      <w:r>
        <w:t xml:space="preserve">The research </w:t>
      </w:r>
      <w:r w:rsidR="0099623F">
        <w:t>indicates that</w:t>
      </w:r>
      <w:r>
        <w:t xml:space="preserve"> </w:t>
      </w:r>
      <w:r w:rsidR="000E3CA2">
        <w:t xml:space="preserve">Accelerated Middle Schools </w:t>
      </w:r>
      <w:r w:rsidR="0099623F">
        <w:t>has</w:t>
      </w:r>
      <w:r>
        <w:t xml:space="preserve"> an </w:t>
      </w:r>
      <w:r w:rsidR="000E3CA2">
        <w:t xml:space="preserve">impact </w:t>
      </w:r>
      <w:r>
        <w:t xml:space="preserve">on </w:t>
      </w:r>
      <w:r w:rsidR="0099623F">
        <w:t xml:space="preserve">both </w:t>
      </w:r>
      <w:r w:rsidR="00835391">
        <w:t>Progressing in School</w:t>
      </w:r>
      <w:r w:rsidR="000E3CA2">
        <w:t xml:space="preserve"> and </w:t>
      </w:r>
      <w:r w:rsidR="00835391">
        <w:t>Staying in School</w:t>
      </w:r>
      <w:r w:rsidR="000E3CA2">
        <w:t xml:space="preserve"> (see Table </w:t>
      </w:r>
      <w:r w:rsidR="00E33222">
        <w:t>5</w:t>
      </w:r>
      <w:r w:rsidR="000E3CA2">
        <w:t xml:space="preserve">). </w:t>
      </w:r>
      <w:r w:rsidR="0021532E">
        <w:t>For the average student, t</w:t>
      </w:r>
      <w:r w:rsidR="000E3CA2">
        <w:t xml:space="preserve">he actual benefit in </w:t>
      </w:r>
      <w:r w:rsidR="00835391">
        <w:t xml:space="preserve">Progressing in School </w:t>
      </w:r>
      <w:r w:rsidR="000E3CA2">
        <w:t>varied depending on the study (three studies were included in the WWC review). The average student in the experimental group progress</w:t>
      </w:r>
      <w:r w:rsidR="00596277">
        <w:t>ed</w:t>
      </w:r>
      <w:r w:rsidR="000E3CA2">
        <w:t xml:space="preserve"> </w:t>
      </w:r>
      <w:r w:rsidR="0099623F">
        <w:t xml:space="preserve">from three-tenths to seven-tenths of a grade </w:t>
      </w:r>
      <w:r w:rsidR="00835391">
        <w:t xml:space="preserve">level </w:t>
      </w:r>
      <w:r w:rsidR="0099623F">
        <w:t>more</w:t>
      </w:r>
      <w:r w:rsidR="000E3CA2">
        <w:t xml:space="preserve"> than the average student in the control group.</w:t>
      </w:r>
      <w:r w:rsidR="000E3CA2" w:rsidRPr="00C04E33">
        <w:t xml:space="preserve"> </w:t>
      </w:r>
      <w:r w:rsidR="000E3CA2">
        <w:t xml:space="preserve">The actual benefit </w:t>
      </w:r>
      <w:r w:rsidR="00305217">
        <w:t>after two and three years later—</w:t>
      </w:r>
      <w:r w:rsidR="000E3CA2">
        <w:t xml:space="preserve">in terms of </w:t>
      </w:r>
      <w:r w:rsidR="00305217">
        <w:t xml:space="preserve">Staying in School </w:t>
      </w:r>
      <w:r w:rsidR="0021532E">
        <w:t>(</w:t>
      </w:r>
      <w:r w:rsidR="000E3CA2">
        <w:t xml:space="preserve">which in these studies was </w:t>
      </w:r>
      <w:r w:rsidR="0021532E">
        <w:t xml:space="preserve">defined as </w:t>
      </w:r>
      <w:r w:rsidR="000E3CA2">
        <w:t>percentage of students enrolled in school vs</w:t>
      </w:r>
      <w:r w:rsidR="00426160">
        <w:t>.</w:t>
      </w:r>
      <w:r w:rsidR="0021532E">
        <w:t xml:space="preserve"> percentage who had</w:t>
      </w:r>
      <w:r w:rsidR="000E3CA2">
        <w:t xml:space="preserve"> dropped out)</w:t>
      </w:r>
      <w:r w:rsidR="00305217">
        <w:t>—</w:t>
      </w:r>
      <w:r w:rsidR="000E3CA2">
        <w:t>ranged between 1, 4, 7, 8, and 14 percentage points. For example, after three years in the Michigan study, 85% of the experimental group of students were still enrolled</w:t>
      </w:r>
      <w:r w:rsidR="0021532E">
        <w:t>, as</w:t>
      </w:r>
      <w:r w:rsidR="000E3CA2">
        <w:t xml:space="preserve"> compared with 81% of the control group (N = 296 students in total sample)</w:t>
      </w:r>
      <w:r w:rsidR="0099623F">
        <w:t xml:space="preserve">. </w:t>
      </w:r>
      <w:r w:rsidR="00143F85">
        <w:t>After three years i</w:t>
      </w:r>
      <w:r w:rsidR="0099623F">
        <w:t>n</w:t>
      </w:r>
      <w:r w:rsidR="000E3CA2">
        <w:t xml:space="preserve"> the New Jersey study, 97% of students in the experimental group were still enrolled</w:t>
      </w:r>
      <w:r w:rsidR="0021532E">
        <w:t>, as</w:t>
      </w:r>
      <w:r w:rsidR="000E3CA2">
        <w:t xml:space="preserve"> compared with 83% of students still enrolled in the control group (N = 76 student in total sample) (What Works Clearinghouse, n.d.).</w:t>
      </w:r>
    </w:p>
    <w:p w:rsidR="009E1970" w:rsidRDefault="009E1970" w:rsidP="00CF5106">
      <w:pPr>
        <w:pStyle w:val="Heading3"/>
      </w:pPr>
      <w:r>
        <w:t xml:space="preserve">Check </w:t>
      </w:r>
      <w:r w:rsidR="002B4D5B">
        <w:t>&amp;</w:t>
      </w:r>
      <w:r>
        <w:t xml:space="preserve"> Connect</w:t>
      </w:r>
    </w:p>
    <w:p w:rsidR="009E1970" w:rsidRDefault="002B4D5B" w:rsidP="009E1970">
      <w:r>
        <w:t xml:space="preserve">Check &amp; Connect is a supplemental dropout prevention program </w:t>
      </w:r>
      <w:r w:rsidR="002810BF">
        <w:t xml:space="preserve">for high school </w:t>
      </w:r>
      <w:r w:rsidR="00635090">
        <w:t>students that</w:t>
      </w:r>
      <w:r>
        <w:t xml:space="preserve"> uses mentoring, case management, monitoring</w:t>
      </w:r>
      <w:r w:rsidR="00BB1600">
        <w:t>,</w:t>
      </w:r>
      <w:r>
        <w:t xml:space="preserve"> and other supports. Check &amp;</w:t>
      </w:r>
      <w:r w:rsidR="00BB1600">
        <w:t xml:space="preserve"> </w:t>
      </w:r>
      <w:r>
        <w:t>Connect has two components</w:t>
      </w:r>
      <w:r w:rsidR="008A68BE">
        <w:t>/</w:t>
      </w:r>
      <w:r>
        <w:t>responsibilities for the mentor</w:t>
      </w:r>
      <w:r w:rsidR="002810BF">
        <w:t>/</w:t>
      </w:r>
      <w:r w:rsidR="00783D6B">
        <w:t>case worker</w:t>
      </w:r>
      <w:r>
        <w:t>: “check</w:t>
      </w:r>
      <w:r w:rsidR="008A68BE">
        <w:t>,</w:t>
      </w:r>
      <w:r>
        <w:t>” which involves the mentor continually assessing each student’s engagement through school performance and progress indicators, and “connect</w:t>
      </w:r>
      <w:r w:rsidR="008A68BE">
        <w:t>,</w:t>
      </w:r>
      <w:r>
        <w:t>” which involves individualized attention through partnering with family members</w:t>
      </w:r>
      <w:r w:rsidR="008A68BE">
        <w:t xml:space="preserve">, </w:t>
      </w:r>
      <w:r>
        <w:t>community service providers</w:t>
      </w:r>
      <w:r w:rsidR="008A68BE">
        <w:t>, and key school staff</w:t>
      </w:r>
      <w:r w:rsidR="008A68BE" w:rsidRPr="008A68BE">
        <w:t xml:space="preserve"> </w:t>
      </w:r>
      <w:r w:rsidR="008A68BE">
        <w:t>for each individual student</w:t>
      </w:r>
      <w:r>
        <w:t>.</w:t>
      </w:r>
      <w:r w:rsidR="00D834F5">
        <w:t xml:space="preserve"> Although the WWC review focus</w:t>
      </w:r>
      <w:r w:rsidR="00BF221E">
        <w:t>es</w:t>
      </w:r>
      <w:r w:rsidR="00D834F5">
        <w:t xml:space="preserve"> on two studies involving ninth grade students in special education, Check &amp; Connect has also been used in elementary and middle schools</w:t>
      </w:r>
      <w:r w:rsidR="00D72BB4">
        <w:t xml:space="preserve"> to</w:t>
      </w:r>
      <w:r w:rsidR="00D834F5">
        <w:t xml:space="preserve"> </w:t>
      </w:r>
      <w:r w:rsidR="00BF221E">
        <w:t xml:space="preserve">target truancy </w:t>
      </w:r>
      <w:r w:rsidR="00D834F5">
        <w:t xml:space="preserve">(What Works Clearinghouse, </w:t>
      </w:r>
      <w:r w:rsidR="008E2E14">
        <w:t>n.d.</w:t>
      </w:r>
      <w:r w:rsidR="00D834F5">
        <w:t>).</w:t>
      </w:r>
      <w:r w:rsidR="006653B6">
        <w:t xml:space="preserve"> </w:t>
      </w:r>
    </w:p>
    <w:p w:rsidR="00DD419F" w:rsidRDefault="006653B6" w:rsidP="009E1970">
      <w:r>
        <w:lastRenderedPageBreak/>
        <w:t xml:space="preserve">Services within Check &amp; Connect are tailored and intensified to meet individual student needs. The mentor provides basic intervention involving </w:t>
      </w:r>
      <w:r w:rsidR="00E45992">
        <w:t>twice-</w:t>
      </w:r>
      <w:r w:rsidR="001B538E">
        <w:t>month</w:t>
      </w:r>
      <w:r w:rsidR="00E45992">
        <w:t>ly,</w:t>
      </w:r>
      <w:r w:rsidR="001B538E">
        <w:t xml:space="preserve"> one-on-one discussions</w:t>
      </w:r>
      <w:r>
        <w:t xml:space="preserve"> about </w:t>
      </w:r>
      <w:r w:rsidR="00566711">
        <w:t>school progress, conflict resolution</w:t>
      </w:r>
      <w:r w:rsidR="00E45992">
        <w:t>,</w:t>
      </w:r>
      <w:r w:rsidR="00566711">
        <w:t xml:space="preserve"> and coping with challenges. The mentor provides/</w:t>
      </w:r>
      <w:r w:rsidR="001B538E">
        <w:t>coordinates more</w:t>
      </w:r>
      <w:r w:rsidR="00566711">
        <w:t xml:space="preserve"> </w:t>
      </w:r>
      <w:r w:rsidR="005D419B">
        <w:t>intensive interventions</w:t>
      </w:r>
      <w:r w:rsidR="00566711">
        <w:t xml:space="preserve"> as needed in </w:t>
      </w:r>
      <w:r w:rsidR="00E45992">
        <w:t xml:space="preserve">areas such as </w:t>
      </w:r>
      <w:r w:rsidR="00566711">
        <w:t xml:space="preserve">problem solving (e.g., mediation, social skills training), academic support (e.g., tutoring, schedule changes), and recreation and community service exploration. </w:t>
      </w:r>
    </w:p>
    <w:p w:rsidR="00F53F27" w:rsidRDefault="00566711" w:rsidP="009E1970">
      <w:r>
        <w:t>Check &amp; Connect mentors in the studies reviewed by WWC were grade students</w:t>
      </w:r>
      <w:r w:rsidR="00E45992">
        <w:t>,</w:t>
      </w:r>
      <w:r>
        <w:t xml:space="preserve"> or community members with a </w:t>
      </w:r>
      <w:r w:rsidR="00E6767B">
        <w:t>bachelor’s</w:t>
      </w:r>
      <w:r>
        <w:t xml:space="preserve"> degree or equivalent experience in human services-related fields. The schools’ special education coordinator, psychologist</w:t>
      </w:r>
      <w:r w:rsidR="00E45992">
        <w:t>, or a resource teacher</w:t>
      </w:r>
      <w:r>
        <w:t xml:space="preserve"> oversaw the program and supervised the mentors. The program cost to the school or district is about $1400 per student per year as of the 2001/</w:t>
      </w:r>
      <w:r w:rsidR="00E45992">
        <w:t>20</w:t>
      </w:r>
      <w:r>
        <w:t>02 school year.</w:t>
      </w:r>
    </w:p>
    <w:p w:rsidR="00E6767B" w:rsidRDefault="00E6767B" w:rsidP="009E1970">
      <w:r>
        <w:t>The actual benefits accru</w:t>
      </w:r>
      <w:r w:rsidR="0033222A">
        <w:t>ing</w:t>
      </w:r>
      <w:r>
        <w:t xml:space="preserve"> with Check &amp; Connect are presented in Table </w:t>
      </w:r>
      <w:r w:rsidR="00CB2E82">
        <w:t>6</w:t>
      </w:r>
      <w:r>
        <w:t xml:space="preserve">. For example, </w:t>
      </w:r>
      <w:r w:rsidR="00212E96">
        <w:t xml:space="preserve">by the end of </w:t>
      </w:r>
      <w:r w:rsidR="00DD419F">
        <w:t xml:space="preserve">ninth </w:t>
      </w:r>
      <w:r w:rsidR="00212E96">
        <w:t xml:space="preserve">grade, </w:t>
      </w:r>
      <w:r>
        <w:t xml:space="preserve">the average Check &amp; Connect student </w:t>
      </w:r>
      <w:r w:rsidR="008A0029">
        <w:t>had earned</w:t>
      </w:r>
      <w:r>
        <w:t xml:space="preserve"> 12.13 credits</w:t>
      </w:r>
      <w:r w:rsidR="00212E96">
        <w:t>,</w:t>
      </w:r>
      <w:r>
        <w:t xml:space="preserve"> which is 5.5 credits more than that earned by the average control student. At the end of </w:t>
      </w:r>
      <w:r w:rsidR="00DD419F">
        <w:t xml:space="preserve">twelfth </w:t>
      </w:r>
      <w:r>
        <w:t>grade, 39% of Check &amp; Connect students had dropped out of school</w:t>
      </w:r>
      <w:r w:rsidR="00DD419F">
        <w:t>,</w:t>
      </w:r>
      <w:r>
        <w:t xml:space="preserve"> as compared with 58% of the control. With regard to completing school, there was minimal difference between Check &amp; Connect and control students; 30% </w:t>
      </w:r>
      <w:r w:rsidR="00DD419F">
        <w:t xml:space="preserve">of </w:t>
      </w:r>
      <w:r>
        <w:t>Check &amp; Connect students completed high school or earned a GED compared to 29% of control students.</w:t>
      </w:r>
      <w:r w:rsidR="00B86632">
        <w:t xml:space="preserve"> We do not know if some participants continued into a </w:t>
      </w:r>
      <w:r w:rsidR="00DD419F">
        <w:t xml:space="preserve">fifth </w:t>
      </w:r>
      <w:r w:rsidR="00B86632">
        <w:t xml:space="preserve">or </w:t>
      </w:r>
      <w:r w:rsidR="00DD419F">
        <w:t xml:space="preserve">sixth </w:t>
      </w:r>
      <w:r w:rsidR="00B86632">
        <w:t>year of high school.</w:t>
      </w:r>
    </w:p>
    <w:p w:rsidR="0082145B" w:rsidRDefault="00E6767B">
      <w:pPr>
        <w:spacing w:after="100" w:line="240" w:lineRule="auto"/>
        <w:rPr>
          <w:b/>
        </w:rPr>
      </w:pPr>
      <w:r w:rsidRPr="004D7A11">
        <w:rPr>
          <w:b/>
        </w:rPr>
        <w:t xml:space="preserve">Table </w:t>
      </w:r>
      <w:r w:rsidR="00CB2E82">
        <w:rPr>
          <w:b/>
        </w:rPr>
        <w:t>6</w:t>
      </w:r>
      <w:r w:rsidRPr="004D7A11">
        <w:rPr>
          <w:b/>
        </w:rPr>
        <w:t>.</w:t>
      </w:r>
      <w:r w:rsidR="001A7DA5">
        <w:rPr>
          <w:b/>
        </w:rPr>
        <w:t xml:space="preserve"> </w:t>
      </w:r>
      <w:r w:rsidRPr="004D7A11">
        <w:rPr>
          <w:b/>
        </w:rPr>
        <w:t>Comparison of Check &amp; Connect and Control Group Outcomes</w:t>
      </w:r>
    </w:p>
    <w:tbl>
      <w:tblPr>
        <w:tblStyle w:val="TableGrid"/>
        <w:tblW w:w="8838" w:type="dxa"/>
        <w:tblBorders>
          <w:left w:val="none" w:sz="0" w:space="0" w:color="auto"/>
          <w:right w:val="none" w:sz="0" w:space="0" w:color="auto"/>
          <w:insideH w:val="none" w:sz="0" w:space="0" w:color="auto"/>
          <w:insideV w:val="none" w:sz="0" w:space="0" w:color="auto"/>
        </w:tblBorders>
        <w:tblLayout w:type="fixed"/>
        <w:tblLook w:val="04A0"/>
      </w:tblPr>
      <w:tblGrid>
        <w:gridCol w:w="1368"/>
        <w:gridCol w:w="1035"/>
        <w:gridCol w:w="1035"/>
        <w:gridCol w:w="270"/>
        <w:gridCol w:w="1170"/>
        <w:gridCol w:w="1080"/>
        <w:gridCol w:w="270"/>
        <w:gridCol w:w="1260"/>
        <w:gridCol w:w="1350"/>
      </w:tblGrid>
      <w:tr w:rsidR="001B538E" w:rsidTr="00CD39DA">
        <w:trPr>
          <w:trHeight w:val="863"/>
        </w:trPr>
        <w:tc>
          <w:tcPr>
            <w:tcW w:w="1368" w:type="dxa"/>
            <w:vAlign w:val="center"/>
          </w:tcPr>
          <w:p w:rsidR="001B538E" w:rsidRDefault="001B538E" w:rsidP="00165501">
            <w:pPr>
              <w:rPr>
                <w:b/>
              </w:rPr>
            </w:pPr>
          </w:p>
        </w:tc>
        <w:tc>
          <w:tcPr>
            <w:tcW w:w="2070" w:type="dxa"/>
            <w:gridSpan w:val="2"/>
            <w:tcBorders>
              <w:top w:val="single" w:sz="4" w:space="0" w:color="000000" w:themeColor="text1"/>
              <w:bottom w:val="single" w:sz="4" w:space="0" w:color="000000" w:themeColor="text1"/>
            </w:tcBorders>
            <w:vAlign w:val="center"/>
          </w:tcPr>
          <w:p w:rsidR="001B538E" w:rsidRDefault="001B538E" w:rsidP="00165501">
            <w:pPr>
              <w:jc w:val="center"/>
              <w:rPr>
                <w:b/>
              </w:rPr>
            </w:pPr>
            <w:r>
              <w:rPr>
                <w:b/>
              </w:rPr>
              <w:t xml:space="preserve">Progressing in School </w:t>
            </w:r>
          </w:p>
          <w:p w:rsidR="001B538E" w:rsidRDefault="001B538E" w:rsidP="001B538E">
            <w:pPr>
              <w:jc w:val="center"/>
              <w:rPr>
                <w:b/>
              </w:rPr>
            </w:pPr>
            <w:r>
              <w:rPr>
                <w:b/>
              </w:rPr>
              <w:t>(</w:t>
            </w:r>
            <w:r w:rsidR="00B86632">
              <w:rPr>
                <w:b/>
              </w:rPr>
              <w:t xml:space="preserve">average </w:t>
            </w:r>
            <w:r>
              <w:rPr>
                <w:b/>
              </w:rPr>
              <w:t>number of credits earned)</w:t>
            </w:r>
          </w:p>
        </w:tc>
        <w:tc>
          <w:tcPr>
            <w:tcW w:w="270" w:type="dxa"/>
            <w:vAlign w:val="center"/>
          </w:tcPr>
          <w:p w:rsidR="001B538E" w:rsidRDefault="001B538E" w:rsidP="00165501">
            <w:pPr>
              <w:jc w:val="center"/>
              <w:rPr>
                <w:b/>
              </w:rPr>
            </w:pPr>
          </w:p>
        </w:tc>
        <w:tc>
          <w:tcPr>
            <w:tcW w:w="2250" w:type="dxa"/>
            <w:gridSpan w:val="2"/>
            <w:tcBorders>
              <w:top w:val="single" w:sz="4" w:space="0" w:color="000000" w:themeColor="text1"/>
              <w:bottom w:val="single" w:sz="4" w:space="0" w:color="000000" w:themeColor="text1"/>
            </w:tcBorders>
            <w:vAlign w:val="center"/>
          </w:tcPr>
          <w:p w:rsidR="001B538E" w:rsidRDefault="001B538E" w:rsidP="00165501">
            <w:pPr>
              <w:jc w:val="center"/>
              <w:rPr>
                <w:b/>
              </w:rPr>
            </w:pPr>
            <w:r>
              <w:rPr>
                <w:b/>
              </w:rPr>
              <w:t xml:space="preserve">Staying in School </w:t>
            </w:r>
          </w:p>
          <w:p w:rsidR="001B538E" w:rsidRDefault="001B538E" w:rsidP="001B538E">
            <w:pPr>
              <w:jc w:val="center"/>
              <w:rPr>
                <w:b/>
              </w:rPr>
            </w:pPr>
            <w:r>
              <w:rPr>
                <w:b/>
              </w:rPr>
              <w:t>(percentage who dropped out)</w:t>
            </w:r>
          </w:p>
        </w:tc>
        <w:tc>
          <w:tcPr>
            <w:tcW w:w="270" w:type="dxa"/>
            <w:tcBorders>
              <w:top w:val="single" w:sz="4" w:space="0" w:color="000000" w:themeColor="text1"/>
              <w:bottom w:val="single" w:sz="4" w:space="0" w:color="000000" w:themeColor="text1"/>
            </w:tcBorders>
            <w:vAlign w:val="center"/>
          </w:tcPr>
          <w:p w:rsidR="001B538E" w:rsidRDefault="001B538E" w:rsidP="00165501">
            <w:pPr>
              <w:jc w:val="center"/>
              <w:rPr>
                <w:b/>
              </w:rPr>
            </w:pPr>
          </w:p>
        </w:tc>
        <w:tc>
          <w:tcPr>
            <w:tcW w:w="2610" w:type="dxa"/>
            <w:gridSpan w:val="2"/>
            <w:tcBorders>
              <w:top w:val="single" w:sz="4" w:space="0" w:color="000000" w:themeColor="text1"/>
              <w:bottom w:val="single" w:sz="4" w:space="0" w:color="000000" w:themeColor="text1"/>
            </w:tcBorders>
            <w:vAlign w:val="center"/>
          </w:tcPr>
          <w:p w:rsidR="001B538E" w:rsidRDefault="001B538E" w:rsidP="00165501">
            <w:pPr>
              <w:jc w:val="center"/>
              <w:rPr>
                <w:b/>
              </w:rPr>
            </w:pPr>
            <w:r>
              <w:rPr>
                <w:b/>
              </w:rPr>
              <w:t>Completing School (percentage who completed high school or earned GED</w:t>
            </w:r>
            <w:r w:rsidR="00262E48">
              <w:rPr>
                <w:b/>
              </w:rPr>
              <w:t xml:space="preserve"> on time</w:t>
            </w:r>
            <w:r>
              <w:rPr>
                <w:b/>
              </w:rPr>
              <w:t>)</w:t>
            </w:r>
          </w:p>
        </w:tc>
      </w:tr>
      <w:tr w:rsidR="001B538E" w:rsidTr="001B538E">
        <w:tc>
          <w:tcPr>
            <w:tcW w:w="1368" w:type="dxa"/>
          </w:tcPr>
          <w:p w:rsidR="001B538E" w:rsidRPr="00AC30C4" w:rsidRDefault="001B538E" w:rsidP="00165501"/>
        </w:tc>
        <w:tc>
          <w:tcPr>
            <w:tcW w:w="1035" w:type="dxa"/>
            <w:tcBorders>
              <w:top w:val="single" w:sz="4" w:space="0" w:color="000000" w:themeColor="text1"/>
              <w:bottom w:val="single" w:sz="4" w:space="0" w:color="000000" w:themeColor="text1"/>
            </w:tcBorders>
          </w:tcPr>
          <w:p w:rsidR="001B538E" w:rsidRDefault="001B538E" w:rsidP="00165501">
            <w:pPr>
              <w:jc w:val="center"/>
            </w:pPr>
            <w:r>
              <w:t>Check &amp; Connect</w:t>
            </w:r>
          </w:p>
        </w:tc>
        <w:tc>
          <w:tcPr>
            <w:tcW w:w="1035" w:type="dxa"/>
            <w:tcBorders>
              <w:top w:val="single" w:sz="4" w:space="0" w:color="000000" w:themeColor="text1"/>
              <w:bottom w:val="single" w:sz="4" w:space="0" w:color="000000" w:themeColor="text1"/>
            </w:tcBorders>
          </w:tcPr>
          <w:p w:rsidR="001B538E" w:rsidRDefault="001B538E" w:rsidP="00165501">
            <w:pPr>
              <w:jc w:val="center"/>
            </w:pPr>
            <w:r>
              <w:t>Control</w:t>
            </w:r>
          </w:p>
          <w:p w:rsidR="001B538E" w:rsidRPr="00AC30C4" w:rsidRDefault="001B538E" w:rsidP="00165501">
            <w:pPr>
              <w:jc w:val="center"/>
            </w:pPr>
          </w:p>
        </w:tc>
        <w:tc>
          <w:tcPr>
            <w:tcW w:w="270" w:type="dxa"/>
          </w:tcPr>
          <w:p w:rsidR="001B538E" w:rsidRDefault="001B538E" w:rsidP="00165501">
            <w:pPr>
              <w:jc w:val="center"/>
            </w:pPr>
          </w:p>
        </w:tc>
        <w:tc>
          <w:tcPr>
            <w:tcW w:w="1170" w:type="dxa"/>
            <w:tcBorders>
              <w:top w:val="single" w:sz="4" w:space="0" w:color="000000" w:themeColor="text1"/>
              <w:bottom w:val="single" w:sz="4" w:space="0" w:color="000000" w:themeColor="text1"/>
            </w:tcBorders>
          </w:tcPr>
          <w:p w:rsidR="001B538E" w:rsidRDefault="001B538E" w:rsidP="00165501">
            <w:pPr>
              <w:jc w:val="center"/>
            </w:pPr>
            <w:r>
              <w:t>Check &amp; Connect</w:t>
            </w:r>
          </w:p>
        </w:tc>
        <w:tc>
          <w:tcPr>
            <w:tcW w:w="1080" w:type="dxa"/>
            <w:tcBorders>
              <w:top w:val="single" w:sz="4" w:space="0" w:color="000000" w:themeColor="text1"/>
              <w:bottom w:val="single" w:sz="4" w:space="0" w:color="000000" w:themeColor="text1"/>
            </w:tcBorders>
          </w:tcPr>
          <w:p w:rsidR="001B538E" w:rsidRPr="00AC30C4" w:rsidRDefault="001B538E" w:rsidP="00165501">
            <w:pPr>
              <w:jc w:val="center"/>
            </w:pPr>
            <w:r>
              <w:t>Control</w:t>
            </w:r>
          </w:p>
        </w:tc>
        <w:tc>
          <w:tcPr>
            <w:tcW w:w="270" w:type="dxa"/>
            <w:tcBorders>
              <w:top w:val="single" w:sz="4" w:space="0" w:color="000000" w:themeColor="text1"/>
              <w:bottom w:val="single" w:sz="4" w:space="0" w:color="000000" w:themeColor="text1"/>
            </w:tcBorders>
          </w:tcPr>
          <w:p w:rsidR="001B538E" w:rsidRDefault="001B538E" w:rsidP="00165501">
            <w:pPr>
              <w:jc w:val="center"/>
            </w:pPr>
          </w:p>
        </w:tc>
        <w:tc>
          <w:tcPr>
            <w:tcW w:w="1260" w:type="dxa"/>
            <w:tcBorders>
              <w:top w:val="single" w:sz="4" w:space="0" w:color="000000" w:themeColor="text1"/>
              <w:bottom w:val="single" w:sz="4" w:space="0" w:color="000000" w:themeColor="text1"/>
            </w:tcBorders>
          </w:tcPr>
          <w:p w:rsidR="001B538E" w:rsidRDefault="001B538E" w:rsidP="00165501">
            <w:pPr>
              <w:jc w:val="center"/>
            </w:pPr>
            <w:r>
              <w:t>Check &amp; Connect</w:t>
            </w:r>
          </w:p>
        </w:tc>
        <w:tc>
          <w:tcPr>
            <w:tcW w:w="1350" w:type="dxa"/>
            <w:tcBorders>
              <w:top w:val="single" w:sz="4" w:space="0" w:color="000000" w:themeColor="text1"/>
              <w:bottom w:val="single" w:sz="4" w:space="0" w:color="000000" w:themeColor="text1"/>
            </w:tcBorders>
          </w:tcPr>
          <w:p w:rsidR="001B538E" w:rsidRPr="00AC30C4" w:rsidRDefault="001B538E" w:rsidP="00165501">
            <w:pPr>
              <w:jc w:val="center"/>
            </w:pPr>
            <w:r>
              <w:t>Control</w:t>
            </w:r>
          </w:p>
        </w:tc>
      </w:tr>
      <w:tr w:rsidR="001B538E" w:rsidTr="0093501B">
        <w:trPr>
          <w:trHeight w:val="800"/>
        </w:trPr>
        <w:tc>
          <w:tcPr>
            <w:tcW w:w="1368" w:type="dxa"/>
          </w:tcPr>
          <w:p w:rsidR="001B538E" w:rsidRPr="00AC30C4" w:rsidRDefault="001B538E" w:rsidP="00165501">
            <w:r>
              <w:t>End</w:t>
            </w:r>
            <w:r w:rsidR="006E64B2">
              <w:t xml:space="preserve"> </w:t>
            </w:r>
            <w:r w:rsidRPr="00AC30C4">
              <w:t xml:space="preserve">of </w:t>
            </w:r>
            <w:r>
              <w:t>9</w:t>
            </w:r>
            <w:r w:rsidRPr="00AC30C4">
              <w:t>th grade</w:t>
            </w:r>
          </w:p>
        </w:tc>
        <w:tc>
          <w:tcPr>
            <w:tcW w:w="1035" w:type="dxa"/>
            <w:tcBorders>
              <w:top w:val="single" w:sz="4" w:space="0" w:color="000000" w:themeColor="text1"/>
            </w:tcBorders>
          </w:tcPr>
          <w:p w:rsidR="001B538E" w:rsidRDefault="001B538E" w:rsidP="00165501">
            <w:pPr>
              <w:jc w:val="center"/>
            </w:pPr>
            <w:r>
              <w:t>12.13</w:t>
            </w:r>
          </w:p>
        </w:tc>
        <w:tc>
          <w:tcPr>
            <w:tcW w:w="1035" w:type="dxa"/>
            <w:tcBorders>
              <w:top w:val="single" w:sz="4" w:space="0" w:color="000000" w:themeColor="text1"/>
            </w:tcBorders>
          </w:tcPr>
          <w:p w:rsidR="001B538E" w:rsidRPr="00AC30C4" w:rsidRDefault="001B538E" w:rsidP="00165501">
            <w:pPr>
              <w:jc w:val="center"/>
            </w:pPr>
            <w:r>
              <w:t>6.63</w:t>
            </w:r>
          </w:p>
        </w:tc>
        <w:tc>
          <w:tcPr>
            <w:tcW w:w="270" w:type="dxa"/>
          </w:tcPr>
          <w:p w:rsidR="001B538E" w:rsidRDefault="001B538E" w:rsidP="00165501">
            <w:pPr>
              <w:jc w:val="center"/>
            </w:pPr>
          </w:p>
        </w:tc>
        <w:tc>
          <w:tcPr>
            <w:tcW w:w="1170" w:type="dxa"/>
            <w:tcBorders>
              <w:top w:val="single" w:sz="4" w:space="0" w:color="000000" w:themeColor="text1"/>
            </w:tcBorders>
          </w:tcPr>
          <w:p w:rsidR="001B538E" w:rsidRPr="00AC30C4" w:rsidRDefault="001B538E" w:rsidP="00165501">
            <w:pPr>
              <w:jc w:val="center"/>
            </w:pPr>
            <w:r>
              <w:t>9%</w:t>
            </w:r>
          </w:p>
        </w:tc>
        <w:tc>
          <w:tcPr>
            <w:tcW w:w="1080" w:type="dxa"/>
            <w:tcBorders>
              <w:top w:val="single" w:sz="4" w:space="0" w:color="000000" w:themeColor="text1"/>
            </w:tcBorders>
          </w:tcPr>
          <w:p w:rsidR="001B538E" w:rsidRDefault="001B538E" w:rsidP="00165501">
            <w:pPr>
              <w:jc w:val="center"/>
            </w:pPr>
            <w:r>
              <w:t>30%</w:t>
            </w:r>
          </w:p>
        </w:tc>
        <w:tc>
          <w:tcPr>
            <w:tcW w:w="270" w:type="dxa"/>
            <w:tcBorders>
              <w:top w:val="single" w:sz="4" w:space="0" w:color="000000" w:themeColor="text1"/>
            </w:tcBorders>
          </w:tcPr>
          <w:p w:rsidR="001B538E" w:rsidRDefault="001B538E" w:rsidP="00165501">
            <w:pPr>
              <w:jc w:val="center"/>
            </w:pPr>
          </w:p>
        </w:tc>
        <w:tc>
          <w:tcPr>
            <w:tcW w:w="1260" w:type="dxa"/>
            <w:tcBorders>
              <w:top w:val="single" w:sz="4" w:space="0" w:color="000000" w:themeColor="text1"/>
            </w:tcBorders>
          </w:tcPr>
          <w:p w:rsidR="001B538E" w:rsidRDefault="001B538E" w:rsidP="00165501">
            <w:pPr>
              <w:jc w:val="center"/>
            </w:pPr>
          </w:p>
        </w:tc>
        <w:tc>
          <w:tcPr>
            <w:tcW w:w="1350" w:type="dxa"/>
            <w:tcBorders>
              <w:top w:val="single" w:sz="4" w:space="0" w:color="000000" w:themeColor="text1"/>
            </w:tcBorders>
          </w:tcPr>
          <w:p w:rsidR="001B538E" w:rsidRDefault="001B538E" w:rsidP="00165501">
            <w:pPr>
              <w:jc w:val="center"/>
            </w:pPr>
          </w:p>
        </w:tc>
      </w:tr>
      <w:tr w:rsidR="001B538E" w:rsidTr="001B538E">
        <w:tc>
          <w:tcPr>
            <w:tcW w:w="1368" w:type="dxa"/>
          </w:tcPr>
          <w:p w:rsidR="001B538E" w:rsidRDefault="001B538E" w:rsidP="00165501">
            <w:r>
              <w:t>End of 12th grade</w:t>
            </w:r>
          </w:p>
          <w:p w:rsidR="001B538E" w:rsidRPr="00AC30C4" w:rsidRDefault="001B538E" w:rsidP="00165501"/>
        </w:tc>
        <w:tc>
          <w:tcPr>
            <w:tcW w:w="1035" w:type="dxa"/>
          </w:tcPr>
          <w:p w:rsidR="001B538E" w:rsidRPr="00AC30C4" w:rsidRDefault="001B538E" w:rsidP="00165501">
            <w:pPr>
              <w:jc w:val="center"/>
            </w:pPr>
          </w:p>
        </w:tc>
        <w:tc>
          <w:tcPr>
            <w:tcW w:w="1035" w:type="dxa"/>
          </w:tcPr>
          <w:p w:rsidR="001B538E" w:rsidRPr="00AC30C4" w:rsidRDefault="001B538E" w:rsidP="00165501">
            <w:pPr>
              <w:jc w:val="center"/>
            </w:pPr>
          </w:p>
        </w:tc>
        <w:tc>
          <w:tcPr>
            <w:tcW w:w="270" w:type="dxa"/>
          </w:tcPr>
          <w:p w:rsidR="001B538E" w:rsidRDefault="001B538E" w:rsidP="00165501">
            <w:pPr>
              <w:jc w:val="center"/>
            </w:pPr>
          </w:p>
        </w:tc>
        <w:tc>
          <w:tcPr>
            <w:tcW w:w="1170" w:type="dxa"/>
          </w:tcPr>
          <w:p w:rsidR="001B538E" w:rsidRPr="00AC30C4" w:rsidRDefault="001B538E" w:rsidP="00165501">
            <w:pPr>
              <w:jc w:val="center"/>
            </w:pPr>
            <w:r>
              <w:t>39%</w:t>
            </w:r>
          </w:p>
        </w:tc>
        <w:tc>
          <w:tcPr>
            <w:tcW w:w="1080" w:type="dxa"/>
          </w:tcPr>
          <w:p w:rsidR="001B538E" w:rsidRPr="00AC30C4" w:rsidRDefault="001B538E" w:rsidP="00165501">
            <w:pPr>
              <w:jc w:val="center"/>
            </w:pPr>
            <w:r>
              <w:t>58%</w:t>
            </w:r>
          </w:p>
        </w:tc>
        <w:tc>
          <w:tcPr>
            <w:tcW w:w="270" w:type="dxa"/>
          </w:tcPr>
          <w:p w:rsidR="001B538E" w:rsidRPr="00AC30C4" w:rsidRDefault="001B538E" w:rsidP="00165501">
            <w:pPr>
              <w:jc w:val="center"/>
            </w:pPr>
          </w:p>
        </w:tc>
        <w:tc>
          <w:tcPr>
            <w:tcW w:w="1260" w:type="dxa"/>
          </w:tcPr>
          <w:p w:rsidR="001B538E" w:rsidRPr="00AC30C4" w:rsidRDefault="001B538E" w:rsidP="00165501">
            <w:pPr>
              <w:jc w:val="center"/>
            </w:pPr>
            <w:r>
              <w:t>30%</w:t>
            </w:r>
          </w:p>
        </w:tc>
        <w:tc>
          <w:tcPr>
            <w:tcW w:w="1350" w:type="dxa"/>
          </w:tcPr>
          <w:p w:rsidR="001B538E" w:rsidRPr="00AC30C4" w:rsidRDefault="001B538E" w:rsidP="00165501">
            <w:pPr>
              <w:jc w:val="center"/>
            </w:pPr>
            <w:r>
              <w:t>29%</w:t>
            </w:r>
          </w:p>
        </w:tc>
      </w:tr>
    </w:tbl>
    <w:p w:rsidR="00E6767B" w:rsidRPr="009E1970" w:rsidRDefault="00E6767B" w:rsidP="009E1970"/>
    <w:p w:rsidR="00276D26" w:rsidRDefault="00276D26" w:rsidP="00CF5106">
      <w:pPr>
        <w:pStyle w:val="Heading3"/>
      </w:pPr>
      <w:r>
        <w:t>Talent Search</w:t>
      </w:r>
    </w:p>
    <w:p w:rsidR="00276D26" w:rsidRDefault="00276D26" w:rsidP="00276D26">
      <w:r>
        <w:t>Talent Search is a supplemental, targeted program (Tier</w:t>
      </w:r>
      <w:r w:rsidR="00291432">
        <w:t xml:space="preserve"> </w:t>
      </w:r>
      <w:r>
        <w:t xml:space="preserve">2) that uses a combination of services aimed at helping low-income and first-generation college students in </w:t>
      </w:r>
      <w:r w:rsidR="00291432">
        <w:t xml:space="preserve">eleventh </w:t>
      </w:r>
      <w:r>
        <w:t xml:space="preserve">and </w:t>
      </w:r>
      <w:r w:rsidR="00291432">
        <w:t xml:space="preserve">twelfth </w:t>
      </w:r>
      <w:r>
        <w:t xml:space="preserve">grade complete high </w:t>
      </w:r>
      <w:r>
        <w:lastRenderedPageBreak/>
        <w:t>school and gain access to college. The services include academic advising, test</w:t>
      </w:r>
      <w:r w:rsidR="00B824DE">
        <w:t>-</w:t>
      </w:r>
      <w:r>
        <w:t>taking and study skill assistance, tutoring, career development, visits to college campuses, and assistance with financial aid applications.</w:t>
      </w:r>
    </w:p>
    <w:p w:rsidR="006F1966" w:rsidRDefault="00BB0B32">
      <w:r>
        <w:t xml:space="preserve">The </w:t>
      </w:r>
      <w:r w:rsidR="001F1ADB">
        <w:t xml:space="preserve">measured </w:t>
      </w:r>
      <w:r>
        <w:t xml:space="preserve">benefit </w:t>
      </w:r>
      <w:r w:rsidR="00FD069E">
        <w:t xml:space="preserve">of Talent Search, defined as the percentage of students earning a high school diploma or GED within five years of entering ninth grade, </w:t>
      </w:r>
      <w:r w:rsidR="001F1ADB">
        <w:t>was</w:t>
      </w:r>
      <w:r w:rsidR="00F26107">
        <w:t xml:space="preserve"> a gain between 9 and 14 percentage points for the experimental groups</w:t>
      </w:r>
      <w:r w:rsidR="00FD069E">
        <w:t>,</w:t>
      </w:r>
      <w:r w:rsidR="00F26107">
        <w:t xml:space="preserve"> depending on the study. </w:t>
      </w:r>
      <w:r>
        <w:t>In the Texas study, 86% of the experimental group completed high school</w:t>
      </w:r>
      <w:r w:rsidR="00305930">
        <w:t>,</w:t>
      </w:r>
      <w:r>
        <w:t xml:space="preserve"> </w:t>
      </w:r>
      <w:r w:rsidR="00305930">
        <w:t xml:space="preserve">as </w:t>
      </w:r>
      <w:r>
        <w:t>compared to 77% of the control group (N = 8,054 students in total sample). In the Florida study, 84% of students in the experimental group completed high school</w:t>
      </w:r>
      <w:r w:rsidR="00305930">
        <w:t>, as</w:t>
      </w:r>
      <w:r w:rsidR="00242497">
        <w:t xml:space="preserve"> </w:t>
      </w:r>
      <w:r>
        <w:t xml:space="preserve">compared with 70% of the control group </w:t>
      </w:r>
      <w:r w:rsidR="00F26107">
        <w:t xml:space="preserve">(N = 1,800 students in total sample) </w:t>
      </w:r>
      <w:r>
        <w:t xml:space="preserve">(What Works Clearinghouse, </w:t>
      </w:r>
      <w:r w:rsidR="008E2E14">
        <w:t>n.d.</w:t>
      </w:r>
      <w:r>
        <w:t>).</w:t>
      </w:r>
    </w:p>
    <w:p w:rsidR="008F26B4" w:rsidRDefault="008F26B4" w:rsidP="008F26B4">
      <w:pPr>
        <w:pStyle w:val="Heading3"/>
      </w:pPr>
      <w:r>
        <w:t>Discussion</w:t>
      </w:r>
    </w:p>
    <w:p w:rsidR="0082145B" w:rsidRDefault="00703D5C">
      <w:r>
        <w:t>Individualized and supplemental instruction can help students master course content and accumulate credits toward graduation. Tutoring, academic assistance</w:t>
      </w:r>
      <w:r w:rsidR="002B3DAC">
        <w:t>,</w:t>
      </w:r>
      <w:r>
        <w:t xml:space="preserve"> and enrichment provided during school, after school, or</w:t>
      </w:r>
      <w:r w:rsidR="00710A81">
        <w:t xml:space="preserve"> during</w:t>
      </w:r>
      <w:r>
        <w:t xml:space="preserve"> summer school are effective Tier 2 strategies (Allensworth &amp; Easton, 2007; Dynarski et al., 2008). </w:t>
      </w:r>
      <w:r w:rsidR="002B3DAC">
        <w:t xml:space="preserve">Additionally, WWC reviews of evidence indicate that </w:t>
      </w:r>
      <w:r w:rsidR="00FD1DDA">
        <w:t xml:space="preserve">three Tier 2 programs (ALAS, Accelerated Middle Schools, and Check &amp; Connect) </w:t>
      </w:r>
      <w:r w:rsidR="008263E6">
        <w:t xml:space="preserve">each </w:t>
      </w:r>
      <w:r w:rsidR="00FD1DDA">
        <w:t xml:space="preserve">had </w:t>
      </w:r>
      <w:r w:rsidR="008263E6">
        <w:t xml:space="preserve">a </w:t>
      </w:r>
      <w:r w:rsidR="00FD1DDA">
        <w:t>measurable impact on progressing in school (</w:t>
      </w:r>
      <w:r w:rsidR="008263E6">
        <w:t xml:space="preserve">i.e., significant </w:t>
      </w:r>
      <w:r w:rsidR="00FD1DDA">
        <w:t>credit accumulation) and staying in school (e.g., 75</w:t>
      </w:r>
      <w:r w:rsidR="00941F17">
        <w:t>%</w:t>
      </w:r>
      <w:r w:rsidR="00FD1DDA">
        <w:t xml:space="preserve"> to 98% of participants stayed in school compared with 67</w:t>
      </w:r>
      <w:r w:rsidR="00941F17">
        <w:t>%</w:t>
      </w:r>
      <w:r w:rsidR="00FD1DDA">
        <w:t xml:space="preserve"> </w:t>
      </w:r>
      <w:r w:rsidR="00DE5D84">
        <w:t xml:space="preserve">to </w:t>
      </w:r>
      <w:r w:rsidR="00FD1DDA">
        <w:t xml:space="preserve">83% of control group participants). Additionally, </w:t>
      </w:r>
      <w:r w:rsidR="00DE5D84">
        <w:t>Talent Search had a measurable impact on graduation; 84</w:t>
      </w:r>
      <w:r w:rsidR="00941F17">
        <w:t>%</w:t>
      </w:r>
      <w:r w:rsidR="00DE5D84">
        <w:t xml:space="preserve"> to 86% of Talent Search participants completed high school compared with 70</w:t>
      </w:r>
      <w:r w:rsidR="00941F17">
        <w:t>%</w:t>
      </w:r>
      <w:r w:rsidR="00710A81">
        <w:t xml:space="preserve"> </w:t>
      </w:r>
      <w:r w:rsidR="00DE5D84">
        <w:t>to 77% of control group participants.</w:t>
      </w:r>
    </w:p>
    <w:p w:rsidR="00D0458C" w:rsidRDefault="00D0458C">
      <w:pPr>
        <w:pStyle w:val="Heading3"/>
        <w:sectPr w:rsidR="00D0458C" w:rsidSect="003340B0">
          <w:pgSz w:w="12240" w:h="15840"/>
          <w:pgMar w:top="1440" w:right="1440" w:bottom="1440" w:left="1440" w:header="720" w:footer="720" w:gutter="0"/>
          <w:cols w:space="720"/>
          <w:docGrid w:linePitch="360"/>
        </w:sectPr>
      </w:pPr>
    </w:p>
    <w:p w:rsidR="0082145B" w:rsidRDefault="00853C9D">
      <w:pPr>
        <w:pStyle w:val="Heading3"/>
      </w:pPr>
      <w:r>
        <w:lastRenderedPageBreak/>
        <w:t>Tier 3</w:t>
      </w:r>
      <w:r w:rsidR="00710A81">
        <w:t xml:space="preserve">: </w:t>
      </w:r>
      <w:r>
        <w:t xml:space="preserve">Recovery/Reentry </w:t>
      </w:r>
      <w:r w:rsidR="00F23995">
        <w:t>Strategies and Programs</w:t>
      </w:r>
    </w:p>
    <w:p w:rsidR="00366549" w:rsidRDefault="009C0DCD" w:rsidP="00D00115">
      <w:r>
        <w:t>Tier 3</w:t>
      </w:r>
      <w:r w:rsidR="00710A81">
        <w:t xml:space="preserve"> </w:t>
      </w:r>
      <w:r w:rsidR="00B51023">
        <w:t>recovery</w:t>
      </w:r>
      <w:r>
        <w:t>/</w:t>
      </w:r>
      <w:r w:rsidR="00B51023">
        <w:t xml:space="preserve">reentry </w:t>
      </w:r>
      <w:r>
        <w:t xml:space="preserve">programs </w:t>
      </w:r>
      <w:r w:rsidR="00B51023">
        <w:t xml:space="preserve">provide </w:t>
      </w:r>
      <w:r w:rsidR="00AB1946">
        <w:t>options</w:t>
      </w:r>
      <w:r>
        <w:t xml:space="preserve"> for students w</w:t>
      </w:r>
      <w:r w:rsidR="00AB1946">
        <w:t xml:space="preserve">hose situations, personalities, </w:t>
      </w:r>
      <w:r w:rsidR="007B7A78">
        <w:t xml:space="preserve">histories, </w:t>
      </w:r>
      <w:r w:rsidR="00AB1946">
        <w:t>and</w:t>
      </w:r>
      <w:r w:rsidR="007B7A78">
        <w:t>/</w:t>
      </w:r>
      <w:r w:rsidR="00264718">
        <w:t>or physical</w:t>
      </w:r>
      <w:r w:rsidR="005933CD">
        <w:t xml:space="preserve"> and </w:t>
      </w:r>
      <w:r w:rsidR="00AB1946">
        <w:t xml:space="preserve">health-related characteristics pose </w:t>
      </w:r>
      <w:r>
        <w:t xml:space="preserve">chronic </w:t>
      </w:r>
      <w:r w:rsidR="00AB1946">
        <w:t xml:space="preserve">and multiple challenges to school and career success. </w:t>
      </w:r>
      <w:r w:rsidR="0049616E">
        <w:t>Daylight/Twilight High School is an example of a Tier 3 program designed for out-of-school youth who are over</w:t>
      </w:r>
      <w:r w:rsidR="005933CD">
        <w:t>-</w:t>
      </w:r>
      <w:r w:rsidR="0049616E">
        <w:t xml:space="preserve">age and under-credited (National Dropout Prevention Center/Network, </w:t>
      </w:r>
      <w:r w:rsidR="008E2E14">
        <w:t>n.d.</w:t>
      </w:r>
      <w:r w:rsidR="0049616E">
        <w:t>). The program is open for business</w:t>
      </w:r>
      <w:r w:rsidR="005933CD">
        <w:t xml:space="preserve"> from</w:t>
      </w:r>
      <w:r w:rsidR="0049616E">
        <w:t xml:space="preserve"> 7:30 am to 7:30 pm and allows students to attend </w:t>
      </w:r>
      <w:r w:rsidR="00242497">
        <w:t xml:space="preserve">for a </w:t>
      </w:r>
      <w:r w:rsidR="0049616E">
        <w:t xml:space="preserve">four-hour </w:t>
      </w:r>
      <w:r w:rsidR="00242497">
        <w:t>block of time</w:t>
      </w:r>
      <w:r w:rsidR="0049616E">
        <w:t xml:space="preserve">. </w:t>
      </w:r>
      <w:r w:rsidR="0050560F">
        <w:t xml:space="preserve">However, according </w:t>
      </w:r>
      <w:r w:rsidR="0049616E">
        <w:t>to the National Dropout Prevention Center/Network model program database, the program has limited evidence of effectiveness</w:t>
      </w:r>
      <w:r w:rsidR="0050560F">
        <w:t>, while f</w:t>
      </w:r>
      <w:r w:rsidR="00366549">
        <w:t>ive of the six Tier 3 programs included in WWC</w:t>
      </w:r>
      <w:r w:rsidR="00D0458C">
        <w:t>’s</w:t>
      </w:r>
      <w:r w:rsidR="00366549">
        <w:t xml:space="preserve"> Dropout Prevention review had </w:t>
      </w:r>
      <w:r w:rsidR="00D0458C">
        <w:t xml:space="preserve">rigorous </w:t>
      </w:r>
      <w:r w:rsidR="00366549">
        <w:t xml:space="preserve">evidence </w:t>
      </w:r>
      <w:r w:rsidR="00D0458C">
        <w:t>on</w:t>
      </w:r>
      <w:r w:rsidR="00366549">
        <w:t xml:space="preserve"> effectiveness (see Table </w:t>
      </w:r>
      <w:r w:rsidR="00941F17">
        <w:t>7</w:t>
      </w:r>
      <w:r w:rsidR="00366549">
        <w:t>).</w:t>
      </w:r>
    </w:p>
    <w:p w:rsidR="009B68FA" w:rsidRPr="009B68FA" w:rsidRDefault="00E4695C" w:rsidP="00732736">
      <w:r>
        <w:t>The</w:t>
      </w:r>
      <w:r w:rsidR="00DD7DA5">
        <w:t xml:space="preserve"> second column</w:t>
      </w:r>
      <w:r>
        <w:t xml:space="preserve"> of Table 7</w:t>
      </w:r>
      <w:r w:rsidR="00DD7DA5">
        <w:t xml:space="preserve"> shows that </w:t>
      </w:r>
      <w:r w:rsidR="0046558C">
        <w:t>two</w:t>
      </w:r>
      <w:r w:rsidR="00DD7DA5">
        <w:t xml:space="preserve"> programs</w:t>
      </w:r>
      <w:r w:rsidR="00CF202E">
        <w:t xml:space="preserve">, </w:t>
      </w:r>
      <w:r w:rsidR="0046558C">
        <w:rPr>
          <w:rFonts w:ascii="Calibri" w:hAnsi="Calibri"/>
          <w:color w:val="000000"/>
        </w:rPr>
        <w:t>National Guard Youth ChalleNGe Program and JOBSTART</w:t>
      </w:r>
      <w:r w:rsidR="00CF202E">
        <w:t xml:space="preserve">, </w:t>
      </w:r>
      <w:r w:rsidR="00DD7DA5">
        <w:t xml:space="preserve">have relatively high overall average weighted improvement index values (i.e., </w:t>
      </w:r>
      <w:r w:rsidR="0046558C">
        <w:t>22</w:t>
      </w:r>
      <w:r w:rsidR="00DD7DA5">
        <w:t xml:space="preserve"> </w:t>
      </w:r>
      <w:r w:rsidR="0046558C">
        <w:t>and 14</w:t>
      </w:r>
      <w:r w:rsidR="00DD7DA5">
        <w:t>)</w:t>
      </w:r>
      <w:r w:rsidR="00CF202E">
        <w:t>.</w:t>
      </w:r>
      <w:r w:rsidR="0046558C">
        <w:t xml:space="preserve"> </w:t>
      </w:r>
      <w:r w:rsidR="00CF202E">
        <w:t>T</w:t>
      </w:r>
      <w:r w:rsidR="0046558C">
        <w:t>wo other programs</w:t>
      </w:r>
      <w:r w:rsidR="00CF202E">
        <w:t>,</w:t>
      </w:r>
      <w:r w:rsidR="0046558C">
        <w:t xml:space="preserve"> New Chance and Job Corps</w:t>
      </w:r>
      <w:r w:rsidR="00CF202E">
        <w:t xml:space="preserve">, </w:t>
      </w:r>
      <w:r w:rsidR="0046558C">
        <w:t>each ha</w:t>
      </w:r>
      <w:r w:rsidR="00941F17">
        <w:t>d</w:t>
      </w:r>
      <w:r w:rsidR="0046558C">
        <w:t xml:space="preserve"> a positive but relatively small impact (with overall average weighted improvement index values of 8 and 5)</w:t>
      </w:r>
      <w:r w:rsidR="00CF202E">
        <w:t>.</w:t>
      </w:r>
      <w:r w:rsidR="0046558C">
        <w:t xml:space="preserve"> </w:t>
      </w:r>
      <w:r w:rsidR="00CF202E">
        <w:t>Finally,</w:t>
      </w:r>
      <w:r w:rsidR="0046558C">
        <w:t xml:space="preserve"> one program ha</w:t>
      </w:r>
      <w:r w:rsidR="00941F17">
        <w:t>d</w:t>
      </w:r>
      <w:r w:rsidR="0046558C">
        <w:t xml:space="preserve"> a negative but </w:t>
      </w:r>
      <w:r w:rsidR="0046558C" w:rsidRPr="00CF202E">
        <w:t xml:space="preserve">small </w:t>
      </w:r>
      <w:r w:rsidR="0046558C" w:rsidRPr="00CF202E">
        <w:rPr>
          <w:rFonts w:ascii="Calibri" w:hAnsi="Calibri"/>
          <w:color w:val="000000"/>
        </w:rPr>
        <w:t xml:space="preserve">impact </w:t>
      </w:r>
      <w:r w:rsidR="0046558C" w:rsidRPr="00CF202E">
        <w:t>(with an overall average weighted improvement index value of -2).</w:t>
      </w:r>
      <w:r w:rsidR="00732736" w:rsidRPr="00CF202E">
        <w:t xml:space="preserve"> Notably, the overall average </w:t>
      </w:r>
      <w:r w:rsidR="00852A47" w:rsidRPr="00CF202E">
        <w:t xml:space="preserve">for the top four listed programs </w:t>
      </w:r>
      <w:r w:rsidR="00AD2C0C" w:rsidRPr="00CF202E">
        <w:t xml:space="preserve">in Table </w:t>
      </w:r>
      <w:r w:rsidR="00941F17" w:rsidRPr="00CF202E">
        <w:t>7</w:t>
      </w:r>
      <w:r w:rsidR="00AD2C0C" w:rsidRPr="00CF202E">
        <w:t xml:space="preserve"> </w:t>
      </w:r>
      <w:r w:rsidR="00852A47" w:rsidRPr="00CF202E">
        <w:t xml:space="preserve">is actually the weighted improvement index for the </w:t>
      </w:r>
      <w:r w:rsidR="006B543B" w:rsidRPr="006B543B">
        <w:t>Completing School</w:t>
      </w:r>
      <w:r w:rsidR="00852A47" w:rsidRPr="00CF202E">
        <w:t xml:space="preserve"> outcome (because the other outcomes, </w:t>
      </w:r>
      <w:r w:rsidR="00CF202E" w:rsidRPr="00CF202E">
        <w:t xml:space="preserve">Progressing in School </w:t>
      </w:r>
      <w:r w:rsidR="00852A47" w:rsidRPr="00CF202E">
        <w:t xml:space="preserve">and </w:t>
      </w:r>
      <w:r w:rsidR="00CF202E" w:rsidRPr="00CF202E">
        <w:t>Staying in School</w:t>
      </w:r>
      <w:r w:rsidR="00852A47" w:rsidRPr="00CF202E">
        <w:t xml:space="preserve">, were not measured in the studies reviewed by WWC for these interventions). </w:t>
      </w:r>
      <w:r w:rsidR="00AD2C0C" w:rsidRPr="00CF202E">
        <w:t xml:space="preserve">Therefore, </w:t>
      </w:r>
      <w:r w:rsidR="009B68FA" w:rsidRPr="00CF202E">
        <w:t xml:space="preserve">the </w:t>
      </w:r>
      <w:r w:rsidR="0014634A" w:rsidRPr="00CF202E">
        <w:t xml:space="preserve">Table </w:t>
      </w:r>
      <w:r w:rsidR="00941F17" w:rsidRPr="00CF202E">
        <w:t>7</w:t>
      </w:r>
      <w:r w:rsidR="0014634A" w:rsidRPr="00CF202E">
        <w:t xml:space="preserve"> </w:t>
      </w:r>
      <w:r w:rsidR="006B543B" w:rsidRPr="006B543B">
        <w:t>Completing School</w:t>
      </w:r>
      <w:r w:rsidR="00CF202E" w:rsidRPr="00CF202E">
        <w:t xml:space="preserve"> </w:t>
      </w:r>
      <w:r w:rsidR="009B68FA" w:rsidRPr="00CF202E">
        <w:t>columns are relevant</w:t>
      </w:r>
      <w:r w:rsidR="009B68FA">
        <w:t xml:space="preserve"> in comparing results within th</w:t>
      </w:r>
      <w:r w:rsidR="0014634A">
        <w:t>is</w:t>
      </w:r>
      <w:r w:rsidR="009B68FA">
        <w:t xml:space="preserve"> set of Tier 3 type programs</w:t>
      </w:r>
      <w:r w:rsidR="0014634A">
        <w:t xml:space="preserve">. </w:t>
      </w:r>
      <w:r w:rsidR="009B68FA">
        <w:tab/>
      </w:r>
    </w:p>
    <w:p w:rsidR="00852A47" w:rsidRDefault="00852A47" w:rsidP="00D00115">
      <w:pPr>
        <w:sectPr w:rsidR="00852A47" w:rsidSect="003340B0">
          <w:pgSz w:w="12240" w:h="15840"/>
          <w:pgMar w:top="1440" w:right="1440" w:bottom="1440" w:left="1440" w:header="720" w:footer="720" w:gutter="0"/>
          <w:cols w:space="720"/>
          <w:docGrid w:linePitch="360"/>
        </w:sectPr>
      </w:pPr>
      <w:r>
        <w:tab/>
      </w:r>
    </w:p>
    <w:p w:rsidR="0082145B" w:rsidRDefault="00A06D5C">
      <w:pPr>
        <w:spacing w:after="100" w:line="240" w:lineRule="auto"/>
        <w:rPr>
          <w:b/>
        </w:rPr>
      </w:pPr>
      <w:r w:rsidRPr="00930FBE">
        <w:rPr>
          <w:b/>
        </w:rPr>
        <w:lastRenderedPageBreak/>
        <w:t xml:space="preserve">Table </w:t>
      </w:r>
      <w:r w:rsidR="00D82B4A">
        <w:rPr>
          <w:b/>
        </w:rPr>
        <w:t>7</w:t>
      </w:r>
      <w:r w:rsidRPr="00930FBE">
        <w:rPr>
          <w:b/>
        </w:rPr>
        <w:t xml:space="preserve">. </w:t>
      </w:r>
      <w:r>
        <w:rPr>
          <w:b/>
        </w:rPr>
        <w:t xml:space="preserve">Tier 3 Dropout Prevention/intervention </w:t>
      </w:r>
      <w:r w:rsidRPr="00930FBE">
        <w:rPr>
          <w:b/>
        </w:rPr>
        <w:t>Program</w:t>
      </w:r>
      <w:r>
        <w:rPr>
          <w:b/>
        </w:rPr>
        <w:t xml:space="preserve"> Effectiveness Results for those </w:t>
      </w:r>
      <w:r w:rsidRPr="00930FBE">
        <w:rPr>
          <w:b/>
        </w:rPr>
        <w:t>with</w:t>
      </w:r>
      <w:r>
        <w:rPr>
          <w:b/>
        </w:rPr>
        <w:t xml:space="preserve"> Studies reviewed by WWC Review </w:t>
      </w:r>
    </w:p>
    <w:tbl>
      <w:tblPr>
        <w:tblStyle w:val="TableGrid"/>
        <w:tblW w:w="12348" w:type="dxa"/>
        <w:tblLayout w:type="fixed"/>
        <w:tblLook w:val="04A0"/>
      </w:tblPr>
      <w:tblGrid>
        <w:gridCol w:w="2628"/>
        <w:gridCol w:w="1620"/>
        <w:gridCol w:w="1530"/>
        <w:gridCol w:w="1170"/>
        <w:gridCol w:w="1530"/>
        <w:gridCol w:w="1170"/>
        <w:gridCol w:w="1530"/>
        <w:gridCol w:w="1170"/>
      </w:tblGrid>
      <w:tr w:rsidR="00A06D5C" w:rsidTr="00FA0637">
        <w:tc>
          <w:tcPr>
            <w:tcW w:w="2628" w:type="dxa"/>
            <w:vMerge w:val="restart"/>
            <w:shd w:val="clear" w:color="auto" w:fill="D9D9D9" w:themeFill="background1" w:themeFillShade="D9"/>
            <w:tcMar>
              <w:top w:w="29" w:type="dxa"/>
              <w:left w:w="29" w:type="dxa"/>
              <w:bottom w:w="29" w:type="dxa"/>
              <w:right w:w="29" w:type="dxa"/>
            </w:tcMar>
            <w:vAlign w:val="center"/>
          </w:tcPr>
          <w:p w:rsidR="00A06D5C" w:rsidRPr="007E7790" w:rsidRDefault="00A06D5C" w:rsidP="00A06D5C">
            <w:pPr>
              <w:pStyle w:val="ListParagraph"/>
              <w:ind w:left="0"/>
              <w:rPr>
                <w:b/>
              </w:rPr>
            </w:pPr>
          </w:p>
        </w:tc>
        <w:tc>
          <w:tcPr>
            <w:tcW w:w="1620" w:type="dxa"/>
            <w:vMerge w:val="restart"/>
            <w:shd w:val="clear" w:color="auto" w:fill="D9D9D9" w:themeFill="background1" w:themeFillShade="D9"/>
            <w:tcMar>
              <w:top w:w="29" w:type="dxa"/>
              <w:left w:w="29" w:type="dxa"/>
              <w:bottom w:w="29" w:type="dxa"/>
              <w:right w:w="29" w:type="dxa"/>
            </w:tcMar>
            <w:vAlign w:val="center"/>
          </w:tcPr>
          <w:p w:rsidR="00A06D5C" w:rsidRPr="001F268C" w:rsidRDefault="00A06D5C" w:rsidP="00B5750E">
            <w:pPr>
              <w:jc w:val="center"/>
              <w:rPr>
                <w:b/>
              </w:rPr>
            </w:pPr>
            <w:r>
              <w:rPr>
                <w:b/>
              </w:rPr>
              <w:t xml:space="preserve">Overall </w:t>
            </w:r>
            <w:r w:rsidR="00B5750E">
              <w:rPr>
                <w:b/>
              </w:rPr>
              <w:t xml:space="preserve">Average </w:t>
            </w:r>
            <w:r>
              <w:rPr>
                <w:b/>
              </w:rPr>
              <w:t>Weighted Improvement Index</w:t>
            </w:r>
          </w:p>
        </w:tc>
        <w:tc>
          <w:tcPr>
            <w:tcW w:w="8100" w:type="dxa"/>
            <w:gridSpan w:val="6"/>
            <w:shd w:val="clear" w:color="auto" w:fill="D9D9D9" w:themeFill="background1" w:themeFillShade="D9"/>
            <w:tcMar>
              <w:top w:w="29" w:type="dxa"/>
              <w:left w:w="29" w:type="dxa"/>
              <w:bottom w:w="29" w:type="dxa"/>
              <w:right w:w="29" w:type="dxa"/>
            </w:tcMar>
            <w:vAlign w:val="center"/>
          </w:tcPr>
          <w:p w:rsidR="00A06D5C" w:rsidRDefault="00A06D5C" w:rsidP="00A06D5C">
            <w:pPr>
              <w:pStyle w:val="ListParagraph"/>
              <w:ind w:left="0"/>
              <w:jc w:val="center"/>
              <w:rPr>
                <w:b/>
              </w:rPr>
            </w:pPr>
            <w:r w:rsidRPr="001F268C">
              <w:rPr>
                <w:b/>
              </w:rPr>
              <w:t xml:space="preserve">WWC-reported Improvement Index Values </w:t>
            </w:r>
            <w:r>
              <w:rPr>
                <w:b/>
              </w:rPr>
              <w:t xml:space="preserve">and Extent of Evidence Rating </w:t>
            </w:r>
            <w:r w:rsidRPr="001F268C">
              <w:rPr>
                <w:b/>
              </w:rPr>
              <w:t>by Outcome</w:t>
            </w:r>
          </w:p>
        </w:tc>
      </w:tr>
      <w:tr w:rsidR="00A06D5C" w:rsidTr="000F3EFF">
        <w:trPr>
          <w:trHeight w:val="330"/>
        </w:trPr>
        <w:tc>
          <w:tcPr>
            <w:tcW w:w="2628" w:type="dxa"/>
            <w:vMerge/>
            <w:tcBorders>
              <w:bottom w:val="single" w:sz="4" w:space="0" w:color="000000" w:themeColor="text1"/>
            </w:tcBorders>
            <w:shd w:val="clear" w:color="auto" w:fill="D9D9D9" w:themeFill="background1" w:themeFillShade="D9"/>
            <w:tcMar>
              <w:top w:w="29" w:type="dxa"/>
              <w:left w:w="29" w:type="dxa"/>
              <w:bottom w:w="29" w:type="dxa"/>
              <w:right w:w="29" w:type="dxa"/>
            </w:tcMar>
            <w:vAlign w:val="center"/>
          </w:tcPr>
          <w:p w:rsidR="00A06D5C" w:rsidRDefault="00A06D5C" w:rsidP="00A06D5C">
            <w:pPr>
              <w:pStyle w:val="ListParagraph"/>
              <w:ind w:left="0"/>
            </w:pPr>
          </w:p>
        </w:tc>
        <w:tc>
          <w:tcPr>
            <w:tcW w:w="1620" w:type="dxa"/>
            <w:vMerge/>
            <w:shd w:val="clear" w:color="auto" w:fill="D9D9D9" w:themeFill="background1" w:themeFillShade="D9"/>
            <w:tcMar>
              <w:top w:w="29" w:type="dxa"/>
              <w:left w:w="29" w:type="dxa"/>
              <w:bottom w:w="29" w:type="dxa"/>
              <w:right w:w="29" w:type="dxa"/>
            </w:tcMar>
            <w:vAlign w:val="center"/>
          </w:tcPr>
          <w:p w:rsidR="00A06D5C" w:rsidRDefault="00A06D5C" w:rsidP="00A06D5C">
            <w:pPr>
              <w:jc w:val="center"/>
              <w:rPr>
                <w:b/>
              </w:rPr>
            </w:pPr>
          </w:p>
        </w:tc>
        <w:tc>
          <w:tcPr>
            <w:tcW w:w="2700" w:type="dxa"/>
            <w:gridSpan w:val="2"/>
            <w:shd w:val="clear" w:color="auto" w:fill="D9D9D9" w:themeFill="background1" w:themeFillShade="D9"/>
            <w:tcMar>
              <w:top w:w="29" w:type="dxa"/>
              <w:left w:w="29" w:type="dxa"/>
              <w:bottom w:w="29" w:type="dxa"/>
              <w:right w:w="29" w:type="dxa"/>
            </w:tcMar>
            <w:vAlign w:val="center"/>
          </w:tcPr>
          <w:p w:rsidR="00A06D5C" w:rsidRPr="001F268C" w:rsidRDefault="00A06D5C" w:rsidP="00A06D5C">
            <w:pPr>
              <w:jc w:val="center"/>
              <w:rPr>
                <w:b/>
              </w:rPr>
            </w:pPr>
            <w:r>
              <w:rPr>
                <w:b/>
              </w:rPr>
              <w:t>Progressing in S</w:t>
            </w:r>
            <w:r w:rsidRPr="001F268C">
              <w:rPr>
                <w:b/>
              </w:rPr>
              <w:t>chool</w:t>
            </w:r>
            <w:r w:rsidRPr="00993F90">
              <w:rPr>
                <w:b/>
                <w:vertAlign w:val="superscript"/>
              </w:rPr>
              <w:t>a</w:t>
            </w:r>
          </w:p>
        </w:tc>
        <w:tc>
          <w:tcPr>
            <w:tcW w:w="2700" w:type="dxa"/>
            <w:gridSpan w:val="2"/>
            <w:shd w:val="clear" w:color="auto" w:fill="D9D9D9" w:themeFill="background1" w:themeFillShade="D9"/>
            <w:tcMar>
              <w:top w:w="29" w:type="dxa"/>
              <w:left w:w="29" w:type="dxa"/>
              <w:bottom w:w="29" w:type="dxa"/>
              <w:right w:w="29" w:type="dxa"/>
            </w:tcMar>
            <w:vAlign w:val="center"/>
          </w:tcPr>
          <w:p w:rsidR="00A06D5C" w:rsidRPr="001F268C" w:rsidRDefault="00A06D5C" w:rsidP="00FA0637">
            <w:pPr>
              <w:jc w:val="center"/>
              <w:rPr>
                <w:b/>
              </w:rPr>
            </w:pPr>
            <w:r w:rsidRPr="001F268C">
              <w:rPr>
                <w:b/>
              </w:rPr>
              <w:t xml:space="preserve">Staying in </w:t>
            </w:r>
            <w:r>
              <w:rPr>
                <w:b/>
              </w:rPr>
              <w:t>S</w:t>
            </w:r>
            <w:r w:rsidRPr="001F268C">
              <w:rPr>
                <w:b/>
              </w:rPr>
              <w:t>chool</w:t>
            </w:r>
            <w:r w:rsidRPr="00993F90">
              <w:rPr>
                <w:b/>
                <w:vertAlign w:val="superscript"/>
              </w:rPr>
              <w:t>b</w:t>
            </w:r>
          </w:p>
        </w:tc>
        <w:tc>
          <w:tcPr>
            <w:tcW w:w="2700" w:type="dxa"/>
            <w:gridSpan w:val="2"/>
            <w:shd w:val="clear" w:color="auto" w:fill="D9D9D9" w:themeFill="background1" w:themeFillShade="D9"/>
            <w:tcMar>
              <w:top w:w="29" w:type="dxa"/>
              <w:left w:w="29" w:type="dxa"/>
              <w:bottom w:w="29" w:type="dxa"/>
              <w:right w:w="29" w:type="dxa"/>
            </w:tcMar>
            <w:vAlign w:val="center"/>
          </w:tcPr>
          <w:p w:rsidR="00A06D5C" w:rsidRDefault="00A06D5C" w:rsidP="00A06D5C">
            <w:pPr>
              <w:jc w:val="center"/>
              <w:rPr>
                <w:b/>
              </w:rPr>
            </w:pPr>
            <w:r w:rsidRPr="001F268C">
              <w:rPr>
                <w:b/>
              </w:rPr>
              <w:t>Completing school</w:t>
            </w:r>
            <w:r w:rsidRPr="00993F90">
              <w:rPr>
                <w:b/>
                <w:vertAlign w:val="superscript"/>
              </w:rPr>
              <w:t>c</w:t>
            </w:r>
          </w:p>
        </w:tc>
      </w:tr>
      <w:tr w:rsidR="00A06D5C" w:rsidTr="00FA0637">
        <w:tc>
          <w:tcPr>
            <w:tcW w:w="2628" w:type="dxa"/>
            <w:vMerge/>
            <w:tcBorders>
              <w:bottom w:val="single" w:sz="4" w:space="0" w:color="000000" w:themeColor="text1"/>
            </w:tcBorders>
            <w:shd w:val="clear" w:color="auto" w:fill="D9D9D9" w:themeFill="background1" w:themeFillShade="D9"/>
            <w:tcMar>
              <w:top w:w="29" w:type="dxa"/>
              <w:left w:w="29" w:type="dxa"/>
              <w:bottom w:w="29" w:type="dxa"/>
              <w:right w:w="29" w:type="dxa"/>
            </w:tcMar>
            <w:vAlign w:val="center"/>
          </w:tcPr>
          <w:p w:rsidR="00A06D5C" w:rsidRDefault="00A06D5C" w:rsidP="00A06D5C">
            <w:pPr>
              <w:pStyle w:val="ListParagraph"/>
              <w:ind w:left="0"/>
            </w:pPr>
          </w:p>
        </w:tc>
        <w:tc>
          <w:tcPr>
            <w:tcW w:w="1620" w:type="dxa"/>
            <w:vMerge/>
            <w:shd w:val="clear" w:color="auto" w:fill="F2F2F2" w:themeFill="background1" w:themeFillShade="F2"/>
            <w:tcMar>
              <w:top w:w="29" w:type="dxa"/>
              <w:left w:w="29" w:type="dxa"/>
              <w:bottom w:w="29" w:type="dxa"/>
              <w:right w:w="29" w:type="dxa"/>
            </w:tcMar>
            <w:vAlign w:val="center"/>
          </w:tcPr>
          <w:p w:rsidR="00A06D5C" w:rsidRDefault="00A06D5C" w:rsidP="00A06D5C">
            <w:pPr>
              <w:jc w:val="center"/>
              <w:rPr>
                <w:b/>
              </w:rPr>
            </w:pPr>
          </w:p>
        </w:tc>
        <w:tc>
          <w:tcPr>
            <w:tcW w:w="1530" w:type="dxa"/>
            <w:shd w:val="clear" w:color="auto" w:fill="F2F2F2" w:themeFill="background1" w:themeFillShade="F2"/>
            <w:tcMar>
              <w:top w:w="29" w:type="dxa"/>
              <w:left w:w="29" w:type="dxa"/>
              <w:bottom w:w="29" w:type="dxa"/>
              <w:right w:w="29" w:type="dxa"/>
            </w:tcMar>
            <w:vAlign w:val="center"/>
          </w:tcPr>
          <w:p w:rsidR="00A06D5C" w:rsidRPr="001F268C" w:rsidRDefault="00A06D5C" w:rsidP="00A06D5C">
            <w:pPr>
              <w:jc w:val="center"/>
              <w:rPr>
                <w:b/>
              </w:rPr>
            </w:pPr>
            <w:r>
              <w:rPr>
                <w:b/>
              </w:rPr>
              <w:t>Improvement Index</w:t>
            </w:r>
          </w:p>
        </w:tc>
        <w:tc>
          <w:tcPr>
            <w:tcW w:w="1170" w:type="dxa"/>
            <w:shd w:val="clear" w:color="auto" w:fill="F2F2F2" w:themeFill="background1" w:themeFillShade="F2"/>
            <w:tcMar>
              <w:top w:w="29" w:type="dxa"/>
              <w:left w:w="29" w:type="dxa"/>
              <w:bottom w:w="29" w:type="dxa"/>
              <w:right w:w="29" w:type="dxa"/>
            </w:tcMar>
            <w:vAlign w:val="center"/>
          </w:tcPr>
          <w:p w:rsidR="00A06D5C" w:rsidRPr="001F268C" w:rsidRDefault="00A06D5C" w:rsidP="00A06D5C">
            <w:pPr>
              <w:jc w:val="center"/>
              <w:rPr>
                <w:b/>
              </w:rPr>
            </w:pPr>
            <w:r>
              <w:rPr>
                <w:b/>
              </w:rPr>
              <w:t>Extent of Evidence</w:t>
            </w:r>
            <w:r w:rsidRPr="00993F90">
              <w:rPr>
                <w:b/>
                <w:vertAlign w:val="superscript"/>
              </w:rPr>
              <w:t>d</w:t>
            </w:r>
          </w:p>
        </w:tc>
        <w:tc>
          <w:tcPr>
            <w:tcW w:w="1530" w:type="dxa"/>
            <w:shd w:val="clear" w:color="auto" w:fill="F2F2F2" w:themeFill="background1" w:themeFillShade="F2"/>
            <w:tcMar>
              <w:top w:w="29" w:type="dxa"/>
              <w:left w:w="29" w:type="dxa"/>
              <w:bottom w:w="29" w:type="dxa"/>
              <w:right w:w="29" w:type="dxa"/>
            </w:tcMar>
            <w:vAlign w:val="center"/>
          </w:tcPr>
          <w:p w:rsidR="00A06D5C" w:rsidRPr="001F268C" w:rsidRDefault="00A06D5C" w:rsidP="00A06D5C">
            <w:pPr>
              <w:jc w:val="center"/>
              <w:rPr>
                <w:b/>
              </w:rPr>
            </w:pPr>
            <w:r>
              <w:rPr>
                <w:b/>
              </w:rPr>
              <w:t>Improvement Index</w:t>
            </w:r>
          </w:p>
        </w:tc>
        <w:tc>
          <w:tcPr>
            <w:tcW w:w="1170" w:type="dxa"/>
            <w:shd w:val="clear" w:color="auto" w:fill="F2F2F2" w:themeFill="background1" w:themeFillShade="F2"/>
            <w:tcMar>
              <w:top w:w="29" w:type="dxa"/>
              <w:left w:w="29" w:type="dxa"/>
              <w:bottom w:w="29" w:type="dxa"/>
              <w:right w:w="29" w:type="dxa"/>
            </w:tcMar>
            <w:vAlign w:val="center"/>
          </w:tcPr>
          <w:p w:rsidR="00A06D5C" w:rsidRPr="001F268C" w:rsidRDefault="00A06D5C" w:rsidP="00A06D5C">
            <w:pPr>
              <w:jc w:val="center"/>
              <w:rPr>
                <w:b/>
              </w:rPr>
            </w:pPr>
            <w:r>
              <w:rPr>
                <w:b/>
              </w:rPr>
              <w:t>Extent of Evidence</w:t>
            </w:r>
          </w:p>
        </w:tc>
        <w:tc>
          <w:tcPr>
            <w:tcW w:w="1530" w:type="dxa"/>
            <w:shd w:val="clear" w:color="auto" w:fill="F2F2F2" w:themeFill="background1" w:themeFillShade="F2"/>
            <w:tcMar>
              <w:top w:w="29" w:type="dxa"/>
              <w:left w:w="29" w:type="dxa"/>
              <w:bottom w:w="29" w:type="dxa"/>
              <w:right w:w="29" w:type="dxa"/>
            </w:tcMar>
            <w:vAlign w:val="center"/>
          </w:tcPr>
          <w:p w:rsidR="00A06D5C" w:rsidRPr="001F268C" w:rsidRDefault="00A06D5C" w:rsidP="00A06D5C">
            <w:pPr>
              <w:jc w:val="center"/>
              <w:rPr>
                <w:b/>
              </w:rPr>
            </w:pPr>
            <w:r>
              <w:rPr>
                <w:b/>
              </w:rPr>
              <w:t>Improvement Index</w:t>
            </w:r>
          </w:p>
        </w:tc>
        <w:tc>
          <w:tcPr>
            <w:tcW w:w="1170" w:type="dxa"/>
            <w:shd w:val="clear" w:color="auto" w:fill="F2F2F2" w:themeFill="background1" w:themeFillShade="F2"/>
            <w:tcMar>
              <w:top w:w="29" w:type="dxa"/>
              <w:left w:w="29" w:type="dxa"/>
              <w:bottom w:w="29" w:type="dxa"/>
              <w:right w:w="29" w:type="dxa"/>
            </w:tcMar>
            <w:vAlign w:val="center"/>
          </w:tcPr>
          <w:p w:rsidR="00A06D5C" w:rsidRPr="001F268C" w:rsidRDefault="00A06D5C" w:rsidP="00A06D5C">
            <w:pPr>
              <w:jc w:val="center"/>
              <w:rPr>
                <w:b/>
              </w:rPr>
            </w:pPr>
            <w:r>
              <w:rPr>
                <w:b/>
              </w:rPr>
              <w:t>Extent of Evidence</w:t>
            </w:r>
          </w:p>
        </w:tc>
      </w:tr>
      <w:tr w:rsidR="00EB0B87" w:rsidTr="00FA0637">
        <w:trPr>
          <w:trHeight w:val="332"/>
        </w:trPr>
        <w:tc>
          <w:tcPr>
            <w:tcW w:w="2628" w:type="dxa"/>
            <w:shd w:val="clear" w:color="auto" w:fill="FFFFFF" w:themeFill="background1"/>
            <w:tcMar>
              <w:top w:w="29" w:type="dxa"/>
              <w:left w:w="29" w:type="dxa"/>
              <w:bottom w:w="29" w:type="dxa"/>
              <w:right w:w="29" w:type="dxa"/>
            </w:tcMar>
            <w:vAlign w:val="center"/>
          </w:tcPr>
          <w:p w:rsidR="00D06766" w:rsidRDefault="00EB0B87">
            <w:pPr>
              <w:rPr>
                <w:rFonts w:ascii="Calibri" w:hAnsi="Calibri"/>
                <w:color w:val="000000"/>
              </w:rPr>
            </w:pPr>
            <w:r>
              <w:rPr>
                <w:rFonts w:ascii="Calibri" w:hAnsi="Calibri"/>
                <w:color w:val="000000"/>
              </w:rPr>
              <w:t>National Guard Youth ChalleNGe Program</w:t>
            </w:r>
          </w:p>
        </w:tc>
        <w:tc>
          <w:tcPr>
            <w:tcW w:w="1620" w:type="dxa"/>
            <w:shd w:val="clear" w:color="auto" w:fill="FFFFFF" w:themeFill="background1"/>
            <w:tcMar>
              <w:top w:w="29" w:type="dxa"/>
              <w:left w:w="29" w:type="dxa"/>
              <w:bottom w:w="29" w:type="dxa"/>
              <w:right w:w="29" w:type="dxa"/>
            </w:tcMar>
            <w:vAlign w:val="center"/>
          </w:tcPr>
          <w:p w:rsidR="00EB0B87" w:rsidRDefault="00EB0B87" w:rsidP="00D06766">
            <w:pPr>
              <w:jc w:val="center"/>
              <w:rPr>
                <w:rFonts w:ascii="Calibri" w:hAnsi="Calibri"/>
                <w:color w:val="000000"/>
              </w:rPr>
            </w:pPr>
            <w:r>
              <w:rPr>
                <w:rFonts w:ascii="Calibri" w:hAnsi="Calibri"/>
                <w:color w:val="000000"/>
              </w:rPr>
              <w:t>22.00</w:t>
            </w:r>
          </w:p>
        </w:tc>
        <w:tc>
          <w:tcPr>
            <w:tcW w:w="1530" w:type="dxa"/>
            <w:shd w:val="clear" w:color="auto" w:fill="FFFFFF" w:themeFill="background1"/>
            <w:tcMar>
              <w:top w:w="29" w:type="dxa"/>
              <w:left w:w="29" w:type="dxa"/>
              <w:bottom w:w="29" w:type="dxa"/>
              <w:right w:w="29" w:type="dxa"/>
            </w:tcMar>
            <w:vAlign w:val="center"/>
          </w:tcPr>
          <w:p w:rsidR="00EB0B87" w:rsidRDefault="00EB0B87" w:rsidP="00EB0B87">
            <w:pPr>
              <w:jc w:val="center"/>
              <w:rPr>
                <w:rFonts w:ascii="Calibri" w:hAnsi="Calibri"/>
                <w:color w:val="000000"/>
              </w:rPr>
            </w:pPr>
          </w:p>
        </w:tc>
        <w:tc>
          <w:tcPr>
            <w:tcW w:w="1170" w:type="dxa"/>
            <w:shd w:val="clear" w:color="auto" w:fill="FFFFFF" w:themeFill="background1"/>
            <w:tcMar>
              <w:top w:w="29" w:type="dxa"/>
              <w:left w:w="29" w:type="dxa"/>
              <w:bottom w:w="29" w:type="dxa"/>
              <w:right w:w="29" w:type="dxa"/>
            </w:tcMar>
            <w:vAlign w:val="center"/>
          </w:tcPr>
          <w:p w:rsidR="00EB0B87" w:rsidRDefault="00EB0B87" w:rsidP="00EB0B87">
            <w:pPr>
              <w:jc w:val="center"/>
              <w:rPr>
                <w:rFonts w:ascii="Calibri" w:hAnsi="Calibri"/>
                <w:color w:val="000000"/>
              </w:rPr>
            </w:pPr>
          </w:p>
        </w:tc>
        <w:tc>
          <w:tcPr>
            <w:tcW w:w="1530" w:type="dxa"/>
            <w:shd w:val="clear" w:color="auto" w:fill="FFFFFF" w:themeFill="background1"/>
            <w:tcMar>
              <w:top w:w="29" w:type="dxa"/>
              <w:left w:w="29" w:type="dxa"/>
              <w:bottom w:w="29" w:type="dxa"/>
              <w:right w:w="29" w:type="dxa"/>
            </w:tcMar>
            <w:vAlign w:val="center"/>
          </w:tcPr>
          <w:p w:rsidR="00EB0B87" w:rsidRDefault="00EB0B87" w:rsidP="00EB0B87">
            <w:pPr>
              <w:jc w:val="center"/>
              <w:rPr>
                <w:rFonts w:ascii="Calibri" w:hAnsi="Calibri"/>
                <w:color w:val="000000"/>
              </w:rPr>
            </w:pPr>
          </w:p>
        </w:tc>
        <w:tc>
          <w:tcPr>
            <w:tcW w:w="1170" w:type="dxa"/>
            <w:shd w:val="clear" w:color="auto" w:fill="FFFFFF" w:themeFill="background1"/>
            <w:tcMar>
              <w:top w:w="29" w:type="dxa"/>
              <w:left w:w="29" w:type="dxa"/>
              <w:bottom w:w="29" w:type="dxa"/>
              <w:right w:w="29" w:type="dxa"/>
            </w:tcMar>
            <w:vAlign w:val="center"/>
          </w:tcPr>
          <w:p w:rsidR="00EB0B87" w:rsidRDefault="00EB0B87" w:rsidP="00EB0B87">
            <w:pPr>
              <w:jc w:val="center"/>
              <w:rPr>
                <w:rFonts w:ascii="Calibri" w:hAnsi="Calibri"/>
                <w:color w:val="000000"/>
              </w:rPr>
            </w:pPr>
          </w:p>
        </w:tc>
        <w:tc>
          <w:tcPr>
            <w:tcW w:w="1530" w:type="dxa"/>
            <w:shd w:val="clear" w:color="auto" w:fill="FFFFFF" w:themeFill="background1"/>
            <w:tcMar>
              <w:top w:w="29" w:type="dxa"/>
              <w:left w:w="29" w:type="dxa"/>
              <w:bottom w:w="29" w:type="dxa"/>
              <w:right w:w="29" w:type="dxa"/>
            </w:tcMar>
            <w:vAlign w:val="center"/>
          </w:tcPr>
          <w:p w:rsidR="00EB0B87" w:rsidRDefault="00EB0B87" w:rsidP="00EB0B87">
            <w:pPr>
              <w:jc w:val="center"/>
              <w:rPr>
                <w:rFonts w:ascii="Calibri" w:hAnsi="Calibri"/>
                <w:color w:val="000000"/>
              </w:rPr>
            </w:pPr>
            <w:r>
              <w:rPr>
                <w:rFonts w:ascii="Calibri" w:hAnsi="Calibri"/>
                <w:color w:val="000000"/>
              </w:rPr>
              <w:t>22</w:t>
            </w:r>
          </w:p>
        </w:tc>
        <w:tc>
          <w:tcPr>
            <w:tcW w:w="1170" w:type="dxa"/>
            <w:shd w:val="clear" w:color="auto" w:fill="FFFFFF" w:themeFill="background1"/>
            <w:tcMar>
              <w:top w:w="29" w:type="dxa"/>
              <w:left w:w="29" w:type="dxa"/>
              <w:bottom w:w="29" w:type="dxa"/>
              <w:right w:w="29" w:type="dxa"/>
            </w:tcMar>
            <w:vAlign w:val="center"/>
          </w:tcPr>
          <w:p w:rsidR="00EB0B87" w:rsidRDefault="00EB0B87" w:rsidP="00EB0B87">
            <w:pPr>
              <w:jc w:val="center"/>
              <w:rPr>
                <w:rFonts w:ascii="Calibri" w:hAnsi="Calibri"/>
                <w:color w:val="000000"/>
              </w:rPr>
            </w:pPr>
            <w:r>
              <w:rPr>
                <w:rFonts w:ascii="Calibri" w:hAnsi="Calibri"/>
                <w:color w:val="000000"/>
              </w:rPr>
              <w:t>1</w:t>
            </w:r>
          </w:p>
        </w:tc>
      </w:tr>
      <w:tr w:rsidR="00EB0B87" w:rsidTr="00FA0637">
        <w:tc>
          <w:tcPr>
            <w:tcW w:w="2628" w:type="dxa"/>
            <w:shd w:val="clear" w:color="auto" w:fill="FFFFFF" w:themeFill="background1"/>
            <w:tcMar>
              <w:top w:w="29" w:type="dxa"/>
              <w:left w:w="29" w:type="dxa"/>
              <w:bottom w:w="29" w:type="dxa"/>
              <w:right w:w="29" w:type="dxa"/>
            </w:tcMar>
            <w:vAlign w:val="center"/>
          </w:tcPr>
          <w:p w:rsidR="00D06766" w:rsidRDefault="00EB0B87">
            <w:pPr>
              <w:rPr>
                <w:rFonts w:ascii="Calibri" w:hAnsi="Calibri"/>
                <w:color w:val="000000"/>
              </w:rPr>
            </w:pPr>
            <w:r>
              <w:rPr>
                <w:rFonts w:ascii="Calibri" w:hAnsi="Calibri"/>
                <w:color w:val="000000"/>
              </w:rPr>
              <w:t>JOBSTART</w:t>
            </w:r>
          </w:p>
        </w:tc>
        <w:tc>
          <w:tcPr>
            <w:tcW w:w="1620" w:type="dxa"/>
            <w:shd w:val="clear" w:color="auto" w:fill="FFFFFF" w:themeFill="background1"/>
            <w:tcMar>
              <w:top w:w="29" w:type="dxa"/>
              <w:left w:w="29" w:type="dxa"/>
              <w:bottom w:w="29" w:type="dxa"/>
              <w:right w:w="29" w:type="dxa"/>
            </w:tcMar>
            <w:vAlign w:val="center"/>
          </w:tcPr>
          <w:p w:rsidR="00EB0B87" w:rsidRDefault="00EB0B87" w:rsidP="00D06766">
            <w:pPr>
              <w:jc w:val="center"/>
              <w:rPr>
                <w:rFonts w:ascii="Calibri" w:hAnsi="Calibri"/>
                <w:color w:val="000000"/>
              </w:rPr>
            </w:pPr>
            <w:r>
              <w:rPr>
                <w:rFonts w:ascii="Calibri" w:hAnsi="Calibri"/>
                <w:color w:val="000000"/>
              </w:rPr>
              <w:t>14.00</w:t>
            </w:r>
          </w:p>
        </w:tc>
        <w:tc>
          <w:tcPr>
            <w:tcW w:w="1530" w:type="dxa"/>
            <w:shd w:val="clear" w:color="auto" w:fill="FFFFFF" w:themeFill="background1"/>
            <w:tcMar>
              <w:top w:w="29" w:type="dxa"/>
              <w:left w:w="29" w:type="dxa"/>
              <w:bottom w:w="29" w:type="dxa"/>
              <w:right w:w="29" w:type="dxa"/>
            </w:tcMar>
            <w:vAlign w:val="center"/>
          </w:tcPr>
          <w:p w:rsidR="00EB0B87" w:rsidRDefault="00EB0B87" w:rsidP="00EB0B87">
            <w:pPr>
              <w:jc w:val="center"/>
              <w:rPr>
                <w:rFonts w:ascii="Calibri" w:hAnsi="Calibri"/>
                <w:color w:val="000000"/>
              </w:rPr>
            </w:pPr>
          </w:p>
        </w:tc>
        <w:tc>
          <w:tcPr>
            <w:tcW w:w="1170" w:type="dxa"/>
            <w:shd w:val="clear" w:color="auto" w:fill="FFFFFF" w:themeFill="background1"/>
            <w:tcMar>
              <w:top w:w="29" w:type="dxa"/>
              <w:left w:w="29" w:type="dxa"/>
              <w:bottom w:w="29" w:type="dxa"/>
              <w:right w:w="29" w:type="dxa"/>
            </w:tcMar>
            <w:vAlign w:val="center"/>
          </w:tcPr>
          <w:p w:rsidR="00EB0B87" w:rsidRDefault="00EB0B87" w:rsidP="00EB0B87">
            <w:pPr>
              <w:jc w:val="center"/>
              <w:rPr>
                <w:rFonts w:ascii="Calibri" w:hAnsi="Calibri"/>
                <w:color w:val="000000"/>
              </w:rPr>
            </w:pPr>
          </w:p>
        </w:tc>
        <w:tc>
          <w:tcPr>
            <w:tcW w:w="1530" w:type="dxa"/>
            <w:shd w:val="clear" w:color="auto" w:fill="FFFFFF" w:themeFill="background1"/>
            <w:tcMar>
              <w:top w:w="29" w:type="dxa"/>
              <w:left w:w="29" w:type="dxa"/>
              <w:bottom w:w="29" w:type="dxa"/>
              <w:right w:w="29" w:type="dxa"/>
            </w:tcMar>
            <w:vAlign w:val="center"/>
          </w:tcPr>
          <w:p w:rsidR="00EB0B87" w:rsidRDefault="00EB0B87" w:rsidP="00EB0B87">
            <w:pPr>
              <w:jc w:val="center"/>
              <w:rPr>
                <w:rFonts w:ascii="Calibri" w:hAnsi="Calibri"/>
                <w:color w:val="000000"/>
              </w:rPr>
            </w:pPr>
          </w:p>
        </w:tc>
        <w:tc>
          <w:tcPr>
            <w:tcW w:w="1170" w:type="dxa"/>
            <w:shd w:val="clear" w:color="auto" w:fill="FFFFFF" w:themeFill="background1"/>
            <w:tcMar>
              <w:top w:w="29" w:type="dxa"/>
              <w:left w:w="29" w:type="dxa"/>
              <w:bottom w:w="29" w:type="dxa"/>
              <w:right w:w="29" w:type="dxa"/>
            </w:tcMar>
            <w:vAlign w:val="center"/>
          </w:tcPr>
          <w:p w:rsidR="00EB0B87" w:rsidRDefault="00EB0B87" w:rsidP="00EB0B87">
            <w:pPr>
              <w:jc w:val="center"/>
              <w:rPr>
                <w:rFonts w:ascii="Calibri" w:hAnsi="Calibri"/>
                <w:color w:val="000000"/>
              </w:rPr>
            </w:pPr>
          </w:p>
        </w:tc>
        <w:tc>
          <w:tcPr>
            <w:tcW w:w="1530" w:type="dxa"/>
            <w:shd w:val="clear" w:color="auto" w:fill="FFFFFF" w:themeFill="background1"/>
            <w:tcMar>
              <w:top w:w="29" w:type="dxa"/>
              <w:left w:w="29" w:type="dxa"/>
              <w:bottom w:w="29" w:type="dxa"/>
              <w:right w:w="29" w:type="dxa"/>
            </w:tcMar>
            <w:vAlign w:val="center"/>
          </w:tcPr>
          <w:p w:rsidR="00EB0B87" w:rsidRDefault="00EB0B87" w:rsidP="00EB0B87">
            <w:pPr>
              <w:jc w:val="center"/>
              <w:rPr>
                <w:rFonts w:ascii="Calibri" w:hAnsi="Calibri"/>
                <w:color w:val="000000"/>
              </w:rPr>
            </w:pPr>
            <w:r>
              <w:rPr>
                <w:rFonts w:ascii="Calibri" w:hAnsi="Calibri"/>
                <w:color w:val="000000"/>
              </w:rPr>
              <w:t>14</w:t>
            </w:r>
          </w:p>
        </w:tc>
        <w:tc>
          <w:tcPr>
            <w:tcW w:w="1170" w:type="dxa"/>
            <w:shd w:val="clear" w:color="auto" w:fill="FFFFFF" w:themeFill="background1"/>
            <w:tcMar>
              <w:top w:w="29" w:type="dxa"/>
              <w:left w:w="29" w:type="dxa"/>
              <w:bottom w:w="29" w:type="dxa"/>
              <w:right w:w="29" w:type="dxa"/>
            </w:tcMar>
            <w:vAlign w:val="center"/>
          </w:tcPr>
          <w:p w:rsidR="00EB0B87" w:rsidRDefault="00EB0B87" w:rsidP="00EB0B87">
            <w:pPr>
              <w:jc w:val="center"/>
              <w:rPr>
                <w:rFonts w:ascii="Calibri" w:hAnsi="Calibri"/>
                <w:color w:val="000000"/>
              </w:rPr>
            </w:pPr>
            <w:r>
              <w:rPr>
                <w:rFonts w:ascii="Calibri" w:hAnsi="Calibri"/>
                <w:color w:val="000000"/>
              </w:rPr>
              <w:t>1</w:t>
            </w:r>
          </w:p>
        </w:tc>
      </w:tr>
      <w:tr w:rsidR="00EB0B87" w:rsidTr="00FA0637">
        <w:tc>
          <w:tcPr>
            <w:tcW w:w="2628" w:type="dxa"/>
            <w:shd w:val="clear" w:color="auto" w:fill="FFFFFF" w:themeFill="background1"/>
            <w:tcMar>
              <w:top w:w="29" w:type="dxa"/>
              <w:left w:w="29" w:type="dxa"/>
              <w:bottom w:w="29" w:type="dxa"/>
              <w:right w:w="29" w:type="dxa"/>
            </w:tcMar>
            <w:vAlign w:val="center"/>
          </w:tcPr>
          <w:p w:rsidR="00D06766" w:rsidRDefault="00EB0B87">
            <w:pPr>
              <w:rPr>
                <w:rFonts w:ascii="Calibri" w:hAnsi="Calibri"/>
                <w:color w:val="000000"/>
              </w:rPr>
            </w:pPr>
            <w:r>
              <w:rPr>
                <w:rFonts w:ascii="Calibri" w:hAnsi="Calibri"/>
                <w:color w:val="000000"/>
              </w:rPr>
              <w:t>New Chance</w:t>
            </w:r>
          </w:p>
        </w:tc>
        <w:tc>
          <w:tcPr>
            <w:tcW w:w="1620" w:type="dxa"/>
            <w:shd w:val="clear" w:color="auto" w:fill="FFFFFF" w:themeFill="background1"/>
            <w:tcMar>
              <w:top w:w="29" w:type="dxa"/>
              <w:left w:w="29" w:type="dxa"/>
              <w:bottom w:w="29" w:type="dxa"/>
              <w:right w:w="29" w:type="dxa"/>
            </w:tcMar>
            <w:vAlign w:val="center"/>
          </w:tcPr>
          <w:p w:rsidR="00EB0B87" w:rsidRDefault="00EB0B87" w:rsidP="00D06766">
            <w:pPr>
              <w:jc w:val="center"/>
              <w:rPr>
                <w:rFonts w:ascii="Calibri" w:hAnsi="Calibri"/>
                <w:color w:val="000000"/>
              </w:rPr>
            </w:pPr>
            <w:r>
              <w:rPr>
                <w:rFonts w:ascii="Calibri" w:hAnsi="Calibri"/>
                <w:color w:val="000000"/>
              </w:rPr>
              <w:t>8.00</w:t>
            </w:r>
          </w:p>
        </w:tc>
        <w:tc>
          <w:tcPr>
            <w:tcW w:w="1530" w:type="dxa"/>
            <w:shd w:val="clear" w:color="auto" w:fill="FFFFFF" w:themeFill="background1"/>
            <w:tcMar>
              <w:top w:w="29" w:type="dxa"/>
              <w:left w:w="29" w:type="dxa"/>
              <w:bottom w:w="29" w:type="dxa"/>
              <w:right w:w="29" w:type="dxa"/>
            </w:tcMar>
            <w:vAlign w:val="center"/>
          </w:tcPr>
          <w:p w:rsidR="00EB0B87" w:rsidRDefault="00EB0B87" w:rsidP="00EB0B87">
            <w:pPr>
              <w:jc w:val="center"/>
              <w:rPr>
                <w:rFonts w:ascii="Calibri" w:hAnsi="Calibri"/>
                <w:color w:val="000000"/>
              </w:rPr>
            </w:pPr>
          </w:p>
        </w:tc>
        <w:tc>
          <w:tcPr>
            <w:tcW w:w="1170" w:type="dxa"/>
            <w:shd w:val="clear" w:color="auto" w:fill="FFFFFF" w:themeFill="background1"/>
            <w:tcMar>
              <w:top w:w="29" w:type="dxa"/>
              <w:left w:w="29" w:type="dxa"/>
              <w:bottom w:w="29" w:type="dxa"/>
              <w:right w:w="29" w:type="dxa"/>
            </w:tcMar>
            <w:vAlign w:val="center"/>
          </w:tcPr>
          <w:p w:rsidR="00EB0B87" w:rsidRDefault="00EB0B87" w:rsidP="00EB0B87">
            <w:pPr>
              <w:jc w:val="center"/>
              <w:rPr>
                <w:rFonts w:ascii="Calibri" w:hAnsi="Calibri"/>
                <w:color w:val="000000"/>
              </w:rPr>
            </w:pPr>
          </w:p>
        </w:tc>
        <w:tc>
          <w:tcPr>
            <w:tcW w:w="1530" w:type="dxa"/>
            <w:shd w:val="clear" w:color="auto" w:fill="FFFFFF" w:themeFill="background1"/>
            <w:tcMar>
              <w:top w:w="29" w:type="dxa"/>
              <w:left w:w="29" w:type="dxa"/>
              <w:bottom w:w="29" w:type="dxa"/>
              <w:right w:w="29" w:type="dxa"/>
            </w:tcMar>
            <w:vAlign w:val="center"/>
          </w:tcPr>
          <w:p w:rsidR="00EB0B87" w:rsidRDefault="00EB0B87" w:rsidP="00EB0B87">
            <w:pPr>
              <w:jc w:val="center"/>
              <w:rPr>
                <w:rFonts w:ascii="Calibri" w:hAnsi="Calibri"/>
                <w:color w:val="000000"/>
              </w:rPr>
            </w:pPr>
          </w:p>
        </w:tc>
        <w:tc>
          <w:tcPr>
            <w:tcW w:w="1170" w:type="dxa"/>
            <w:shd w:val="clear" w:color="auto" w:fill="FFFFFF" w:themeFill="background1"/>
            <w:tcMar>
              <w:top w:w="29" w:type="dxa"/>
              <w:left w:w="29" w:type="dxa"/>
              <w:bottom w:w="29" w:type="dxa"/>
              <w:right w:w="29" w:type="dxa"/>
            </w:tcMar>
            <w:vAlign w:val="center"/>
          </w:tcPr>
          <w:p w:rsidR="00EB0B87" w:rsidRDefault="00EB0B87" w:rsidP="00EB0B87">
            <w:pPr>
              <w:jc w:val="center"/>
              <w:rPr>
                <w:rFonts w:ascii="Calibri" w:hAnsi="Calibri"/>
                <w:color w:val="000000"/>
              </w:rPr>
            </w:pPr>
          </w:p>
        </w:tc>
        <w:tc>
          <w:tcPr>
            <w:tcW w:w="1530" w:type="dxa"/>
            <w:shd w:val="clear" w:color="auto" w:fill="FFFFFF" w:themeFill="background1"/>
            <w:tcMar>
              <w:top w:w="29" w:type="dxa"/>
              <w:left w:w="29" w:type="dxa"/>
              <w:bottom w:w="29" w:type="dxa"/>
              <w:right w:w="29" w:type="dxa"/>
            </w:tcMar>
            <w:vAlign w:val="center"/>
          </w:tcPr>
          <w:p w:rsidR="00EB0B87" w:rsidRDefault="00EB0B87" w:rsidP="00EB0B87">
            <w:pPr>
              <w:jc w:val="center"/>
              <w:rPr>
                <w:rFonts w:ascii="Calibri" w:hAnsi="Calibri"/>
                <w:color w:val="000000"/>
              </w:rPr>
            </w:pPr>
            <w:r>
              <w:rPr>
                <w:rFonts w:ascii="Calibri" w:hAnsi="Calibri"/>
                <w:color w:val="000000"/>
              </w:rPr>
              <w:t>8</w:t>
            </w:r>
          </w:p>
        </w:tc>
        <w:tc>
          <w:tcPr>
            <w:tcW w:w="1170" w:type="dxa"/>
            <w:shd w:val="clear" w:color="auto" w:fill="FFFFFF" w:themeFill="background1"/>
            <w:tcMar>
              <w:top w:w="29" w:type="dxa"/>
              <w:left w:w="29" w:type="dxa"/>
              <w:bottom w:w="29" w:type="dxa"/>
              <w:right w:w="29" w:type="dxa"/>
            </w:tcMar>
            <w:vAlign w:val="center"/>
          </w:tcPr>
          <w:p w:rsidR="00EB0B87" w:rsidRDefault="00EB0B87" w:rsidP="00EB0B87">
            <w:pPr>
              <w:jc w:val="center"/>
              <w:rPr>
                <w:rFonts w:ascii="Calibri" w:hAnsi="Calibri"/>
                <w:color w:val="000000"/>
              </w:rPr>
            </w:pPr>
            <w:r>
              <w:rPr>
                <w:rFonts w:ascii="Calibri" w:hAnsi="Calibri"/>
                <w:color w:val="000000"/>
              </w:rPr>
              <w:t>1</w:t>
            </w:r>
          </w:p>
        </w:tc>
      </w:tr>
      <w:tr w:rsidR="00EB0B87" w:rsidTr="00FA0637">
        <w:tc>
          <w:tcPr>
            <w:tcW w:w="2628" w:type="dxa"/>
            <w:shd w:val="clear" w:color="auto" w:fill="FFFFFF" w:themeFill="background1"/>
            <w:tcMar>
              <w:top w:w="29" w:type="dxa"/>
              <w:left w:w="29" w:type="dxa"/>
              <w:bottom w:w="29" w:type="dxa"/>
              <w:right w:w="29" w:type="dxa"/>
            </w:tcMar>
            <w:vAlign w:val="center"/>
          </w:tcPr>
          <w:p w:rsidR="00D06766" w:rsidRDefault="00EB0B87">
            <w:pPr>
              <w:rPr>
                <w:rFonts w:ascii="Calibri" w:hAnsi="Calibri"/>
                <w:color w:val="000000"/>
              </w:rPr>
            </w:pPr>
            <w:r>
              <w:rPr>
                <w:rFonts w:ascii="Calibri" w:hAnsi="Calibri"/>
                <w:color w:val="000000"/>
              </w:rPr>
              <w:t>Job Corps</w:t>
            </w:r>
          </w:p>
        </w:tc>
        <w:tc>
          <w:tcPr>
            <w:tcW w:w="1620" w:type="dxa"/>
            <w:shd w:val="clear" w:color="auto" w:fill="FFFFFF" w:themeFill="background1"/>
            <w:tcMar>
              <w:top w:w="29" w:type="dxa"/>
              <w:left w:w="29" w:type="dxa"/>
              <w:bottom w:w="29" w:type="dxa"/>
              <w:right w:w="29" w:type="dxa"/>
            </w:tcMar>
            <w:vAlign w:val="center"/>
          </w:tcPr>
          <w:p w:rsidR="00EB0B87" w:rsidRDefault="00EB0B87" w:rsidP="00D06766">
            <w:pPr>
              <w:jc w:val="center"/>
              <w:rPr>
                <w:rFonts w:ascii="Calibri" w:hAnsi="Calibri"/>
                <w:color w:val="000000"/>
              </w:rPr>
            </w:pPr>
            <w:r>
              <w:rPr>
                <w:rFonts w:ascii="Calibri" w:hAnsi="Calibri"/>
                <w:color w:val="000000"/>
              </w:rPr>
              <w:t>5.00</w:t>
            </w:r>
          </w:p>
        </w:tc>
        <w:tc>
          <w:tcPr>
            <w:tcW w:w="1530" w:type="dxa"/>
            <w:shd w:val="clear" w:color="auto" w:fill="FFFFFF" w:themeFill="background1"/>
            <w:tcMar>
              <w:top w:w="29" w:type="dxa"/>
              <w:left w:w="29" w:type="dxa"/>
              <w:bottom w:w="29" w:type="dxa"/>
              <w:right w:w="29" w:type="dxa"/>
            </w:tcMar>
            <w:vAlign w:val="center"/>
          </w:tcPr>
          <w:p w:rsidR="00EB0B87" w:rsidRDefault="00EB0B87" w:rsidP="00EB0B87">
            <w:pPr>
              <w:jc w:val="center"/>
              <w:rPr>
                <w:rFonts w:ascii="Calibri" w:hAnsi="Calibri"/>
                <w:color w:val="000000"/>
              </w:rPr>
            </w:pPr>
            <w:r>
              <w:rPr>
                <w:rFonts w:ascii="Calibri" w:hAnsi="Calibri"/>
                <w:color w:val="000000"/>
              </w:rPr>
              <w:t>-3</w:t>
            </w:r>
          </w:p>
        </w:tc>
        <w:tc>
          <w:tcPr>
            <w:tcW w:w="1170" w:type="dxa"/>
            <w:shd w:val="clear" w:color="auto" w:fill="FFFFFF" w:themeFill="background1"/>
            <w:tcMar>
              <w:top w:w="29" w:type="dxa"/>
              <w:left w:w="29" w:type="dxa"/>
              <w:bottom w:w="29" w:type="dxa"/>
              <w:right w:w="29" w:type="dxa"/>
            </w:tcMar>
            <w:vAlign w:val="center"/>
          </w:tcPr>
          <w:p w:rsidR="00EB0B87" w:rsidRDefault="00EB0B87" w:rsidP="00EB0B87">
            <w:pPr>
              <w:jc w:val="center"/>
              <w:rPr>
                <w:rFonts w:ascii="Calibri" w:hAnsi="Calibri"/>
                <w:color w:val="000000"/>
              </w:rPr>
            </w:pPr>
            <w:r>
              <w:rPr>
                <w:rFonts w:ascii="Calibri" w:hAnsi="Calibri"/>
                <w:color w:val="000000"/>
              </w:rPr>
              <w:t>1</w:t>
            </w:r>
          </w:p>
        </w:tc>
        <w:tc>
          <w:tcPr>
            <w:tcW w:w="1530" w:type="dxa"/>
            <w:shd w:val="clear" w:color="auto" w:fill="FFFFFF" w:themeFill="background1"/>
            <w:tcMar>
              <w:top w:w="29" w:type="dxa"/>
              <w:left w:w="29" w:type="dxa"/>
              <w:bottom w:w="29" w:type="dxa"/>
              <w:right w:w="29" w:type="dxa"/>
            </w:tcMar>
            <w:vAlign w:val="center"/>
          </w:tcPr>
          <w:p w:rsidR="00EB0B87" w:rsidRDefault="00EB0B87" w:rsidP="00EB0B87">
            <w:pPr>
              <w:jc w:val="center"/>
              <w:rPr>
                <w:rFonts w:ascii="Calibri" w:hAnsi="Calibri"/>
                <w:color w:val="000000"/>
              </w:rPr>
            </w:pPr>
          </w:p>
        </w:tc>
        <w:tc>
          <w:tcPr>
            <w:tcW w:w="1170" w:type="dxa"/>
            <w:shd w:val="clear" w:color="auto" w:fill="FFFFFF" w:themeFill="background1"/>
            <w:tcMar>
              <w:top w:w="29" w:type="dxa"/>
              <w:left w:w="29" w:type="dxa"/>
              <w:bottom w:w="29" w:type="dxa"/>
              <w:right w:w="29" w:type="dxa"/>
            </w:tcMar>
            <w:vAlign w:val="center"/>
          </w:tcPr>
          <w:p w:rsidR="00EB0B87" w:rsidRDefault="00EB0B87" w:rsidP="00EB0B87">
            <w:pPr>
              <w:jc w:val="center"/>
              <w:rPr>
                <w:rFonts w:ascii="Calibri" w:hAnsi="Calibri"/>
                <w:color w:val="000000"/>
              </w:rPr>
            </w:pPr>
          </w:p>
        </w:tc>
        <w:tc>
          <w:tcPr>
            <w:tcW w:w="1530" w:type="dxa"/>
            <w:shd w:val="clear" w:color="auto" w:fill="FFFFFF" w:themeFill="background1"/>
            <w:tcMar>
              <w:top w:w="29" w:type="dxa"/>
              <w:left w:w="29" w:type="dxa"/>
              <w:bottom w:w="29" w:type="dxa"/>
              <w:right w:w="29" w:type="dxa"/>
            </w:tcMar>
            <w:vAlign w:val="center"/>
          </w:tcPr>
          <w:p w:rsidR="00EB0B87" w:rsidRDefault="00EB0B87" w:rsidP="00EB0B87">
            <w:pPr>
              <w:jc w:val="center"/>
              <w:rPr>
                <w:rFonts w:ascii="Calibri" w:hAnsi="Calibri"/>
                <w:color w:val="000000"/>
              </w:rPr>
            </w:pPr>
            <w:r>
              <w:rPr>
                <w:rFonts w:ascii="Calibri" w:hAnsi="Calibri"/>
                <w:color w:val="000000"/>
              </w:rPr>
              <w:t>13</w:t>
            </w:r>
          </w:p>
        </w:tc>
        <w:tc>
          <w:tcPr>
            <w:tcW w:w="1170" w:type="dxa"/>
            <w:shd w:val="clear" w:color="auto" w:fill="FFFFFF" w:themeFill="background1"/>
            <w:tcMar>
              <w:top w:w="29" w:type="dxa"/>
              <w:left w:w="29" w:type="dxa"/>
              <w:bottom w:w="29" w:type="dxa"/>
              <w:right w:w="29" w:type="dxa"/>
            </w:tcMar>
            <w:vAlign w:val="center"/>
          </w:tcPr>
          <w:p w:rsidR="00EB0B87" w:rsidRDefault="00EB0B87" w:rsidP="00EB0B87">
            <w:pPr>
              <w:jc w:val="center"/>
              <w:rPr>
                <w:rFonts w:ascii="Calibri" w:hAnsi="Calibri"/>
                <w:color w:val="000000"/>
              </w:rPr>
            </w:pPr>
            <w:r>
              <w:rPr>
                <w:rFonts w:ascii="Calibri" w:hAnsi="Calibri"/>
                <w:color w:val="000000"/>
              </w:rPr>
              <w:t>1</w:t>
            </w:r>
          </w:p>
        </w:tc>
      </w:tr>
      <w:tr w:rsidR="00EB0B87" w:rsidTr="00FA0637">
        <w:tc>
          <w:tcPr>
            <w:tcW w:w="2628" w:type="dxa"/>
            <w:shd w:val="clear" w:color="auto" w:fill="FFFFFF" w:themeFill="background1"/>
            <w:tcMar>
              <w:top w:w="29" w:type="dxa"/>
              <w:left w:w="29" w:type="dxa"/>
              <w:bottom w:w="29" w:type="dxa"/>
              <w:right w:w="29" w:type="dxa"/>
            </w:tcMar>
            <w:vAlign w:val="center"/>
          </w:tcPr>
          <w:p w:rsidR="00284052" w:rsidRDefault="00EB0B87">
            <w:pPr>
              <w:rPr>
                <w:rFonts w:ascii="Calibri" w:hAnsi="Calibri"/>
                <w:color w:val="000000"/>
              </w:rPr>
            </w:pPr>
            <w:r>
              <w:rPr>
                <w:rFonts w:ascii="Calibri" w:hAnsi="Calibri"/>
                <w:color w:val="000000"/>
              </w:rPr>
              <w:t>Service and Conservation Corps</w:t>
            </w:r>
          </w:p>
        </w:tc>
        <w:tc>
          <w:tcPr>
            <w:tcW w:w="1620" w:type="dxa"/>
            <w:shd w:val="clear" w:color="auto" w:fill="FFFFFF" w:themeFill="background1"/>
            <w:tcMar>
              <w:top w:w="29" w:type="dxa"/>
              <w:left w:w="29" w:type="dxa"/>
              <w:bottom w:w="29" w:type="dxa"/>
              <w:right w:w="29" w:type="dxa"/>
            </w:tcMar>
            <w:vAlign w:val="center"/>
          </w:tcPr>
          <w:p w:rsidR="00EB0B87" w:rsidRDefault="00EB0B87" w:rsidP="00D06766">
            <w:pPr>
              <w:jc w:val="center"/>
              <w:rPr>
                <w:rFonts w:ascii="Calibri" w:hAnsi="Calibri"/>
                <w:color w:val="000000"/>
              </w:rPr>
            </w:pPr>
            <w:r>
              <w:rPr>
                <w:rFonts w:ascii="Calibri" w:hAnsi="Calibri"/>
                <w:color w:val="000000"/>
              </w:rPr>
              <w:t>-2.00</w:t>
            </w:r>
          </w:p>
        </w:tc>
        <w:tc>
          <w:tcPr>
            <w:tcW w:w="1530" w:type="dxa"/>
            <w:shd w:val="clear" w:color="auto" w:fill="FFFFFF" w:themeFill="background1"/>
            <w:tcMar>
              <w:top w:w="29" w:type="dxa"/>
              <w:left w:w="29" w:type="dxa"/>
              <w:bottom w:w="29" w:type="dxa"/>
              <w:right w:w="29" w:type="dxa"/>
            </w:tcMar>
            <w:vAlign w:val="center"/>
          </w:tcPr>
          <w:p w:rsidR="00EB0B87" w:rsidRDefault="00EB0B87" w:rsidP="00EB0B87">
            <w:pPr>
              <w:jc w:val="center"/>
              <w:rPr>
                <w:rFonts w:ascii="Calibri" w:hAnsi="Calibri"/>
                <w:color w:val="000000"/>
              </w:rPr>
            </w:pPr>
          </w:p>
        </w:tc>
        <w:tc>
          <w:tcPr>
            <w:tcW w:w="1170" w:type="dxa"/>
            <w:shd w:val="clear" w:color="auto" w:fill="FFFFFF" w:themeFill="background1"/>
            <w:tcMar>
              <w:top w:w="29" w:type="dxa"/>
              <w:left w:w="29" w:type="dxa"/>
              <w:bottom w:w="29" w:type="dxa"/>
              <w:right w:w="29" w:type="dxa"/>
            </w:tcMar>
            <w:vAlign w:val="center"/>
          </w:tcPr>
          <w:p w:rsidR="00EB0B87" w:rsidRDefault="00EB0B87" w:rsidP="00EB0B87">
            <w:pPr>
              <w:jc w:val="center"/>
              <w:rPr>
                <w:rFonts w:ascii="Calibri" w:hAnsi="Calibri"/>
                <w:color w:val="000000"/>
              </w:rPr>
            </w:pPr>
          </w:p>
        </w:tc>
        <w:tc>
          <w:tcPr>
            <w:tcW w:w="1530" w:type="dxa"/>
            <w:shd w:val="clear" w:color="auto" w:fill="FFFFFF" w:themeFill="background1"/>
            <w:tcMar>
              <w:top w:w="29" w:type="dxa"/>
              <w:left w:w="29" w:type="dxa"/>
              <w:bottom w:w="29" w:type="dxa"/>
              <w:right w:w="29" w:type="dxa"/>
            </w:tcMar>
            <w:vAlign w:val="center"/>
          </w:tcPr>
          <w:p w:rsidR="00EB0B87" w:rsidRDefault="00EB0B87" w:rsidP="00EB0B87">
            <w:pPr>
              <w:jc w:val="center"/>
              <w:rPr>
                <w:rFonts w:ascii="Calibri" w:hAnsi="Calibri"/>
                <w:color w:val="000000"/>
              </w:rPr>
            </w:pPr>
          </w:p>
        </w:tc>
        <w:tc>
          <w:tcPr>
            <w:tcW w:w="1170" w:type="dxa"/>
            <w:shd w:val="clear" w:color="auto" w:fill="FFFFFF" w:themeFill="background1"/>
            <w:tcMar>
              <w:top w:w="29" w:type="dxa"/>
              <w:left w:w="29" w:type="dxa"/>
              <w:bottom w:w="29" w:type="dxa"/>
              <w:right w:w="29" w:type="dxa"/>
            </w:tcMar>
            <w:vAlign w:val="center"/>
          </w:tcPr>
          <w:p w:rsidR="00EB0B87" w:rsidRDefault="00EB0B87" w:rsidP="00EB0B87">
            <w:pPr>
              <w:jc w:val="center"/>
              <w:rPr>
                <w:rFonts w:ascii="Calibri" w:hAnsi="Calibri"/>
                <w:color w:val="000000"/>
              </w:rPr>
            </w:pPr>
          </w:p>
        </w:tc>
        <w:tc>
          <w:tcPr>
            <w:tcW w:w="1530" w:type="dxa"/>
            <w:shd w:val="clear" w:color="auto" w:fill="FFFFFF" w:themeFill="background1"/>
            <w:tcMar>
              <w:top w:w="29" w:type="dxa"/>
              <w:left w:w="29" w:type="dxa"/>
              <w:bottom w:w="29" w:type="dxa"/>
              <w:right w:w="29" w:type="dxa"/>
            </w:tcMar>
            <w:vAlign w:val="center"/>
          </w:tcPr>
          <w:p w:rsidR="00EB0B87" w:rsidRDefault="00EB0B87" w:rsidP="00EB0B87">
            <w:pPr>
              <w:jc w:val="center"/>
              <w:rPr>
                <w:rFonts w:ascii="Calibri" w:hAnsi="Calibri"/>
                <w:color w:val="000000"/>
              </w:rPr>
            </w:pPr>
            <w:r>
              <w:rPr>
                <w:rFonts w:ascii="Calibri" w:hAnsi="Calibri"/>
                <w:color w:val="000000"/>
              </w:rPr>
              <w:t>-2</w:t>
            </w:r>
          </w:p>
        </w:tc>
        <w:tc>
          <w:tcPr>
            <w:tcW w:w="1170" w:type="dxa"/>
            <w:shd w:val="clear" w:color="auto" w:fill="FFFFFF" w:themeFill="background1"/>
            <w:tcMar>
              <w:top w:w="29" w:type="dxa"/>
              <w:left w:w="29" w:type="dxa"/>
              <w:bottom w:w="29" w:type="dxa"/>
              <w:right w:w="29" w:type="dxa"/>
            </w:tcMar>
            <w:vAlign w:val="center"/>
          </w:tcPr>
          <w:p w:rsidR="00EB0B87" w:rsidRDefault="00EB0B87" w:rsidP="00EB0B87">
            <w:pPr>
              <w:jc w:val="center"/>
              <w:rPr>
                <w:rFonts w:ascii="Calibri" w:hAnsi="Calibri"/>
                <w:color w:val="000000"/>
              </w:rPr>
            </w:pPr>
            <w:r>
              <w:rPr>
                <w:rFonts w:ascii="Calibri" w:hAnsi="Calibri"/>
                <w:color w:val="000000"/>
              </w:rPr>
              <w:t>1</w:t>
            </w:r>
          </w:p>
        </w:tc>
      </w:tr>
    </w:tbl>
    <w:p w:rsidR="0082145B" w:rsidRDefault="00284052">
      <w:pPr>
        <w:spacing w:before="100" w:after="0" w:line="240" w:lineRule="auto"/>
        <w:rPr>
          <w:sz w:val="20"/>
          <w:szCs w:val="20"/>
        </w:rPr>
      </w:pPr>
      <w:r w:rsidRPr="00C05ABB">
        <w:rPr>
          <w:i/>
          <w:sz w:val="20"/>
          <w:szCs w:val="20"/>
        </w:rPr>
        <w:t xml:space="preserve">Note: </w:t>
      </w:r>
      <w:r w:rsidRPr="00C05ABB">
        <w:rPr>
          <w:sz w:val="20"/>
          <w:szCs w:val="20"/>
        </w:rPr>
        <w:t xml:space="preserve">The </w:t>
      </w:r>
      <w:r w:rsidR="006B543B" w:rsidRPr="006B543B">
        <w:rPr>
          <w:sz w:val="20"/>
          <w:szCs w:val="20"/>
        </w:rPr>
        <w:t>overall average weighted improvement index</w:t>
      </w:r>
      <w:r w:rsidRPr="00C05ABB">
        <w:rPr>
          <w:sz w:val="20"/>
          <w:szCs w:val="20"/>
        </w:rPr>
        <w:t xml:space="preserve"> was calculated by multiplying each outcome improvement index by its extent of evidence rating, summing across outcomes, and dividing by the sum o</w:t>
      </w:r>
      <w:r>
        <w:rPr>
          <w:sz w:val="20"/>
          <w:szCs w:val="20"/>
        </w:rPr>
        <w:t>f the extent of evidence ratings</w:t>
      </w:r>
      <w:r w:rsidRPr="00C05ABB">
        <w:rPr>
          <w:sz w:val="20"/>
          <w:szCs w:val="20"/>
        </w:rPr>
        <w:t>.</w:t>
      </w:r>
      <w:r w:rsidRPr="00993F90">
        <w:rPr>
          <w:sz w:val="20"/>
          <w:szCs w:val="20"/>
        </w:rPr>
        <w:t xml:space="preserve"> </w:t>
      </w:r>
      <w:r w:rsidR="006B543B" w:rsidRPr="006B543B">
        <w:rPr>
          <w:sz w:val="20"/>
          <w:szCs w:val="20"/>
        </w:rPr>
        <w:t>Blank cells</w:t>
      </w:r>
      <w:r w:rsidRPr="00FA0637">
        <w:rPr>
          <w:sz w:val="20"/>
          <w:szCs w:val="20"/>
        </w:rPr>
        <w:t xml:space="preserve"> indicate that no information was available</w:t>
      </w:r>
      <w:r w:rsidR="00FA0637">
        <w:rPr>
          <w:sz w:val="20"/>
          <w:szCs w:val="20"/>
        </w:rPr>
        <w:t>,</w:t>
      </w:r>
      <w:r w:rsidRPr="00FA0637">
        <w:rPr>
          <w:sz w:val="20"/>
          <w:szCs w:val="20"/>
        </w:rPr>
        <w:t xml:space="preserve"> or the information did not meet WWC evidence standards.</w:t>
      </w:r>
    </w:p>
    <w:p w:rsidR="00284052" w:rsidRPr="00FA0637" w:rsidRDefault="00284052" w:rsidP="00284052">
      <w:pPr>
        <w:spacing w:after="0" w:line="240" w:lineRule="auto"/>
        <w:rPr>
          <w:sz w:val="20"/>
          <w:szCs w:val="20"/>
        </w:rPr>
      </w:pPr>
      <w:r w:rsidRPr="00FA0637">
        <w:rPr>
          <w:sz w:val="20"/>
          <w:szCs w:val="20"/>
          <w:vertAlign w:val="superscript"/>
        </w:rPr>
        <w:t>a</w:t>
      </w:r>
      <w:r w:rsidRPr="00FA0637">
        <w:rPr>
          <w:sz w:val="20"/>
          <w:szCs w:val="20"/>
        </w:rPr>
        <w:t xml:space="preserve"> Progressing in School is measured by the number of credits accumulated, grades promoted, or highest grade completed.</w:t>
      </w:r>
    </w:p>
    <w:p w:rsidR="00284052" w:rsidRPr="00FA0637" w:rsidRDefault="00284052" w:rsidP="00284052">
      <w:pPr>
        <w:spacing w:after="0" w:line="240" w:lineRule="auto"/>
        <w:rPr>
          <w:sz w:val="20"/>
          <w:szCs w:val="20"/>
        </w:rPr>
      </w:pPr>
      <w:r w:rsidRPr="00FA0637">
        <w:rPr>
          <w:sz w:val="20"/>
          <w:szCs w:val="20"/>
          <w:vertAlign w:val="superscript"/>
        </w:rPr>
        <w:t>b</w:t>
      </w:r>
      <w:r w:rsidRPr="00FA0637">
        <w:rPr>
          <w:sz w:val="20"/>
          <w:szCs w:val="20"/>
        </w:rPr>
        <w:t xml:space="preserve"> Staying in School</w:t>
      </w:r>
      <w:r w:rsidR="006B543B">
        <w:rPr>
          <w:sz w:val="20"/>
          <w:szCs w:val="20"/>
        </w:rPr>
        <w:t xml:space="preserve"> is measured by whether a student is enrolled in school.</w:t>
      </w:r>
    </w:p>
    <w:p w:rsidR="00284052" w:rsidRPr="00FA0637" w:rsidRDefault="006B543B" w:rsidP="00284052">
      <w:pPr>
        <w:spacing w:after="0" w:line="240" w:lineRule="auto"/>
        <w:rPr>
          <w:sz w:val="20"/>
          <w:szCs w:val="20"/>
        </w:rPr>
      </w:pPr>
      <w:r>
        <w:rPr>
          <w:sz w:val="20"/>
          <w:szCs w:val="20"/>
          <w:vertAlign w:val="superscript"/>
        </w:rPr>
        <w:t xml:space="preserve">c </w:t>
      </w:r>
      <w:r>
        <w:rPr>
          <w:sz w:val="20"/>
          <w:szCs w:val="20"/>
        </w:rPr>
        <w:t xml:space="preserve">Completing School is measured by whether a student earned a high school diploma or a GED. </w:t>
      </w:r>
    </w:p>
    <w:p w:rsidR="00366549" w:rsidRDefault="006B543B" w:rsidP="00FA0637">
      <w:pPr>
        <w:spacing w:after="0" w:line="240" w:lineRule="auto"/>
        <w:sectPr w:rsidR="00366549" w:rsidSect="00366549">
          <w:pgSz w:w="15840" w:h="12240" w:orient="landscape"/>
          <w:pgMar w:top="1440" w:right="1440" w:bottom="1440" w:left="1440" w:header="720" w:footer="720" w:gutter="0"/>
          <w:cols w:space="720"/>
          <w:docGrid w:linePitch="360"/>
        </w:sectPr>
      </w:pPr>
      <w:r>
        <w:rPr>
          <w:sz w:val="20"/>
          <w:szCs w:val="20"/>
          <w:vertAlign w:val="superscript"/>
        </w:rPr>
        <w:t xml:space="preserve">d </w:t>
      </w:r>
      <w:r>
        <w:rPr>
          <w:sz w:val="20"/>
          <w:szCs w:val="20"/>
        </w:rPr>
        <w:t>The extent of evidence</w:t>
      </w:r>
      <w:r w:rsidR="00284052" w:rsidRPr="00FA0637">
        <w:rPr>
          <w:sz w:val="20"/>
          <w:szCs w:val="20"/>
        </w:rPr>
        <w:t xml:space="preserve"> is rated by WWC using two categories: “small” which is defined as evidence that</w:t>
      </w:r>
      <w:r w:rsidR="006E64B2" w:rsidRPr="00FA0637">
        <w:rPr>
          <w:sz w:val="20"/>
          <w:szCs w:val="20"/>
        </w:rPr>
        <w:t xml:space="preserve"> </w:t>
      </w:r>
      <w:r w:rsidR="00284052" w:rsidRPr="00FA0637">
        <w:rPr>
          <w:sz w:val="20"/>
          <w:szCs w:val="20"/>
        </w:rPr>
        <w:t>includes “only one study, or one school, or findings based on a total sample size of less than 350 student and 14 classrooms (assuming 2</w:t>
      </w:r>
      <w:r w:rsidR="00284052" w:rsidRPr="00C05ABB">
        <w:rPr>
          <w:sz w:val="20"/>
          <w:szCs w:val="20"/>
        </w:rPr>
        <w:t xml:space="preserve">5 students in a class),” and “medium to large” which is defined as evidence that includes “more than one study, more than one school, and findings based on a total sample of at least 350 students or 14 classrooms” (What Works Clearinghouse, </w:t>
      </w:r>
      <w:r w:rsidR="008E2E14">
        <w:rPr>
          <w:sz w:val="20"/>
          <w:szCs w:val="20"/>
        </w:rPr>
        <w:t>n.d.</w:t>
      </w:r>
      <w:r w:rsidR="00284052" w:rsidRPr="00C05ABB">
        <w:rPr>
          <w:sz w:val="20"/>
          <w:szCs w:val="20"/>
        </w:rPr>
        <w:t>).</w:t>
      </w:r>
    </w:p>
    <w:p w:rsidR="001326DA" w:rsidRDefault="001326DA" w:rsidP="00CF5106">
      <w:pPr>
        <w:pStyle w:val="Heading3"/>
      </w:pPr>
      <w:r>
        <w:lastRenderedPageBreak/>
        <w:t>National Guard Youth ChallenNGe Program</w:t>
      </w:r>
    </w:p>
    <w:p w:rsidR="001326DA" w:rsidRDefault="0081357F" w:rsidP="001326DA">
      <w:r>
        <w:t xml:space="preserve">The National Guard Youth ChalleNGe program is </w:t>
      </w:r>
      <w:r w:rsidR="00095C27">
        <w:t>geared toward</w:t>
      </w:r>
      <w:r>
        <w:t xml:space="preserve"> </w:t>
      </w:r>
      <w:r w:rsidR="004673AB">
        <w:t xml:space="preserve">youth </w:t>
      </w:r>
      <w:r>
        <w:t>age</w:t>
      </w:r>
      <w:r w:rsidR="00FA0637">
        <w:t>d</w:t>
      </w:r>
      <w:r>
        <w:t xml:space="preserve"> 16 to 18</w:t>
      </w:r>
      <w:r w:rsidR="004673AB">
        <w:t xml:space="preserve"> who have dropped out of or been expelled from school</w:t>
      </w:r>
      <w:r w:rsidR="000F2B98">
        <w:t xml:space="preserve"> (What Works Clearinghouse, </w:t>
      </w:r>
      <w:r w:rsidR="008E2E14">
        <w:t>n.d.</w:t>
      </w:r>
      <w:r w:rsidR="000F2B98">
        <w:t>). The program is a 22</w:t>
      </w:r>
      <w:r w:rsidR="00B97F42">
        <w:t>-</w:t>
      </w:r>
      <w:r w:rsidR="000F2B98">
        <w:t>week residential program with quasi-military activities and environment (e.g., barracks, uniforms</w:t>
      </w:r>
      <w:r w:rsidR="00FA0637">
        <w:t>,</w:t>
      </w:r>
      <w:r w:rsidR="000F2B98">
        <w:t xml:space="preserve"> and military-style discipline) that offers GED preparatory classes, community service activities, and training in leadership and job skills. </w:t>
      </w:r>
      <w:r w:rsidR="00D60807">
        <w:t xml:space="preserve">The WWC reported one </w:t>
      </w:r>
      <w:r w:rsidR="00FB35C5">
        <w:t xml:space="preserve">National Guard Youth ChalleNGe program </w:t>
      </w:r>
      <w:r w:rsidR="00B92CBA">
        <w:t>Improvement index</w:t>
      </w:r>
      <w:r w:rsidR="00344A0D">
        <w:t xml:space="preserve"> </w:t>
      </w:r>
      <w:r w:rsidR="00FA0637">
        <w:t>(</w:t>
      </w:r>
      <w:r w:rsidR="00FB35C5">
        <w:t xml:space="preserve">22) </w:t>
      </w:r>
      <w:r w:rsidR="00D60807">
        <w:t xml:space="preserve">for </w:t>
      </w:r>
      <w:r w:rsidR="00FB35C5">
        <w:t xml:space="preserve">completing school with a small extent of evidence. </w:t>
      </w:r>
      <w:r w:rsidR="00C57FE3">
        <w:t xml:space="preserve">A comparison of the program and control group outcomes is presented in Table </w:t>
      </w:r>
      <w:r w:rsidR="00EE2413">
        <w:t>8</w:t>
      </w:r>
      <w:r w:rsidR="00C57FE3">
        <w:t xml:space="preserve">. </w:t>
      </w:r>
      <w:r w:rsidR="004B0A26">
        <w:t>Forty-eight percent of program participants earned a GED</w:t>
      </w:r>
      <w:r w:rsidR="000A35D3">
        <w:t>, as</w:t>
      </w:r>
      <w:r w:rsidR="004B0A26">
        <w:t xml:space="preserve"> compared to 22% of non-participants.</w:t>
      </w:r>
    </w:p>
    <w:p w:rsidR="0082145B" w:rsidRDefault="00C57FE3">
      <w:pPr>
        <w:spacing w:after="100" w:line="240" w:lineRule="auto"/>
        <w:rPr>
          <w:b/>
        </w:rPr>
      </w:pPr>
      <w:r w:rsidRPr="004B0A26">
        <w:rPr>
          <w:b/>
        </w:rPr>
        <w:t xml:space="preserve">Table </w:t>
      </w:r>
      <w:r w:rsidR="00EE2413">
        <w:rPr>
          <w:b/>
        </w:rPr>
        <w:t>8</w:t>
      </w:r>
      <w:r w:rsidRPr="004B0A26">
        <w:rPr>
          <w:b/>
        </w:rPr>
        <w:t>.</w:t>
      </w:r>
      <w:r w:rsidR="001302F1">
        <w:rPr>
          <w:b/>
        </w:rPr>
        <w:t xml:space="preserve"> </w:t>
      </w:r>
      <w:r w:rsidRPr="004B0A26">
        <w:rPr>
          <w:b/>
        </w:rPr>
        <w:t>Comparative School Completion Rates for National Guard Youth ChalleNGe program and Control Group</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tblPr>
      <w:tblGrid>
        <w:gridCol w:w="2358"/>
        <w:gridCol w:w="31"/>
        <w:gridCol w:w="1634"/>
        <w:gridCol w:w="1665"/>
        <w:gridCol w:w="540"/>
        <w:gridCol w:w="1739"/>
        <w:gridCol w:w="1593"/>
      </w:tblGrid>
      <w:tr w:rsidR="00C57FE3" w:rsidTr="00FA0637">
        <w:trPr>
          <w:trHeight w:val="638"/>
        </w:trPr>
        <w:tc>
          <w:tcPr>
            <w:tcW w:w="2389" w:type="dxa"/>
            <w:gridSpan w:val="2"/>
          </w:tcPr>
          <w:p w:rsidR="00C57FE3" w:rsidRDefault="00C57FE3" w:rsidP="00023778">
            <w:pPr>
              <w:rPr>
                <w:b/>
              </w:rPr>
            </w:pPr>
          </w:p>
        </w:tc>
        <w:tc>
          <w:tcPr>
            <w:tcW w:w="3299" w:type="dxa"/>
            <w:gridSpan w:val="2"/>
            <w:tcBorders>
              <w:top w:val="single" w:sz="4" w:space="0" w:color="000000" w:themeColor="text1"/>
              <w:bottom w:val="single" w:sz="4" w:space="0" w:color="000000" w:themeColor="text1"/>
            </w:tcBorders>
          </w:tcPr>
          <w:p w:rsidR="00D80AF0" w:rsidRDefault="00C57FE3" w:rsidP="00023778">
            <w:pPr>
              <w:jc w:val="center"/>
              <w:rPr>
                <w:b/>
              </w:rPr>
            </w:pPr>
            <w:r>
              <w:rPr>
                <w:b/>
              </w:rPr>
              <w:t xml:space="preserve">Earned a </w:t>
            </w:r>
          </w:p>
          <w:p w:rsidR="00C57FE3" w:rsidRDefault="00C57FE3" w:rsidP="00023778">
            <w:pPr>
              <w:jc w:val="center"/>
              <w:rPr>
                <w:b/>
              </w:rPr>
            </w:pPr>
            <w:r>
              <w:rPr>
                <w:b/>
              </w:rPr>
              <w:t>High School Diploma</w:t>
            </w:r>
          </w:p>
        </w:tc>
        <w:tc>
          <w:tcPr>
            <w:tcW w:w="540" w:type="dxa"/>
          </w:tcPr>
          <w:p w:rsidR="00C57FE3" w:rsidRDefault="00C57FE3" w:rsidP="00023778">
            <w:pPr>
              <w:jc w:val="center"/>
              <w:rPr>
                <w:b/>
              </w:rPr>
            </w:pPr>
          </w:p>
        </w:tc>
        <w:tc>
          <w:tcPr>
            <w:tcW w:w="3332" w:type="dxa"/>
            <w:gridSpan w:val="2"/>
            <w:tcBorders>
              <w:top w:val="single" w:sz="4" w:space="0" w:color="000000" w:themeColor="text1"/>
              <w:bottom w:val="single" w:sz="4" w:space="0" w:color="000000" w:themeColor="text1"/>
            </w:tcBorders>
          </w:tcPr>
          <w:p w:rsidR="00D80AF0" w:rsidRDefault="00C57FE3" w:rsidP="00023778">
            <w:pPr>
              <w:jc w:val="center"/>
              <w:rPr>
                <w:b/>
              </w:rPr>
            </w:pPr>
            <w:r>
              <w:rPr>
                <w:b/>
              </w:rPr>
              <w:t xml:space="preserve">Earned a </w:t>
            </w:r>
          </w:p>
          <w:p w:rsidR="00C57FE3" w:rsidRDefault="00C57FE3" w:rsidP="00023778">
            <w:pPr>
              <w:jc w:val="center"/>
              <w:rPr>
                <w:b/>
              </w:rPr>
            </w:pPr>
            <w:r>
              <w:rPr>
                <w:b/>
              </w:rPr>
              <w:t>GED</w:t>
            </w:r>
          </w:p>
        </w:tc>
      </w:tr>
      <w:tr w:rsidR="00C57FE3" w:rsidTr="00920B55">
        <w:trPr>
          <w:trHeight w:val="440"/>
        </w:trPr>
        <w:tc>
          <w:tcPr>
            <w:tcW w:w="2358" w:type="dxa"/>
          </w:tcPr>
          <w:p w:rsidR="00C57FE3" w:rsidRPr="00AC30C4" w:rsidRDefault="00C57FE3" w:rsidP="00023778"/>
        </w:tc>
        <w:tc>
          <w:tcPr>
            <w:tcW w:w="1665" w:type="dxa"/>
            <w:gridSpan w:val="2"/>
            <w:tcBorders>
              <w:top w:val="single" w:sz="4" w:space="0" w:color="000000" w:themeColor="text1"/>
              <w:bottom w:val="single" w:sz="4" w:space="0" w:color="000000" w:themeColor="text1"/>
            </w:tcBorders>
          </w:tcPr>
          <w:p w:rsidR="00C57FE3" w:rsidRDefault="00C57FE3" w:rsidP="00023778">
            <w:pPr>
              <w:jc w:val="center"/>
            </w:pPr>
            <w:r>
              <w:t>NG</w:t>
            </w:r>
          </w:p>
        </w:tc>
        <w:tc>
          <w:tcPr>
            <w:tcW w:w="1665" w:type="dxa"/>
            <w:tcBorders>
              <w:top w:val="single" w:sz="4" w:space="0" w:color="000000" w:themeColor="text1"/>
              <w:bottom w:val="single" w:sz="4" w:space="0" w:color="000000" w:themeColor="text1"/>
            </w:tcBorders>
          </w:tcPr>
          <w:p w:rsidR="00C57FE3" w:rsidRDefault="00C57FE3" w:rsidP="00023778">
            <w:pPr>
              <w:jc w:val="center"/>
            </w:pPr>
            <w:r>
              <w:t>Control</w:t>
            </w:r>
          </w:p>
          <w:p w:rsidR="00C57FE3" w:rsidRPr="00AC30C4" w:rsidRDefault="00C57FE3" w:rsidP="00023778">
            <w:pPr>
              <w:jc w:val="center"/>
            </w:pPr>
          </w:p>
        </w:tc>
        <w:tc>
          <w:tcPr>
            <w:tcW w:w="540" w:type="dxa"/>
          </w:tcPr>
          <w:p w:rsidR="00C57FE3" w:rsidRDefault="00C57FE3" w:rsidP="00023778">
            <w:pPr>
              <w:jc w:val="center"/>
            </w:pPr>
          </w:p>
        </w:tc>
        <w:tc>
          <w:tcPr>
            <w:tcW w:w="1739" w:type="dxa"/>
            <w:tcBorders>
              <w:top w:val="single" w:sz="4" w:space="0" w:color="000000" w:themeColor="text1"/>
              <w:bottom w:val="single" w:sz="4" w:space="0" w:color="000000" w:themeColor="text1"/>
            </w:tcBorders>
          </w:tcPr>
          <w:p w:rsidR="00C57FE3" w:rsidRDefault="00C57FE3" w:rsidP="00023778">
            <w:pPr>
              <w:jc w:val="center"/>
            </w:pPr>
            <w:r>
              <w:t>NG</w:t>
            </w:r>
          </w:p>
        </w:tc>
        <w:tc>
          <w:tcPr>
            <w:tcW w:w="1593" w:type="dxa"/>
            <w:tcBorders>
              <w:top w:val="single" w:sz="4" w:space="0" w:color="000000" w:themeColor="text1"/>
              <w:bottom w:val="single" w:sz="4" w:space="0" w:color="000000" w:themeColor="text1"/>
            </w:tcBorders>
          </w:tcPr>
          <w:p w:rsidR="00C57FE3" w:rsidRPr="00AC30C4" w:rsidRDefault="00C57FE3" w:rsidP="00023778">
            <w:pPr>
              <w:jc w:val="center"/>
            </w:pPr>
            <w:r>
              <w:t>Control</w:t>
            </w:r>
          </w:p>
        </w:tc>
      </w:tr>
      <w:tr w:rsidR="00C57FE3" w:rsidTr="00C57FE3">
        <w:trPr>
          <w:trHeight w:val="890"/>
        </w:trPr>
        <w:tc>
          <w:tcPr>
            <w:tcW w:w="2358" w:type="dxa"/>
          </w:tcPr>
          <w:p w:rsidR="00C57FE3" w:rsidRPr="00AC30C4" w:rsidRDefault="00C57FE3" w:rsidP="00023778">
            <w:r>
              <w:t>Self-report 21 months after program completion</w:t>
            </w:r>
          </w:p>
        </w:tc>
        <w:tc>
          <w:tcPr>
            <w:tcW w:w="1665" w:type="dxa"/>
            <w:gridSpan w:val="2"/>
            <w:tcBorders>
              <w:top w:val="single" w:sz="4" w:space="0" w:color="000000" w:themeColor="text1"/>
            </w:tcBorders>
          </w:tcPr>
          <w:p w:rsidR="00C57FE3" w:rsidRDefault="00C57FE3" w:rsidP="00C57FE3">
            <w:pPr>
              <w:jc w:val="center"/>
            </w:pPr>
            <w:r>
              <w:t>22%</w:t>
            </w:r>
          </w:p>
        </w:tc>
        <w:tc>
          <w:tcPr>
            <w:tcW w:w="1665" w:type="dxa"/>
            <w:tcBorders>
              <w:top w:val="single" w:sz="4" w:space="0" w:color="000000" w:themeColor="text1"/>
            </w:tcBorders>
          </w:tcPr>
          <w:p w:rsidR="00C57FE3" w:rsidRPr="00AC30C4" w:rsidRDefault="00C57FE3" w:rsidP="00023778">
            <w:pPr>
              <w:jc w:val="center"/>
            </w:pPr>
            <w:r>
              <w:t>16%</w:t>
            </w:r>
          </w:p>
        </w:tc>
        <w:tc>
          <w:tcPr>
            <w:tcW w:w="540" w:type="dxa"/>
          </w:tcPr>
          <w:p w:rsidR="00C57FE3" w:rsidRDefault="00C57FE3" w:rsidP="00023778">
            <w:pPr>
              <w:jc w:val="center"/>
            </w:pPr>
          </w:p>
        </w:tc>
        <w:tc>
          <w:tcPr>
            <w:tcW w:w="1739" w:type="dxa"/>
            <w:tcBorders>
              <w:top w:val="single" w:sz="4" w:space="0" w:color="000000" w:themeColor="text1"/>
            </w:tcBorders>
          </w:tcPr>
          <w:p w:rsidR="00C57FE3" w:rsidRPr="00AC30C4" w:rsidRDefault="00C57FE3" w:rsidP="00C57FE3">
            <w:pPr>
              <w:jc w:val="center"/>
            </w:pPr>
            <w:r>
              <w:t>48%</w:t>
            </w:r>
          </w:p>
        </w:tc>
        <w:tc>
          <w:tcPr>
            <w:tcW w:w="1593" w:type="dxa"/>
            <w:tcBorders>
              <w:top w:val="single" w:sz="4" w:space="0" w:color="000000" w:themeColor="text1"/>
            </w:tcBorders>
          </w:tcPr>
          <w:p w:rsidR="00C57FE3" w:rsidRDefault="00C57FE3" w:rsidP="00C57FE3">
            <w:pPr>
              <w:jc w:val="center"/>
            </w:pPr>
            <w:r>
              <w:t>22%</w:t>
            </w:r>
          </w:p>
        </w:tc>
      </w:tr>
    </w:tbl>
    <w:p w:rsidR="0082145B" w:rsidRDefault="006B543B">
      <w:pPr>
        <w:spacing w:before="100" w:after="0" w:line="240" w:lineRule="auto"/>
        <w:rPr>
          <w:sz w:val="20"/>
          <w:szCs w:val="20"/>
        </w:rPr>
      </w:pPr>
      <w:r w:rsidRPr="006B543B">
        <w:rPr>
          <w:i/>
          <w:sz w:val="20"/>
          <w:szCs w:val="20"/>
        </w:rPr>
        <w:t xml:space="preserve">Note: </w:t>
      </w:r>
      <w:r w:rsidRPr="006B543B">
        <w:rPr>
          <w:sz w:val="20"/>
          <w:szCs w:val="20"/>
        </w:rPr>
        <w:t>NG refers to National Guard Youth ChalleNGe program.</w:t>
      </w:r>
    </w:p>
    <w:p w:rsidR="0082145B" w:rsidRDefault="006B543B">
      <w:pPr>
        <w:spacing w:after="400" w:line="240" w:lineRule="auto"/>
        <w:rPr>
          <w:sz w:val="20"/>
          <w:szCs w:val="20"/>
        </w:rPr>
      </w:pPr>
      <w:r w:rsidRPr="006B543B">
        <w:rPr>
          <w:i/>
          <w:sz w:val="20"/>
          <w:szCs w:val="20"/>
        </w:rPr>
        <w:t>Source</w:t>
      </w:r>
      <w:r w:rsidRPr="006B543B">
        <w:rPr>
          <w:sz w:val="20"/>
          <w:szCs w:val="20"/>
        </w:rPr>
        <w:t>: What Works Clearinghouse (n.d.).</w:t>
      </w:r>
    </w:p>
    <w:p w:rsidR="001326DA" w:rsidRDefault="00474E2C" w:rsidP="009A4882">
      <w:pPr>
        <w:pStyle w:val="Heading3"/>
      </w:pPr>
      <w:r>
        <w:t>JOBSTART</w:t>
      </w:r>
    </w:p>
    <w:p w:rsidR="00F91BFF" w:rsidRDefault="002B33FA" w:rsidP="002A2056">
      <w:r>
        <w:t xml:space="preserve">JOBSTART provides services to youth </w:t>
      </w:r>
      <w:r w:rsidR="00E97BF3">
        <w:t xml:space="preserve">aged </w:t>
      </w:r>
      <w:r>
        <w:t xml:space="preserve">17 to 21 who have dropped out of school. The core components of JOBSTART are “education and occupational skills training with support services to facilitate participation” (What Works Clearinghouse, </w:t>
      </w:r>
      <w:r w:rsidR="008E2E14">
        <w:t>n.d.</w:t>
      </w:r>
      <w:r>
        <w:t>, p. 2)</w:t>
      </w:r>
      <w:r w:rsidR="00FF23C4">
        <w:t>.</w:t>
      </w:r>
      <w:r w:rsidR="00425B67">
        <w:t xml:space="preserve"> </w:t>
      </w:r>
      <w:r>
        <w:t>The education skills component involves self-paced workbook exercises for GED preparation</w:t>
      </w:r>
      <w:r w:rsidR="00FA0637">
        <w:t>,</w:t>
      </w:r>
      <w:r>
        <w:t xml:space="preserve"> with individualized instruction from JOBSTART teachers. Participants also select and attend courses that offer vocational training. Support services include </w:t>
      </w:r>
      <w:r w:rsidR="00FA0637">
        <w:t>childcare</w:t>
      </w:r>
      <w:r w:rsidR="00E97BF3">
        <w:t xml:space="preserve"> as well as</w:t>
      </w:r>
      <w:r w:rsidR="00FA0637">
        <w:t xml:space="preserve"> </w:t>
      </w:r>
      <w:r>
        <w:t>transportation and job placement assistance.</w:t>
      </w:r>
      <w:r w:rsidR="0038798F">
        <w:t xml:space="preserve"> </w:t>
      </w:r>
      <w:r>
        <w:t xml:space="preserve">For the research, JOBSTART was developed and implemented on sites already providing similar services (e.g., community-based organizations), but JOBSTART as studied is no longer available. However, the program is similar to youth programs funded with Workforce Investment Act and </w:t>
      </w:r>
      <w:r w:rsidR="006B543B" w:rsidRPr="006B543B">
        <w:t>Job Corps</w:t>
      </w:r>
      <w:r>
        <w:t xml:space="preserve"> monies (What Works Clearinghouse, </w:t>
      </w:r>
      <w:r w:rsidR="008E2E14">
        <w:t>n.d.</w:t>
      </w:r>
      <w:r>
        <w:t>).</w:t>
      </w:r>
      <w:r w:rsidR="0038798F">
        <w:t xml:space="preserve"> The cost </w:t>
      </w:r>
      <w:r w:rsidR="004B298F">
        <w:t>in 2007 wa</w:t>
      </w:r>
      <w:r w:rsidR="0038798F">
        <w:t>s estimated to be about $9,700 per participant.</w:t>
      </w:r>
      <w:r w:rsidR="002A2056">
        <w:t xml:space="preserve"> </w:t>
      </w:r>
      <w:r w:rsidR="00425B67">
        <w:t xml:space="preserve">As shown in Table </w:t>
      </w:r>
      <w:r w:rsidR="00EE2413">
        <w:t>9</w:t>
      </w:r>
      <w:r w:rsidR="00425B67">
        <w:t xml:space="preserve">, </w:t>
      </w:r>
      <w:r w:rsidR="001302F1">
        <w:t>the</w:t>
      </w:r>
      <w:r w:rsidR="00906286">
        <w:t xml:space="preserve"> </w:t>
      </w:r>
      <w:r w:rsidR="00906286">
        <w:lastRenderedPageBreak/>
        <w:t>research</w:t>
      </w:r>
      <w:r w:rsidR="001302F1">
        <w:t xml:space="preserve"> results </w:t>
      </w:r>
      <w:r w:rsidR="00906286">
        <w:t>indicate</w:t>
      </w:r>
      <w:r w:rsidR="001302F1">
        <w:t xml:space="preserve"> </w:t>
      </w:r>
      <w:r w:rsidR="00344A0D">
        <w:t xml:space="preserve">that </w:t>
      </w:r>
      <w:r w:rsidR="00906286">
        <w:t>JOBSTART</w:t>
      </w:r>
      <w:r w:rsidR="00344A0D">
        <w:t xml:space="preserve"> has</w:t>
      </w:r>
      <w:r w:rsidR="001302F1">
        <w:t xml:space="preserve"> an impact</w:t>
      </w:r>
      <w:r w:rsidR="00425B67">
        <w:t xml:space="preserve"> </w:t>
      </w:r>
      <w:r w:rsidR="002A2056">
        <w:t xml:space="preserve">on </w:t>
      </w:r>
      <w:r w:rsidR="00425B67">
        <w:t>school completion</w:t>
      </w:r>
      <w:r w:rsidR="00906286">
        <w:t>. The benefit of the program is a</w:t>
      </w:r>
      <w:r w:rsidR="00C52507">
        <w:t>n average</w:t>
      </w:r>
      <w:r w:rsidR="00906286">
        <w:t xml:space="preserve"> 13.4 </w:t>
      </w:r>
      <w:r w:rsidR="00C52507">
        <w:t xml:space="preserve">point </w:t>
      </w:r>
      <w:r w:rsidR="00906286">
        <w:t xml:space="preserve">gain in </w:t>
      </w:r>
      <w:r w:rsidR="00C52507">
        <w:t xml:space="preserve">percentage of students who complete </w:t>
      </w:r>
      <w:r w:rsidR="00906286">
        <w:t xml:space="preserve">school or </w:t>
      </w:r>
      <w:r w:rsidR="00C52507">
        <w:t xml:space="preserve">a </w:t>
      </w:r>
      <w:r w:rsidR="00906286">
        <w:t>GED.</w:t>
      </w:r>
    </w:p>
    <w:p w:rsidR="0082145B" w:rsidRDefault="00800CB4">
      <w:pPr>
        <w:spacing w:after="100" w:line="240" w:lineRule="auto"/>
        <w:rPr>
          <w:b/>
        </w:rPr>
      </w:pPr>
      <w:r w:rsidRPr="004B0A26">
        <w:rPr>
          <w:b/>
        </w:rPr>
        <w:t xml:space="preserve">Table </w:t>
      </w:r>
      <w:r w:rsidR="00EE2413">
        <w:rPr>
          <w:b/>
        </w:rPr>
        <w:t>9</w:t>
      </w:r>
      <w:r w:rsidRPr="004B0A26">
        <w:rPr>
          <w:b/>
        </w:rPr>
        <w:t>.</w:t>
      </w:r>
      <w:r w:rsidR="00710AEB">
        <w:rPr>
          <w:b/>
        </w:rPr>
        <w:t xml:space="preserve"> </w:t>
      </w:r>
      <w:r w:rsidRPr="004B0A26">
        <w:rPr>
          <w:b/>
        </w:rPr>
        <w:t xml:space="preserve">Comparative School Completion Rates for </w:t>
      </w:r>
      <w:r>
        <w:rPr>
          <w:b/>
        </w:rPr>
        <w:t>J</w:t>
      </w:r>
      <w:r w:rsidR="00282587">
        <w:rPr>
          <w:b/>
        </w:rPr>
        <w:t>OBSTART</w:t>
      </w:r>
      <w:r w:rsidRPr="004B0A26">
        <w:rPr>
          <w:b/>
        </w:rPr>
        <w:t xml:space="preserve"> and Control Group</w:t>
      </w:r>
    </w:p>
    <w:tbl>
      <w:tblPr>
        <w:tblStyle w:val="TableGrid"/>
        <w:tblW w:w="9018" w:type="dxa"/>
        <w:tblBorders>
          <w:left w:val="none" w:sz="0" w:space="0" w:color="auto"/>
          <w:right w:val="none" w:sz="0" w:space="0" w:color="auto"/>
          <w:insideH w:val="none" w:sz="0" w:space="0" w:color="auto"/>
          <w:insideV w:val="none" w:sz="0" w:space="0" w:color="auto"/>
        </w:tblBorders>
        <w:tblLayout w:type="fixed"/>
        <w:tblLook w:val="04A0"/>
      </w:tblPr>
      <w:tblGrid>
        <w:gridCol w:w="1368"/>
        <w:gridCol w:w="270"/>
        <w:gridCol w:w="4230"/>
        <w:gridCol w:w="3150"/>
      </w:tblGrid>
      <w:tr w:rsidR="00282587" w:rsidTr="005D50C2">
        <w:trPr>
          <w:trHeight w:val="863"/>
        </w:trPr>
        <w:tc>
          <w:tcPr>
            <w:tcW w:w="1368" w:type="dxa"/>
          </w:tcPr>
          <w:p w:rsidR="00282587" w:rsidRDefault="00282587" w:rsidP="00023778">
            <w:pPr>
              <w:rPr>
                <w:b/>
              </w:rPr>
            </w:pPr>
          </w:p>
        </w:tc>
        <w:tc>
          <w:tcPr>
            <w:tcW w:w="270" w:type="dxa"/>
          </w:tcPr>
          <w:p w:rsidR="00282587" w:rsidRDefault="00282587" w:rsidP="00023778">
            <w:pPr>
              <w:jc w:val="center"/>
              <w:rPr>
                <w:b/>
              </w:rPr>
            </w:pPr>
          </w:p>
        </w:tc>
        <w:tc>
          <w:tcPr>
            <w:tcW w:w="7380" w:type="dxa"/>
            <w:gridSpan w:val="2"/>
            <w:tcBorders>
              <w:top w:val="single" w:sz="4" w:space="0" w:color="000000" w:themeColor="text1"/>
              <w:bottom w:val="single" w:sz="4" w:space="0" w:color="000000" w:themeColor="text1"/>
            </w:tcBorders>
          </w:tcPr>
          <w:p w:rsidR="000964CF" w:rsidRDefault="00282587" w:rsidP="003340B0">
            <w:pPr>
              <w:jc w:val="center"/>
              <w:rPr>
                <w:b/>
              </w:rPr>
            </w:pPr>
            <w:r>
              <w:rPr>
                <w:b/>
              </w:rPr>
              <w:t xml:space="preserve">School Completion </w:t>
            </w:r>
          </w:p>
          <w:p w:rsidR="00282587" w:rsidRDefault="00282587" w:rsidP="000964CF">
            <w:pPr>
              <w:jc w:val="center"/>
              <w:rPr>
                <w:b/>
              </w:rPr>
            </w:pPr>
            <w:r>
              <w:rPr>
                <w:b/>
              </w:rPr>
              <w:t>(Percentage who Earned a High School Diploma or a GED</w:t>
            </w:r>
            <w:r w:rsidR="007E6534">
              <w:rPr>
                <w:b/>
              </w:rPr>
              <w:t xml:space="preserve"> within 48 months of the beginning of program participation</w:t>
            </w:r>
            <w:r>
              <w:rPr>
                <w:b/>
              </w:rPr>
              <w:t>)</w:t>
            </w:r>
          </w:p>
        </w:tc>
      </w:tr>
      <w:tr w:rsidR="00282587" w:rsidTr="005D50C2">
        <w:tc>
          <w:tcPr>
            <w:tcW w:w="1368" w:type="dxa"/>
          </w:tcPr>
          <w:p w:rsidR="00282587" w:rsidRPr="00AC30C4" w:rsidRDefault="00282587" w:rsidP="00023778"/>
        </w:tc>
        <w:tc>
          <w:tcPr>
            <w:tcW w:w="270" w:type="dxa"/>
          </w:tcPr>
          <w:p w:rsidR="00282587" w:rsidRDefault="00282587" w:rsidP="00023778">
            <w:pPr>
              <w:jc w:val="center"/>
            </w:pPr>
          </w:p>
        </w:tc>
        <w:tc>
          <w:tcPr>
            <w:tcW w:w="4230" w:type="dxa"/>
            <w:tcBorders>
              <w:top w:val="single" w:sz="4" w:space="0" w:color="000000" w:themeColor="text1"/>
              <w:bottom w:val="single" w:sz="4" w:space="0" w:color="000000" w:themeColor="text1"/>
            </w:tcBorders>
          </w:tcPr>
          <w:p w:rsidR="00282587" w:rsidRDefault="00F95281" w:rsidP="00023778">
            <w:pPr>
              <w:jc w:val="center"/>
            </w:pPr>
            <w:r>
              <w:t>JOBSTART</w:t>
            </w:r>
          </w:p>
        </w:tc>
        <w:tc>
          <w:tcPr>
            <w:tcW w:w="3150" w:type="dxa"/>
            <w:tcBorders>
              <w:top w:val="single" w:sz="4" w:space="0" w:color="000000" w:themeColor="text1"/>
              <w:bottom w:val="single" w:sz="4" w:space="0" w:color="000000" w:themeColor="text1"/>
            </w:tcBorders>
          </w:tcPr>
          <w:p w:rsidR="00282587" w:rsidRPr="00AC30C4" w:rsidRDefault="00282587" w:rsidP="00023778">
            <w:pPr>
              <w:jc w:val="center"/>
            </w:pPr>
            <w:r>
              <w:t>Control</w:t>
            </w:r>
          </w:p>
        </w:tc>
      </w:tr>
      <w:tr w:rsidR="00282587" w:rsidTr="00E97BF3">
        <w:trPr>
          <w:trHeight w:val="467"/>
        </w:trPr>
        <w:tc>
          <w:tcPr>
            <w:tcW w:w="1368" w:type="dxa"/>
            <w:vAlign w:val="center"/>
          </w:tcPr>
          <w:p w:rsidR="00282587" w:rsidRPr="00AC30C4" w:rsidRDefault="00282587" w:rsidP="00E97BF3">
            <w:r>
              <w:t xml:space="preserve">Self-report </w:t>
            </w:r>
          </w:p>
        </w:tc>
        <w:tc>
          <w:tcPr>
            <w:tcW w:w="270" w:type="dxa"/>
            <w:vAlign w:val="center"/>
          </w:tcPr>
          <w:p w:rsidR="0082145B" w:rsidRDefault="0082145B"/>
        </w:tc>
        <w:tc>
          <w:tcPr>
            <w:tcW w:w="4230" w:type="dxa"/>
            <w:tcBorders>
              <w:top w:val="single" w:sz="4" w:space="0" w:color="000000" w:themeColor="text1"/>
            </w:tcBorders>
            <w:vAlign w:val="center"/>
          </w:tcPr>
          <w:p w:rsidR="0082145B" w:rsidRDefault="00911D8E">
            <w:r>
              <w:t>42%</w:t>
            </w:r>
          </w:p>
        </w:tc>
        <w:tc>
          <w:tcPr>
            <w:tcW w:w="3150" w:type="dxa"/>
            <w:tcBorders>
              <w:top w:val="single" w:sz="4" w:space="0" w:color="000000" w:themeColor="text1"/>
            </w:tcBorders>
            <w:vAlign w:val="center"/>
          </w:tcPr>
          <w:p w:rsidR="0082145B" w:rsidRDefault="00911D8E">
            <w:r>
              <w:t>28.6%</w:t>
            </w:r>
          </w:p>
        </w:tc>
      </w:tr>
    </w:tbl>
    <w:p w:rsidR="0082145B" w:rsidRDefault="006B543B">
      <w:pPr>
        <w:spacing w:before="100" w:after="400" w:line="240" w:lineRule="auto"/>
        <w:rPr>
          <w:sz w:val="20"/>
          <w:szCs w:val="20"/>
        </w:rPr>
      </w:pPr>
      <w:r w:rsidRPr="006B543B">
        <w:rPr>
          <w:i/>
          <w:sz w:val="20"/>
          <w:szCs w:val="20"/>
        </w:rPr>
        <w:t>Source</w:t>
      </w:r>
      <w:r w:rsidRPr="006B543B">
        <w:rPr>
          <w:sz w:val="20"/>
          <w:szCs w:val="20"/>
        </w:rPr>
        <w:t>: What Works Clearinghouse (n.d.).</w:t>
      </w:r>
    </w:p>
    <w:p w:rsidR="0082145B" w:rsidRDefault="00AB5928">
      <w:pPr>
        <w:rPr>
          <w:color w:val="363636"/>
        </w:rPr>
      </w:pPr>
      <w:r>
        <w:t>In collaboration with Communities in Schools (Hammond, Linton, Smink</w:t>
      </w:r>
      <w:r w:rsidR="00DE05A6">
        <w:t>,</w:t>
      </w:r>
      <w:r>
        <w:t xml:space="preserve"> &amp; Drew, 2007), the NDPC/N identified 37 recovery/reentry programs </w:t>
      </w:r>
      <w:r w:rsidRPr="00D00115">
        <w:t>with strong evidence of effectiveness</w:t>
      </w:r>
      <w:r>
        <w:t xml:space="preserve">. The NDPC/N defines strong evidence of effectiveness as </w:t>
      </w:r>
      <w:r w:rsidRPr="00D00115">
        <w:t>me</w:t>
      </w:r>
      <w:r>
        <w:t>eting the following criteria: the</w:t>
      </w:r>
      <w:r w:rsidRPr="00D00115">
        <w:t xml:space="preserve"> program </w:t>
      </w:r>
      <w:r w:rsidRPr="00286A1B">
        <w:t xml:space="preserve">has been in existence for three years or more, </w:t>
      </w:r>
      <w:r w:rsidR="00DE05A6">
        <w:t xml:space="preserve">and </w:t>
      </w:r>
      <w:r w:rsidRPr="00286A1B">
        <w:t>was “evaluated using an experimental design conducted by an external evaluation team, and has strong empirical evidence demonstrating program effectiveness in reducing dropout and/or increasing graduation rates and/or having significant impact on dropout-related risk factors” (</w:t>
      </w:r>
      <w:r>
        <w:t>Model Program Rating System, criteria for strong evidence of effectiveness).</w:t>
      </w:r>
      <w:r w:rsidRPr="00286A1B">
        <w:t xml:space="preserve"> These 37 programs can be identified at the NDPC/N website by using the model program search function </w:t>
      </w:r>
      <w:r w:rsidR="00DE05A6" w:rsidRPr="00286A1B">
        <w:t>at</w:t>
      </w:r>
      <w:r w:rsidR="00DE05A6">
        <w:rPr>
          <w:color w:val="363636"/>
        </w:rPr>
        <w:t xml:space="preserve"> </w:t>
      </w:r>
      <w:hyperlink r:id="rId20" w:history="1">
        <w:r w:rsidR="00DE05A6" w:rsidRPr="001A026B">
          <w:rPr>
            <w:rStyle w:val="Hyperlink"/>
          </w:rPr>
          <w:t>http://www.dropoutprevention.org/modelprograms/search-database</w:t>
        </w:r>
      </w:hyperlink>
      <w:r w:rsidR="00DE05A6">
        <w:t xml:space="preserve"> </w:t>
      </w:r>
      <w:r w:rsidRPr="00286A1B">
        <w:t>and selecting “</w:t>
      </w:r>
      <w:r w:rsidR="00DE05A6">
        <w:t>S</w:t>
      </w:r>
      <w:r w:rsidR="00DE05A6" w:rsidRPr="00286A1B">
        <w:t xml:space="preserve">trong </w:t>
      </w:r>
      <w:r w:rsidR="00DE05A6">
        <w:t>E</w:t>
      </w:r>
      <w:r w:rsidR="00DE05A6" w:rsidRPr="00286A1B">
        <w:t>vidence</w:t>
      </w:r>
      <w:r w:rsidRPr="00286A1B">
        <w:t>” for Rating and “</w:t>
      </w:r>
      <w:r w:rsidR="00DE05A6">
        <w:t>R</w:t>
      </w:r>
      <w:r w:rsidR="00DE05A6" w:rsidRPr="00286A1B">
        <w:t>ecovery</w:t>
      </w:r>
      <w:r w:rsidRPr="00286A1B">
        <w:t>/</w:t>
      </w:r>
      <w:r w:rsidR="00DE05A6">
        <w:t>R</w:t>
      </w:r>
      <w:r w:rsidR="00DE05A6" w:rsidRPr="00286A1B">
        <w:t>eentry</w:t>
      </w:r>
      <w:r w:rsidRPr="00286A1B">
        <w:t>” for Emphasis of Program</w:t>
      </w:r>
      <w:r>
        <w:rPr>
          <w:color w:val="363636"/>
        </w:rPr>
        <w:t xml:space="preserve">. </w:t>
      </w:r>
    </w:p>
    <w:p w:rsidR="009A4882" w:rsidRDefault="009A4882" w:rsidP="009A4882">
      <w:pPr>
        <w:pStyle w:val="Heading3"/>
      </w:pPr>
      <w:r>
        <w:t>Job Corps</w:t>
      </w:r>
    </w:p>
    <w:p w:rsidR="00D57212" w:rsidRDefault="00E03BA8">
      <w:r>
        <w:t>Job Corps is a residential</w:t>
      </w:r>
      <w:r w:rsidR="00497A52">
        <w:t>,</w:t>
      </w:r>
      <w:r>
        <w:t xml:space="preserve"> federally funded program for economically disadvantaged youth offering remedial </w:t>
      </w:r>
      <w:r w:rsidR="00D77E0D">
        <w:t>education,</w:t>
      </w:r>
      <w:r>
        <w:t xml:space="preserve"> GED preparation, job training</w:t>
      </w:r>
      <w:r w:rsidR="00497A52">
        <w:t>,</w:t>
      </w:r>
      <w:r>
        <w:t xml:space="preserve"> and job placement assistance (WWC Job Corps Intervention Report, </w:t>
      </w:r>
      <w:r w:rsidR="008E2E14">
        <w:t>n.d.</w:t>
      </w:r>
      <w:r>
        <w:t>).</w:t>
      </w:r>
      <w:r w:rsidR="007B1671">
        <w:t xml:space="preserve"> </w:t>
      </w:r>
      <w:r w:rsidR="00497A52">
        <w:t>By approximately 10 percentage points, m</w:t>
      </w:r>
      <w:r w:rsidR="007B1671">
        <w:t>ore Job Corps participants earn a high school diploma or GED than control group participants (see Table 1</w:t>
      </w:r>
      <w:r w:rsidR="00B14181">
        <w:t>0</w:t>
      </w:r>
      <w:r w:rsidR="007B1671">
        <w:t>).</w:t>
      </w:r>
    </w:p>
    <w:p w:rsidR="00D57212" w:rsidRDefault="00D57212">
      <w:r>
        <w:br w:type="page"/>
      </w:r>
    </w:p>
    <w:p w:rsidR="0082145B" w:rsidRDefault="0082145B"/>
    <w:p w:rsidR="0082145B" w:rsidRDefault="00EC4882">
      <w:pPr>
        <w:spacing w:after="100" w:line="240" w:lineRule="auto"/>
        <w:rPr>
          <w:b/>
        </w:rPr>
      </w:pPr>
      <w:r w:rsidRPr="004B0A26">
        <w:rPr>
          <w:b/>
        </w:rPr>
        <w:t xml:space="preserve">Table </w:t>
      </w:r>
      <w:r>
        <w:rPr>
          <w:b/>
        </w:rPr>
        <w:t>1</w:t>
      </w:r>
      <w:r w:rsidR="00B14181">
        <w:rPr>
          <w:b/>
        </w:rPr>
        <w:t>0</w:t>
      </w:r>
      <w:r w:rsidRPr="004B0A26">
        <w:rPr>
          <w:b/>
        </w:rPr>
        <w:t>.</w:t>
      </w:r>
      <w:r>
        <w:rPr>
          <w:b/>
        </w:rPr>
        <w:t xml:space="preserve"> </w:t>
      </w:r>
      <w:r w:rsidRPr="004B0A26">
        <w:rPr>
          <w:b/>
        </w:rPr>
        <w:t xml:space="preserve">Comparative School Completion Rates for </w:t>
      </w:r>
      <w:r>
        <w:rPr>
          <w:b/>
        </w:rPr>
        <w:t>Job Corps</w:t>
      </w:r>
      <w:r w:rsidRPr="004B0A26">
        <w:rPr>
          <w:b/>
        </w:rPr>
        <w:t xml:space="preserve"> and Control Group</w:t>
      </w:r>
    </w:p>
    <w:tbl>
      <w:tblPr>
        <w:tblStyle w:val="TableGrid"/>
        <w:tblW w:w="9198" w:type="dxa"/>
        <w:tblBorders>
          <w:left w:val="none" w:sz="0" w:space="0" w:color="auto"/>
          <w:right w:val="none" w:sz="0" w:space="0" w:color="auto"/>
          <w:insideH w:val="none" w:sz="0" w:space="0" w:color="auto"/>
          <w:insideV w:val="none" w:sz="0" w:space="0" w:color="auto"/>
        </w:tblBorders>
        <w:tblLayout w:type="fixed"/>
        <w:tblLook w:val="04A0"/>
      </w:tblPr>
      <w:tblGrid>
        <w:gridCol w:w="1548"/>
        <w:gridCol w:w="270"/>
        <w:gridCol w:w="4230"/>
        <w:gridCol w:w="3150"/>
      </w:tblGrid>
      <w:tr w:rsidR="00EC4882" w:rsidTr="003D1013">
        <w:trPr>
          <w:trHeight w:val="863"/>
        </w:trPr>
        <w:tc>
          <w:tcPr>
            <w:tcW w:w="1548" w:type="dxa"/>
          </w:tcPr>
          <w:p w:rsidR="0082145B" w:rsidRDefault="0082145B">
            <w:pPr>
              <w:tabs>
                <w:tab w:val="left" w:pos="1150"/>
                <w:tab w:val="left" w:pos="1440"/>
              </w:tabs>
              <w:rPr>
                <w:b/>
              </w:rPr>
            </w:pPr>
          </w:p>
        </w:tc>
        <w:tc>
          <w:tcPr>
            <w:tcW w:w="270" w:type="dxa"/>
          </w:tcPr>
          <w:p w:rsidR="0082145B" w:rsidRDefault="0082145B">
            <w:pPr>
              <w:tabs>
                <w:tab w:val="left" w:pos="1150"/>
                <w:tab w:val="left" w:pos="1440"/>
              </w:tabs>
              <w:jc w:val="center"/>
              <w:rPr>
                <w:b/>
              </w:rPr>
            </w:pPr>
          </w:p>
        </w:tc>
        <w:tc>
          <w:tcPr>
            <w:tcW w:w="7380" w:type="dxa"/>
            <w:gridSpan w:val="2"/>
            <w:tcBorders>
              <w:top w:val="single" w:sz="4" w:space="0" w:color="000000" w:themeColor="text1"/>
              <w:bottom w:val="single" w:sz="4" w:space="0" w:color="000000" w:themeColor="text1"/>
            </w:tcBorders>
          </w:tcPr>
          <w:p w:rsidR="0082145B" w:rsidRDefault="00EC4882">
            <w:pPr>
              <w:tabs>
                <w:tab w:val="left" w:pos="1150"/>
                <w:tab w:val="left" w:pos="1440"/>
              </w:tabs>
              <w:jc w:val="center"/>
              <w:rPr>
                <w:b/>
              </w:rPr>
            </w:pPr>
            <w:r>
              <w:rPr>
                <w:b/>
              </w:rPr>
              <w:t xml:space="preserve">School Completion </w:t>
            </w:r>
          </w:p>
          <w:p w:rsidR="0082145B" w:rsidRDefault="00EC4882">
            <w:pPr>
              <w:tabs>
                <w:tab w:val="left" w:pos="1150"/>
                <w:tab w:val="left" w:pos="1440"/>
              </w:tabs>
              <w:jc w:val="center"/>
              <w:rPr>
                <w:b/>
              </w:rPr>
            </w:pPr>
            <w:r>
              <w:rPr>
                <w:b/>
              </w:rPr>
              <w:t>(Percentage who Earned a High School Diploma or a GED within 48 months of the beginning of program participation)</w:t>
            </w:r>
          </w:p>
        </w:tc>
      </w:tr>
      <w:tr w:rsidR="00EC4882" w:rsidTr="003D1013">
        <w:tc>
          <w:tcPr>
            <w:tcW w:w="1548" w:type="dxa"/>
          </w:tcPr>
          <w:p w:rsidR="0082145B" w:rsidRDefault="0082145B">
            <w:pPr>
              <w:tabs>
                <w:tab w:val="left" w:pos="1150"/>
                <w:tab w:val="left" w:pos="1440"/>
              </w:tabs>
            </w:pPr>
          </w:p>
        </w:tc>
        <w:tc>
          <w:tcPr>
            <w:tcW w:w="270" w:type="dxa"/>
          </w:tcPr>
          <w:p w:rsidR="0082145B" w:rsidRDefault="0082145B">
            <w:pPr>
              <w:tabs>
                <w:tab w:val="left" w:pos="1150"/>
                <w:tab w:val="left" w:pos="1440"/>
              </w:tabs>
              <w:jc w:val="center"/>
            </w:pPr>
          </w:p>
        </w:tc>
        <w:tc>
          <w:tcPr>
            <w:tcW w:w="4230" w:type="dxa"/>
            <w:tcBorders>
              <w:top w:val="single" w:sz="4" w:space="0" w:color="000000" w:themeColor="text1"/>
              <w:bottom w:val="single" w:sz="4" w:space="0" w:color="000000" w:themeColor="text1"/>
            </w:tcBorders>
          </w:tcPr>
          <w:p w:rsidR="0082145B" w:rsidRDefault="00EC4882">
            <w:pPr>
              <w:tabs>
                <w:tab w:val="left" w:pos="1150"/>
                <w:tab w:val="left" w:pos="1440"/>
              </w:tabs>
              <w:jc w:val="center"/>
            </w:pPr>
            <w:r>
              <w:t>Job Corps</w:t>
            </w:r>
          </w:p>
        </w:tc>
        <w:tc>
          <w:tcPr>
            <w:tcW w:w="3150" w:type="dxa"/>
            <w:tcBorders>
              <w:top w:val="single" w:sz="4" w:space="0" w:color="000000" w:themeColor="text1"/>
              <w:bottom w:val="single" w:sz="4" w:space="0" w:color="000000" w:themeColor="text1"/>
            </w:tcBorders>
          </w:tcPr>
          <w:p w:rsidR="0082145B" w:rsidRDefault="00EC4882">
            <w:pPr>
              <w:tabs>
                <w:tab w:val="left" w:pos="1150"/>
                <w:tab w:val="left" w:pos="1440"/>
              </w:tabs>
              <w:jc w:val="center"/>
            </w:pPr>
            <w:r>
              <w:t>Control</w:t>
            </w:r>
          </w:p>
        </w:tc>
      </w:tr>
      <w:tr w:rsidR="00EC4882" w:rsidTr="003D1013">
        <w:trPr>
          <w:trHeight w:val="638"/>
        </w:trPr>
        <w:tc>
          <w:tcPr>
            <w:tcW w:w="1548" w:type="dxa"/>
          </w:tcPr>
          <w:p w:rsidR="0082145B" w:rsidRDefault="00EC4882">
            <w:pPr>
              <w:tabs>
                <w:tab w:val="left" w:pos="1150"/>
                <w:tab w:val="left" w:pos="1440"/>
              </w:tabs>
            </w:pPr>
            <w:r>
              <w:t>Self-report</w:t>
            </w:r>
            <w:r w:rsidR="003D1013">
              <w:t xml:space="preserve"> </w:t>
            </w:r>
            <w:r>
              <w:t>all participants</w:t>
            </w:r>
          </w:p>
        </w:tc>
        <w:tc>
          <w:tcPr>
            <w:tcW w:w="270" w:type="dxa"/>
          </w:tcPr>
          <w:p w:rsidR="0082145B" w:rsidRDefault="0082145B">
            <w:pPr>
              <w:tabs>
                <w:tab w:val="left" w:pos="1150"/>
                <w:tab w:val="left" w:pos="1440"/>
              </w:tabs>
              <w:jc w:val="center"/>
            </w:pPr>
          </w:p>
        </w:tc>
        <w:tc>
          <w:tcPr>
            <w:tcW w:w="4230" w:type="dxa"/>
            <w:tcBorders>
              <w:top w:val="single" w:sz="4" w:space="0" w:color="000000" w:themeColor="text1"/>
              <w:bottom w:val="single" w:sz="4" w:space="0" w:color="000000" w:themeColor="text1"/>
            </w:tcBorders>
            <w:vAlign w:val="center"/>
          </w:tcPr>
          <w:p w:rsidR="0082145B" w:rsidRDefault="00EB66BB">
            <w:pPr>
              <w:tabs>
                <w:tab w:val="left" w:pos="1150"/>
                <w:tab w:val="left" w:pos="1440"/>
              </w:tabs>
              <w:jc w:val="center"/>
            </w:pPr>
            <w:r>
              <w:t>47.3</w:t>
            </w:r>
            <w:r w:rsidR="00EC4882">
              <w:t>%</w:t>
            </w:r>
          </w:p>
        </w:tc>
        <w:tc>
          <w:tcPr>
            <w:tcW w:w="3150" w:type="dxa"/>
            <w:tcBorders>
              <w:top w:val="single" w:sz="4" w:space="0" w:color="000000" w:themeColor="text1"/>
              <w:bottom w:val="single" w:sz="4" w:space="0" w:color="000000" w:themeColor="text1"/>
            </w:tcBorders>
            <w:vAlign w:val="center"/>
          </w:tcPr>
          <w:p w:rsidR="0082145B" w:rsidRDefault="00EB66BB">
            <w:pPr>
              <w:tabs>
                <w:tab w:val="left" w:pos="1150"/>
                <w:tab w:val="left" w:pos="1440"/>
              </w:tabs>
              <w:jc w:val="center"/>
            </w:pPr>
            <w:r>
              <w:t>34.4</w:t>
            </w:r>
            <w:r w:rsidR="00EC4882">
              <w:t>%</w:t>
            </w:r>
          </w:p>
        </w:tc>
      </w:tr>
      <w:tr w:rsidR="00EC4882" w:rsidTr="00C4257A">
        <w:trPr>
          <w:trHeight w:val="710"/>
        </w:trPr>
        <w:tc>
          <w:tcPr>
            <w:tcW w:w="1548" w:type="dxa"/>
          </w:tcPr>
          <w:p w:rsidR="0082145B" w:rsidRDefault="00EC4882">
            <w:pPr>
              <w:tabs>
                <w:tab w:val="left" w:pos="1150"/>
                <w:tab w:val="left" w:pos="1440"/>
              </w:tabs>
            </w:pPr>
            <w:r>
              <w:t>Self-report 16 to 17 year olds</w:t>
            </w:r>
          </w:p>
        </w:tc>
        <w:tc>
          <w:tcPr>
            <w:tcW w:w="270" w:type="dxa"/>
          </w:tcPr>
          <w:p w:rsidR="0082145B" w:rsidRDefault="0082145B">
            <w:pPr>
              <w:tabs>
                <w:tab w:val="left" w:pos="1150"/>
                <w:tab w:val="left" w:pos="1440"/>
              </w:tabs>
              <w:jc w:val="center"/>
            </w:pPr>
          </w:p>
        </w:tc>
        <w:tc>
          <w:tcPr>
            <w:tcW w:w="4230" w:type="dxa"/>
            <w:tcBorders>
              <w:top w:val="single" w:sz="4" w:space="0" w:color="000000" w:themeColor="text1"/>
              <w:bottom w:val="single" w:sz="4" w:space="0" w:color="000000" w:themeColor="text1"/>
            </w:tcBorders>
            <w:vAlign w:val="center"/>
          </w:tcPr>
          <w:p w:rsidR="0082145B" w:rsidRDefault="00EB66BB">
            <w:pPr>
              <w:tabs>
                <w:tab w:val="left" w:pos="1150"/>
                <w:tab w:val="left" w:pos="1440"/>
              </w:tabs>
              <w:jc w:val="center"/>
            </w:pPr>
            <w:r>
              <w:t>46.7</w:t>
            </w:r>
          </w:p>
        </w:tc>
        <w:tc>
          <w:tcPr>
            <w:tcW w:w="3150" w:type="dxa"/>
            <w:tcBorders>
              <w:top w:val="single" w:sz="4" w:space="0" w:color="000000" w:themeColor="text1"/>
              <w:bottom w:val="single" w:sz="4" w:space="0" w:color="000000" w:themeColor="text1"/>
            </w:tcBorders>
            <w:vAlign w:val="center"/>
          </w:tcPr>
          <w:p w:rsidR="0082145B" w:rsidRDefault="00EB66BB">
            <w:pPr>
              <w:tabs>
                <w:tab w:val="left" w:pos="1150"/>
                <w:tab w:val="left" w:pos="1440"/>
              </w:tabs>
              <w:jc w:val="center"/>
            </w:pPr>
            <w:r>
              <w:t>36.2</w:t>
            </w:r>
          </w:p>
        </w:tc>
      </w:tr>
      <w:tr w:rsidR="00EC4882" w:rsidTr="003D1013">
        <w:trPr>
          <w:trHeight w:val="620"/>
        </w:trPr>
        <w:tc>
          <w:tcPr>
            <w:tcW w:w="1548" w:type="dxa"/>
          </w:tcPr>
          <w:p w:rsidR="0082145B" w:rsidRDefault="00EC4882">
            <w:pPr>
              <w:tabs>
                <w:tab w:val="left" w:pos="1150"/>
                <w:tab w:val="left" w:pos="1440"/>
              </w:tabs>
            </w:pPr>
            <w:r>
              <w:t>Self-report 18 to 24 year olds</w:t>
            </w:r>
          </w:p>
        </w:tc>
        <w:tc>
          <w:tcPr>
            <w:tcW w:w="270" w:type="dxa"/>
          </w:tcPr>
          <w:p w:rsidR="0082145B" w:rsidRDefault="0082145B">
            <w:pPr>
              <w:tabs>
                <w:tab w:val="left" w:pos="1150"/>
                <w:tab w:val="left" w:pos="1440"/>
              </w:tabs>
              <w:jc w:val="center"/>
            </w:pPr>
          </w:p>
        </w:tc>
        <w:tc>
          <w:tcPr>
            <w:tcW w:w="4230" w:type="dxa"/>
            <w:tcBorders>
              <w:top w:val="single" w:sz="4" w:space="0" w:color="000000" w:themeColor="text1"/>
            </w:tcBorders>
            <w:vAlign w:val="center"/>
          </w:tcPr>
          <w:p w:rsidR="0082145B" w:rsidRDefault="00EB66BB">
            <w:pPr>
              <w:tabs>
                <w:tab w:val="left" w:pos="1150"/>
                <w:tab w:val="left" w:pos="1440"/>
              </w:tabs>
              <w:jc w:val="center"/>
            </w:pPr>
            <w:r>
              <w:t>47.9</w:t>
            </w:r>
          </w:p>
        </w:tc>
        <w:tc>
          <w:tcPr>
            <w:tcW w:w="3150" w:type="dxa"/>
            <w:tcBorders>
              <w:top w:val="single" w:sz="4" w:space="0" w:color="000000" w:themeColor="text1"/>
            </w:tcBorders>
            <w:vAlign w:val="center"/>
          </w:tcPr>
          <w:p w:rsidR="0082145B" w:rsidRDefault="00EB66BB">
            <w:pPr>
              <w:tabs>
                <w:tab w:val="left" w:pos="1150"/>
                <w:tab w:val="left" w:pos="1440"/>
              </w:tabs>
              <w:jc w:val="center"/>
            </w:pPr>
            <w:r>
              <w:t>32.3</w:t>
            </w:r>
          </w:p>
        </w:tc>
      </w:tr>
    </w:tbl>
    <w:p w:rsidR="0082145B" w:rsidRDefault="006B543B">
      <w:pPr>
        <w:spacing w:before="100" w:after="400" w:line="240" w:lineRule="auto"/>
        <w:rPr>
          <w:sz w:val="20"/>
          <w:szCs w:val="20"/>
        </w:rPr>
      </w:pPr>
      <w:r w:rsidRPr="006B543B">
        <w:rPr>
          <w:i/>
          <w:sz w:val="20"/>
          <w:szCs w:val="20"/>
        </w:rPr>
        <w:t>Source</w:t>
      </w:r>
      <w:r w:rsidRPr="006B543B">
        <w:rPr>
          <w:sz w:val="20"/>
          <w:szCs w:val="20"/>
        </w:rPr>
        <w:t>: What Works Clearinghouse Job Corps Intervention Report Appendix A3.2 and A4.1 (n.d.).</w:t>
      </w:r>
    </w:p>
    <w:p w:rsidR="00EC4882" w:rsidRDefault="0049281E" w:rsidP="00880E62">
      <w:pPr>
        <w:pStyle w:val="Heading3"/>
      </w:pPr>
      <w:r>
        <w:t>Discussion</w:t>
      </w:r>
    </w:p>
    <w:p w:rsidR="0049281E" w:rsidRPr="0049281E" w:rsidRDefault="007D6F32" w:rsidP="00880E62">
      <w:r>
        <w:t>Among the programs in the WWC Dropout Prevention topic review, t</w:t>
      </w:r>
      <w:r w:rsidR="00B51715">
        <w:t>hree Tier 3 programs were found to effectively help youth earn a high school diploma or a GED, including National Guard</w:t>
      </w:r>
      <w:r w:rsidR="00E26E3C">
        <w:t xml:space="preserve"> Youth Challenge program</w:t>
      </w:r>
      <w:r w:rsidR="00B51715">
        <w:t>, JOBSTART</w:t>
      </w:r>
      <w:r>
        <w:t>,</w:t>
      </w:r>
      <w:r w:rsidR="00B51715">
        <w:t xml:space="preserve"> and Job Corps. Between 40 and 48% of participants in these programs earned a high school diploma or a GED</w:t>
      </w:r>
      <w:r w:rsidR="00C4257A">
        <w:t>,</w:t>
      </w:r>
      <w:r w:rsidR="00E26E3C">
        <w:t xml:space="preserve"> which represented </w:t>
      </w:r>
      <w:r w:rsidR="00D87A19">
        <w:t xml:space="preserve">school completion </w:t>
      </w:r>
      <w:r w:rsidR="00B51715">
        <w:t xml:space="preserve">rates 10 to 26 percentage points greater than the rates for control groups. </w:t>
      </w:r>
      <w:r w:rsidR="0021628D">
        <w:t xml:space="preserve">Two of the programs (National Guard Youth </w:t>
      </w:r>
      <w:r w:rsidR="0083417A">
        <w:t>Challenge and</w:t>
      </w:r>
      <w:r w:rsidR="0021628D">
        <w:t xml:space="preserve"> Job Corps) are residential programs; JOBSTART is no longer in operation.</w:t>
      </w:r>
      <w:r w:rsidR="00215C99">
        <w:t xml:space="preserve"> While these results support the effectiveness of National Guard Youth Challenge and Job Corps, it is important to note that for both interventions</w:t>
      </w:r>
      <w:r w:rsidR="00940967">
        <w:t>,</w:t>
      </w:r>
      <w:r w:rsidR="00215C99">
        <w:t xml:space="preserve"> the extent of evidence from which the impact was derived was small (i.e., based on one study for the National Guard Youth Challenge and one study for the Job Corps evidence).</w:t>
      </w:r>
    </w:p>
    <w:p w:rsidR="0082145B" w:rsidRDefault="00EF44DC">
      <w:pPr>
        <w:pStyle w:val="Heading1"/>
        <w:spacing w:before="0" w:line="240" w:lineRule="auto"/>
      </w:pPr>
      <w:r>
        <w:t>Conclusions</w:t>
      </w:r>
    </w:p>
    <w:p w:rsidR="00CD2634" w:rsidRDefault="00040113" w:rsidP="00EF44DC">
      <w:r>
        <w:t>This report</w:t>
      </w:r>
      <w:r w:rsidR="00EF44DC">
        <w:t xml:space="preserve"> summarize</w:t>
      </w:r>
      <w:r>
        <w:t>s</w:t>
      </w:r>
      <w:r w:rsidR="00EF44DC">
        <w:t xml:space="preserve"> evidence on the effectiveness of dropout prevention and intervention strategies and programs. When available, we summarized evidence supporting the inference that a program or strategy caused improvements in student outcomes, including staying in school</w:t>
      </w:r>
      <w:r w:rsidR="005063B8">
        <w:t xml:space="preserve">, </w:t>
      </w:r>
      <w:r w:rsidR="00EF44DC">
        <w:t xml:space="preserve">making progress by grade promotion, passing courses, or accumulating credits toward high school graduation. </w:t>
      </w:r>
      <w:r w:rsidR="00184247">
        <w:t xml:space="preserve">Equally </w:t>
      </w:r>
      <w:r w:rsidR="00EF44DC">
        <w:t xml:space="preserve">important was whether a strategy or program helped </w:t>
      </w:r>
      <w:r>
        <w:t>students</w:t>
      </w:r>
      <w:r w:rsidR="005F06D1">
        <w:t xml:space="preserve"> </w:t>
      </w:r>
      <w:r w:rsidR="00EF44DC">
        <w:t>earn a high school diploma or a GED.</w:t>
      </w:r>
      <w:r w:rsidR="00CD2634">
        <w:t xml:space="preserve"> </w:t>
      </w:r>
    </w:p>
    <w:p w:rsidR="0082145B" w:rsidRDefault="00CD2634">
      <w:pPr>
        <w:rPr>
          <w:color w:val="363636"/>
        </w:rPr>
      </w:pPr>
      <w:r>
        <w:t>We found that effective general education programs</w:t>
      </w:r>
      <w:r w:rsidR="00184247">
        <w:t xml:space="preserve"> (Tier 1)</w:t>
      </w:r>
      <w:r>
        <w:t xml:space="preserve"> start early in a student’s academic career. </w:t>
      </w:r>
      <w:r w:rsidR="00BE2A20">
        <w:t xml:space="preserve">For economically disadvantaged youth, participation in preschool improves the likelihood of completing </w:t>
      </w:r>
      <w:r w:rsidR="00A61FCE">
        <w:lastRenderedPageBreak/>
        <w:t>high school (Camilli</w:t>
      </w:r>
      <w:r w:rsidR="00F941CE">
        <w:t xml:space="preserve"> Vargas, Ryan, &amp; Barnett, 2010)</w:t>
      </w:r>
      <w:r w:rsidR="00BE2A20">
        <w:t xml:space="preserve">. </w:t>
      </w:r>
      <w:r w:rsidR="00040113">
        <w:t xml:space="preserve">For all grade levels, </w:t>
      </w:r>
      <w:r w:rsidR="006F01B3">
        <w:t xml:space="preserve">rigorous, relevant instruction is recommended as a critical component of dropout prevention (Dynarski et al., 2008). </w:t>
      </w:r>
      <w:r w:rsidR="00827570">
        <w:t>We also found effective targeted programs</w:t>
      </w:r>
      <w:r w:rsidR="00184247">
        <w:t xml:space="preserve"> (Tier 2)</w:t>
      </w:r>
      <w:r w:rsidR="00827570">
        <w:t xml:space="preserve">, </w:t>
      </w:r>
      <w:r w:rsidR="00040113">
        <w:t xml:space="preserve">which </w:t>
      </w:r>
      <w:r w:rsidR="00827570">
        <w:t>focus</w:t>
      </w:r>
      <w:r w:rsidR="00040113">
        <w:t>ed</w:t>
      </w:r>
      <w:r w:rsidR="00827570">
        <w:t xml:space="preserve"> on addressing academic skill gaps</w:t>
      </w:r>
      <w:r w:rsidR="00585959">
        <w:t>, catching</w:t>
      </w:r>
      <w:r w:rsidR="00827570">
        <w:t xml:space="preserve"> </w:t>
      </w:r>
      <w:r w:rsidR="004B29D7">
        <w:t xml:space="preserve">up </w:t>
      </w:r>
      <w:r w:rsidR="00827570">
        <w:t>students to grade</w:t>
      </w:r>
      <w:r w:rsidR="00040113">
        <w:t>-</w:t>
      </w:r>
      <w:r w:rsidR="00827570">
        <w:t>level expectations</w:t>
      </w:r>
      <w:r w:rsidR="00AF1865">
        <w:t>, and individual</w:t>
      </w:r>
      <w:r w:rsidR="003B57C1">
        <w:t>iz</w:t>
      </w:r>
      <w:r w:rsidR="00585959">
        <w:t>ing</w:t>
      </w:r>
      <w:r w:rsidR="00AF1865">
        <w:t xml:space="preserve"> supports t</w:t>
      </w:r>
      <w:r w:rsidR="003B57C1">
        <w:t>o</w:t>
      </w:r>
      <w:r w:rsidR="00AF1865">
        <w:t xml:space="preserve"> facilitate school engagement</w:t>
      </w:r>
      <w:r w:rsidR="00827570">
        <w:t xml:space="preserve">. In particular, </w:t>
      </w:r>
      <w:r w:rsidR="007A0747">
        <w:t xml:space="preserve">ALAS, </w:t>
      </w:r>
      <w:r w:rsidR="00827570">
        <w:t>Accelerated Middle Schools</w:t>
      </w:r>
      <w:r w:rsidR="00040113">
        <w:t xml:space="preserve">, </w:t>
      </w:r>
      <w:r w:rsidR="007A0747">
        <w:t>and Check &amp; Connect</w:t>
      </w:r>
      <w:r w:rsidR="003B57C1">
        <w:t xml:space="preserve"> </w:t>
      </w:r>
      <w:r w:rsidR="00040113">
        <w:t>showed evidence of effectiveness</w:t>
      </w:r>
      <w:r w:rsidR="00645B37">
        <w:t xml:space="preserve"> </w:t>
      </w:r>
      <w:r w:rsidR="003F5362">
        <w:t>(</w:t>
      </w:r>
      <w:r w:rsidR="00DA1F70">
        <w:t>WWC’s Dropout Prevention Topic</w:t>
      </w:r>
      <w:r w:rsidR="003F5362">
        <w:t xml:space="preserve">, </w:t>
      </w:r>
      <w:r w:rsidR="008E2E14">
        <w:t>n.d.</w:t>
      </w:r>
      <w:r w:rsidR="003F5362">
        <w:t>)</w:t>
      </w:r>
      <w:r w:rsidR="00827570">
        <w:t xml:space="preserve">. </w:t>
      </w:r>
      <w:r w:rsidR="00751CDD">
        <w:t>Among recovery/reentry programs</w:t>
      </w:r>
      <w:r w:rsidR="00184247">
        <w:t xml:space="preserve"> (Tier 3)</w:t>
      </w:r>
      <w:r w:rsidR="00751CDD">
        <w:t xml:space="preserve">, we found two programs with rigorous evidence of effectiveness: </w:t>
      </w:r>
      <w:r w:rsidR="004B29D7">
        <w:t xml:space="preserve">the </w:t>
      </w:r>
      <w:r w:rsidR="00286A1B" w:rsidRPr="00286A1B">
        <w:t xml:space="preserve">National Guard Youth ChallenNGe Program and </w:t>
      </w:r>
      <w:r w:rsidR="007A0747">
        <w:t>JOBSTART</w:t>
      </w:r>
      <w:r w:rsidR="009404CB">
        <w:t xml:space="preserve">. </w:t>
      </w:r>
      <w:r w:rsidR="00286A1B" w:rsidRPr="00286A1B">
        <w:t xml:space="preserve">Participants in both </w:t>
      </w:r>
      <w:r w:rsidR="00B97F42">
        <w:t xml:space="preserve">of </w:t>
      </w:r>
      <w:r w:rsidR="00286A1B" w:rsidRPr="00286A1B">
        <w:t>these programs were significantly more likely to earn a high school diploma or GED than non-participants</w:t>
      </w:r>
      <w:r w:rsidR="009404CB">
        <w:t xml:space="preserve"> (WWC’s JOBSTART Intervention Report and Appendices, n.d., WWC’s National Guard YouthChalleNGe Intervention Report and Appendices, n.d.)</w:t>
      </w:r>
      <w:r w:rsidR="00286A1B" w:rsidRPr="00286A1B">
        <w:t>.</w:t>
      </w:r>
    </w:p>
    <w:p w:rsidR="0082145B" w:rsidRDefault="008D7A1C">
      <w:pPr>
        <w:rPr>
          <w:rFonts w:asciiTheme="majorHAnsi" w:eastAsiaTheme="majorEastAsia" w:hAnsiTheme="majorHAnsi" w:cstheme="majorBidi"/>
          <w:b/>
          <w:bCs/>
          <w:color w:val="365F91" w:themeColor="accent1" w:themeShade="BF"/>
          <w:sz w:val="28"/>
          <w:szCs w:val="28"/>
        </w:rPr>
      </w:pPr>
      <w:r>
        <w:t xml:space="preserve">The present report provides limited descriptions of each program. We recommend that school and district leadership or teams review full descriptions of programs to ascertain if they address their students’ needs. </w:t>
      </w:r>
      <w:r w:rsidR="00DC39A4">
        <w:t xml:space="preserve">The present results </w:t>
      </w:r>
      <w:r>
        <w:t xml:space="preserve">also </w:t>
      </w:r>
      <w:r w:rsidR="00DC39A4">
        <w:t xml:space="preserve">are limited to available evidence. </w:t>
      </w:r>
      <w:r w:rsidR="009D3904">
        <w:t xml:space="preserve">We recommend that school </w:t>
      </w:r>
      <w:r w:rsidR="00F604E8">
        <w:t xml:space="preserve">and </w:t>
      </w:r>
      <w:r w:rsidR="009D3904">
        <w:t>district leadership monitor intended outcomes</w:t>
      </w:r>
      <w:r w:rsidR="00F604E8">
        <w:t xml:space="preserve"> and implementation</w:t>
      </w:r>
      <w:r w:rsidR="009D3904">
        <w:t xml:space="preserve"> in order to detect </w:t>
      </w:r>
      <w:r w:rsidR="004B29D7">
        <w:t xml:space="preserve">and address </w:t>
      </w:r>
      <w:r w:rsidR="009D3904">
        <w:t>the need for</w:t>
      </w:r>
      <w:r w:rsidR="004B29D7">
        <w:t xml:space="preserve"> </w:t>
      </w:r>
      <w:r w:rsidR="009D3904">
        <w:t>adjustments</w:t>
      </w:r>
      <w:r w:rsidR="00290993">
        <w:t xml:space="preserve"> to the adopted s</w:t>
      </w:r>
      <w:r w:rsidR="00D46CD3">
        <w:t>trategies and programs</w:t>
      </w:r>
      <w:r w:rsidR="00290993">
        <w:t xml:space="preserve">. </w:t>
      </w:r>
      <w:r w:rsidR="00493E4A">
        <w:br w:type="page"/>
      </w:r>
    </w:p>
    <w:p w:rsidR="006F14C2" w:rsidRDefault="00AB7204" w:rsidP="00493E4A">
      <w:pPr>
        <w:pStyle w:val="Heading1"/>
      </w:pPr>
      <w:r>
        <w:lastRenderedPageBreak/>
        <w:t>References</w:t>
      </w:r>
    </w:p>
    <w:p w:rsidR="0082145B" w:rsidRDefault="00F44044">
      <w:pPr>
        <w:spacing w:after="0" w:line="276" w:lineRule="auto"/>
        <w:ind w:left="720" w:hanging="720"/>
      </w:pPr>
      <w:r w:rsidRPr="000D2580">
        <w:t>Allensworth, E.</w:t>
      </w:r>
      <w:r w:rsidR="00ED3673">
        <w:t xml:space="preserve"> </w:t>
      </w:r>
      <w:r w:rsidRPr="000D2580">
        <w:t>M., &amp; Easton, J.</w:t>
      </w:r>
      <w:r w:rsidR="00ED3673">
        <w:t xml:space="preserve"> </w:t>
      </w:r>
      <w:r w:rsidRPr="000D2580">
        <w:t xml:space="preserve">Q. (2007). </w:t>
      </w:r>
      <w:r w:rsidRPr="000D2580">
        <w:rPr>
          <w:i/>
        </w:rPr>
        <w:t>What matters for staying on-track and graduating in Chicago public high schools: A close look at course grades, failures, and attendance in the freshman year.</w:t>
      </w:r>
      <w:r w:rsidRPr="000D2580">
        <w:t xml:space="preserve"> Chicago, IL: University of Chicago, Consortium on Chicago School Research. </w:t>
      </w:r>
    </w:p>
    <w:p w:rsidR="0082145B" w:rsidRDefault="0082145B">
      <w:pPr>
        <w:spacing w:after="0" w:line="276" w:lineRule="auto"/>
        <w:ind w:left="720" w:hanging="720"/>
      </w:pPr>
    </w:p>
    <w:p w:rsidR="0082145B" w:rsidRDefault="002233C2">
      <w:pPr>
        <w:spacing w:line="276" w:lineRule="auto"/>
        <w:ind w:left="720" w:hanging="720"/>
      </w:pPr>
      <w:r>
        <w:t xml:space="preserve">Belfield, C. &amp; Levin, H. (2007). </w:t>
      </w:r>
      <w:r w:rsidR="006A6F74">
        <w:t>The return on investment for improving California’s high school graduation rate (California Dropout Research Project Report #2).</w:t>
      </w:r>
      <w:r>
        <w:t xml:space="preserve"> </w:t>
      </w:r>
      <w:r w:rsidR="00BD47AC">
        <w:t xml:space="preserve">Retrieved November 8, 2011 from </w:t>
      </w:r>
      <w:hyperlink r:id="rId21" w:history="1">
        <w:r w:rsidR="00BD47AC" w:rsidRPr="00BB16F5">
          <w:rPr>
            <w:rStyle w:val="Hyperlink"/>
          </w:rPr>
          <w:t>http://cdrp.ucsb.edu/pubs_reports.htm</w:t>
        </w:r>
      </w:hyperlink>
      <w:r w:rsidR="00BD47AC">
        <w:t xml:space="preserve"> </w:t>
      </w:r>
    </w:p>
    <w:p w:rsidR="0082145B" w:rsidRDefault="00A61FCE">
      <w:pPr>
        <w:spacing w:line="276" w:lineRule="auto"/>
        <w:ind w:left="720" w:hanging="720"/>
      </w:pPr>
      <w:r>
        <w:t xml:space="preserve">Camilli, G., Vargas, S., Ryan, S., &amp; Barnett, W. S. (2010). Meta-analysis of the effects of early education interventions on cognitive and social development. </w:t>
      </w:r>
      <w:r>
        <w:rPr>
          <w:i/>
        </w:rPr>
        <w:t>Teachers College Record, 112</w:t>
      </w:r>
      <w:r>
        <w:t>(3), 579</w:t>
      </w:r>
      <w:r w:rsidR="00ED3673">
        <w:t>–</w:t>
      </w:r>
      <w:r>
        <w:t>670.</w:t>
      </w:r>
    </w:p>
    <w:p w:rsidR="0082145B" w:rsidRDefault="00AB7204">
      <w:pPr>
        <w:spacing w:line="276" w:lineRule="auto"/>
        <w:ind w:left="720" w:hanging="720"/>
      </w:pPr>
      <w:r>
        <w:t xml:space="preserve">Colorado Department of Education, </w:t>
      </w:r>
      <w:r w:rsidR="008E2E14">
        <w:t>n.d.</w:t>
      </w:r>
      <w:r>
        <w:t xml:space="preserve"> </w:t>
      </w:r>
      <w:r>
        <w:rPr>
          <w:i/>
        </w:rPr>
        <w:t xml:space="preserve">Colorado Multi-tiered model of instruction and intervention. </w:t>
      </w:r>
      <w:r w:rsidRPr="006F1D8D">
        <w:t xml:space="preserve">Retrieved October 25, 2011 from </w:t>
      </w:r>
      <w:hyperlink r:id="rId22" w:history="1">
        <w:r w:rsidRPr="006F1D8D">
          <w:rPr>
            <w:rStyle w:val="Hyperlink"/>
          </w:rPr>
          <w:t>http://www.cde.state.co.us/RtI/images/RtITriangle.png</w:t>
        </w:r>
      </w:hyperlink>
    </w:p>
    <w:p w:rsidR="0082145B" w:rsidRDefault="00797A8B">
      <w:pPr>
        <w:autoSpaceDE w:val="0"/>
        <w:autoSpaceDN w:val="0"/>
        <w:adjustRightInd w:val="0"/>
        <w:spacing w:line="276" w:lineRule="auto"/>
        <w:ind w:left="720" w:hanging="720"/>
        <w:rPr>
          <w:rFonts w:cs="LucidaStd"/>
        </w:rPr>
      </w:pPr>
      <w:r w:rsidRPr="006F1D8D">
        <w:rPr>
          <w:rFonts w:cs="LucidaStd"/>
        </w:rPr>
        <w:t xml:space="preserve">Dynarski, M., Clarke, L., Cobb, B., Finn, J., Rumberger, R., and Smink, J. (2008). </w:t>
      </w:r>
      <w:r w:rsidRPr="006F1D8D">
        <w:rPr>
          <w:rFonts w:cs="LucidaStd-Italic"/>
          <w:i/>
          <w:iCs/>
        </w:rPr>
        <w:t>Dropout</w:t>
      </w:r>
      <w:r w:rsidR="00ED3673">
        <w:rPr>
          <w:rFonts w:cs="LucidaStd-Italic"/>
          <w:i/>
          <w:iCs/>
        </w:rPr>
        <w:t xml:space="preserve"> </w:t>
      </w:r>
      <w:r w:rsidRPr="006F1D8D">
        <w:rPr>
          <w:rFonts w:cs="LucidaStd-Italic"/>
          <w:i/>
          <w:iCs/>
        </w:rPr>
        <w:t xml:space="preserve">Prevention: A Practice Guide </w:t>
      </w:r>
      <w:r w:rsidRPr="006F1D8D">
        <w:rPr>
          <w:rFonts w:cs="LucidaStd"/>
        </w:rPr>
        <w:t>(NCEE 2008–4025). Washington, DC: National Center for</w:t>
      </w:r>
      <w:r w:rsidR="00ED3673">
        <w:rPr>
          <w:rFonts w:cs="LucidaStd"/>
        </w:rPr>
        <w:t xml:space="preserve"> </w:t>
      </w:r>
      <w:r w:rsidRPr="006F1D8D">
        <w:rPr>
          <w:rFonts w:cs="LucidaStd"/>
        </w:rPr>
        <w:t>Education Evaluation and Regional Assistance, Institute of Education Sciences, U.S.</w:t>
      </w:r>
      <w:r w:rsidR="00ED3673">
        <w:rPr>
          <w:rFonts w:cs="LucidaStd"/>
        </w:rPr>
        <w:t xml:space="preserve"> </w:t>
      </w:r>
      <w:r w:rsidRPr="006F1D8D">
        <w:rPr>
          <w:rFonts w:cs="LucidaStd"/>
        </w:rPr>
        <w:t xml:space="preserve">Department of Education. Retrieved from </w:t>
      </w:r>
      <w:hyperlink r:id="rId23" w:history="1">
        <w:r w:rsidRPr="006F1D8D">
          <w:rPr>
            <w:rStyle w:val="Hyperlink"/>
            <w:rFonts w:cs="LucidaStd"/>
          </w:rPr>
          <w:t>http://ies.ed.gov/ncee/wwc</w:t>
        </w:r>
      </w:hyperlink>
      <w:r w:rsidRPr="006F1D8D">
        <w:rPr>
          <w:rFonts w:cs="LucidaStd"/>
        </w:rPr>
        <w:t xml:space="preserve">. </w:t>
      </w:r>
    </w:p>
    <w:p w:rsidR="0082145B" w:rsidRDefault="008A4F78">
      <w:pPr>
        <w:spacing w:line="276" w:lineRule="auto"/>
        <w:ind w:left="720" w:hanging="720"/>
      </w:pPr>
      <w:r>
        <w:rPr>
          <w:rFonts w:cs="LucidaStd"/>
        </w:rPr>
        <w:t xml:space="preserve">Hammond, C., Linton, D., Smink, J., &amp; Drew, S. (2007). </w:t>
      </w:r>
      <w:r>
        <w:rPr>
          <w:rFonts w:cs="LucidaStd"/>
          <w:i/>
        </w:rPr>
        <w:t>Dropout Risk Factors and Exemplary Programs: A Technical Report.</w:t>
      </w:r>
      <w:r>
        <w:rPr>
          <w:rFonts w:cs="LucidaStd"/>
        </w:rPr>
        <w:t xml:space="preserve"> Clemson, SC: National Dropout Prevention Center/Network and Alexandria, VA: Communities In Schools, Inc.</w:t>
      </w:r>
    </w:p>
    <w:p w:rsidR="0082145B" w:rsidRDefault="006F63F1">
      <w:pPr>
        <w:spacing w:line="276" w:lineRule="auto"/>
        <w:ind w:left="720" w:hanging="720"/>
      </w:pPr>
      <w:r>
        <w:t>Levine, T. H. (2010). What research tells us about the impact and challenges of smaller learning communities.</w:t>
      </w:r>
      <w:r w:rsidR="006E64B2">
        <w:t xml:space="preserve"> </w:t>
      </w:r>
      <w:r>
        <w:rPr>
          <w:i/>
        </w:rPr>
        <w:t>Peabody Journal of Education, 85</w:t>
      </w:r>
      <w:r>
        <w:t>, 276</w:t>
      </w:r>
      <w:r w:rsidR="003F6559">
        <w:t>–</w:t>
      </w:r>
      <w:r>
        <w:t>289.</w:t>
      </w:r>
    </w:p>
    <w:p w:rsidR="0082145B" w:rsidRDefault="00B4736B">
      <w:pPr>
        <w:spacing w:line="276" w:lineRule="auto"/>
        <w:ind w:left="720" w:hanging="720"/>
      </w:pPr>
      <w:r>
        <w:t>Mac</w:t>
      </w:r>
      <w:r w:rsidR="006E64B2">
        <w:t xml:space="preserve"> </w:t>
      </w:r>
      <w:r>
        <w:t xml:space="preserve">Iver, M. A. and Mac Iver, D. J. (2009). </w:t>
      </w:r>
      <w:r>
        <w:rPr>
          <w:i/>
        </w:rPr>
        <w:t>Beyond the Indicators: An integrated school-level approach to dropout prevention.</w:t>
      </w:r>
      <w:r w:rsidR="00455328">
        <w:rPr>
          <w:i/>
        </w:rPr>
        <w:t xml:space="preserve"> </w:t>
      </w:r>
      <w:r w:rsidR="00455328" w:rsidRPr="00455328">
        <w:t>Arlington, VA: The George Washington University</w:t>
      </w:r>
      <w:r w:rsidR="00455328">
        <w:rPr>
          <w:i/>
        </w:rPr>
        <w:t xml:space="preserve"> </w:t>
      </w:r>
      <w:r w:rsidR="006B543B" w:rsidRPr="006B543B">
        <w:t>Mid</w:t>
      </w:r>
      <w:r>
        <w:t>-Atlantic Equity Center.</w:t>
      </w:r>
    </w:p>
    <w:p w:rsidR="0082145B" w:rsidRDefault="00894EB1">
      <w:pPr>
        <w:spacing w:line="276" w:lineRule="auto"/>
        <w:ind w:left="720" w:hanging="720"/>
      </w:pPr>
      <w:r>
        <w:t xml:space="preserve">National Dropout Prevention Center/Network (2010). </w:t>
      </w:r>
      <w:r w:rsidRPr="00894EB1">
        <w:rPr>
          <w:i/>
        </w:rPr>
        <w:t>The</w:t>
      </w:r>
      <w:r>
        <w:t xml:space="preserve"> </w:t>
      </w:r>
      <w:r w:rsidRPr="00894EB1">
        <w:rPr>
          <w:i/>
        </w:rPr>
        <w:t xml:space="preserve">15 Effective Strategies </w:t>
      </w:r>
      <w:r>
        <w:rPr>
          <w:i/>
        </w:rPr>
        <w:t>Defined</w:t>
      </w:r>
      <w:r>
        <w:t xml:space="preserve">. Retrieved November 17, 2012 from </w:t>
      </w:r>
      <w:hyperlink r:id="rId24" w:history="1">
        <w:r w:rsidRPr="00155586">
          <w:rPr>
            <w:rStyle w:val="Hyperlink"/>
          </w:rPr>
          <w:t>http://www.dropoutprevention.org/node/1043</w:t>
        </w:r>
      </w:hyperlink>
      <w:r>
        <w:t xml:space="preserve">  </w:t>
      </w:r>
    </w:p>
    <w:p w:rsidR="0082145B" w:rsidRDefault="00286A1B">
      <w:pPr>
        <w:spacing w:line="276" w:lineRule="auto"/>
        <w:ind w:left="720" w:hanging="720"/>
        <w:rPr>
          <w:rFonts w:ascii="Verdana" w:hAnsi="Verdana"/>
          <w:color w:val="363636"/>
          <w:sz w:val="18"/>
          <w:szCs w:val="18"/>
        </w:rPr>
      </w:pPr>
      <w:r w:rsidRPr="00286A1B">
        <w:rPr>
          <w:rFonts w:ascii="Verdana" w:hAnsi="Verdana"/>
          <w:sz w:val="18"/>
          <w:szCs w:val="18"/>
        </w:rPr>
        <w:t>National</w:t>
      </w:r>
      <w:r w:rsidR="00A953B5">
        <w:t xml:space="preserve"> Dropout Prevention Center/Network (</w:t>
      </w:r>
      <w:r w:rsidR="008E2E14">
        <w:t>n.d.</w:t>
      </w:r>
      <w:r w:rsidR="00A953B5">
        <w:t xml:space="preserve">). </w:t>
      </w:r>
      <w:r w:rsidRPr="00286A1B">
        <w:rPr>
          <w:rFonts w:ascii="Verdana" w:hAnsi="Verdana"/>
          <w:sz w:val="18"/>
          <w:szCs w:val="18"/>
        </w:rPr>
        <w:t>Early Childhood Education is Needed. Retrieved November 4, 2011 from</w:t>
      </w:r>
      <w:r w:rsidR="00A953B5">
        <w:rPr>
          <w:rFonts w:ascii="Verdana" w:hAnsi="Verdana"/>
          <w:color w:val="363636"/>
          <w:sz w:val="18"/>
          <w:szCs w:val="18"/>
        </w:rPr>
        <w:t xml:space="preserve"> </w:t>
      </w:r>
      <w:hyperlink r:id="rId25" w:history="1">
        <w:r w:rsidR="00A953B5" w:rsidRPr="00BB16F5">
          <w:rPr>
            <w:rStyle w:val="Hyperlink"/>
            <w:rFonts w:ascii="Verdana" w:hAnsi="Verdana"/>
            <w:sz w:val="18"/>
            <w:szCs w:val="18"/>
          </w:rPr>
          <w:t>http://www.dropoutprevention.org/effective-strategies/early-childhood-education</w:t>
        </w:r>
      </w:hyperlink>
      <w:r w:rsidR="00A953B5">
        <w:rPr>
          <w:rFonts w:ascii="Verdana" w:hAnsi="Verdana"/>
          <w:color w:val="363636"/>
          <w:sz w:val="18"/>
          <w:szCs w:val="18"/>
        </w:rPr>
        <w:t xml:space="preserve"> </w:t>
      </w:r>
    </w:p>
    <w:p w:rsidR="0082145B" w:rsidRDefault="002303C1">
      <w:pPr>
        <w:spacing w:line="276" w:lineRule="auto"/>
        <w:ind w:left="720" w:hanging="720"/>
      </w:pPr>
      <w:r>
        <w:t>National Dropout Prevention Center/Network (</w:t>
      </w:r>
      <w:r w:rsidR="008E2E14">
        <w:t>n.d.</w:t>
      </w:r>
      <w:r>
        <w:t xml:space="preserve">). </w:t>
      </w:r>
      <w:r w:rsidR="00237948">
        <w:t xml:space="preserve">Model Program: Daylight Twilight High </w:t>
      </w:r>
      <w:r w:rsidR="00E61C04">
        <w:t>S</w:t>
      </w:r>
      <w:r w:rsidR="00237948">
        <w:t xml:space="preserve">chool. Retrieved November 9, 2011 from </w:t>
      </w:r>
      <w:hyperlink r:id="rId26" w:history="1">
        <w:r w:rsidR="00237948" w:rsidRPr="00A30E90">
          <w:rPr>
            <w:rStyle w:val="Hyperlink"/>
          </w:rPr>
          <w:t>http://www.dropoutprevention.org/modelprograms/show_program.php?pid=299</w:t>
        </w:r>
      </w:hyperlink>
      <w:r w:rsidR="00237948">
        <w:t xml:space="preserve"> </w:t>
      </w:r>
    </w:p>
    <w:p w:rsidR="0082145B" w:rsidRDefault="00B4122C">
      <w:pPr>
        <w:spacing w:line="276" w:lineRule="auto"/>
        <w:ind w:left="720" w:hanging="720"/>
      </w:pPr>
      <w:r>
        <w:t>National Dropout Prevention Center/Network (</w:t>
      </w:r>
      <w:r w:rsidR="008E2E14">
        <w:t>n.d.</w:t>
      </w:r>
      <w:r>
        <w:t>). Model Program Rating System.</w:t>
      </w:r>
      <w:r w:rsidR="006E64B2">
        <w:t xml:space="preserve"> </w:t>
      </w:r>
      <w:r>
        <w:t xml:space="preserve">Retrieved November 9, 2011 from </w:t>
      </w:r>
      <w:hyperlink r:id="rId27" w:history="1">
        <w:r w:rsidRPr="00155586">
          <w:rPr>
            <w:rStyle w:val="Hyperlink"/>
          </w:rPr>
          <w:t>http://www.dropoutprevention.org/modelprograms/rating-system</w:t>
        </w:r>
      </w:hyperlink>
      <w:r>
        <w:t xml:space="preserve"> </w:t>
      </w:r>
    </w:p>
    <w:p w:rsidR="0082145B" w:rsidRDefault="00FE3D69">
      <w:pPr>
        <w:spacing w:line="276" w:lineRule="auto"/>
        <w:ind w:left="720" w:hanging="720"/>
      </w:pPr>
      <w:r>
        <w:lastRenderedPageBreak/>
        <w:t xml:space="preserve">Reynolds, A. J., Temple, J. A., Robertson, D. L., &amp; Mann, E. A. (2001). Age 21 cost-benefit analysis of the Title I Chicago Child-Parent Center program: Executive Summary. Retrieved November 9, 2011 from </w:t>
      </w:r>
      <w:hyperlink r:id="rId28" w:history="1">
        <w:r w:rsidRPr="00BB16F5">
          <w:rPr>
            <w:rStyle w:val="Hyperlink"/>
          </w:rPr>
          <w:t>http://www.waisman.wisc.edu/cls/cbaexecsum4.html</w:t>
        </w:r>
      </w:hyperlink>
    </w:p>
    <w:p w:rsidR="0082145B" w:rsidRDefault="00270B8D">
      <w:pPr>
        <w:spacing w:line="276" w:lineRule="auto"/>
        <w:ind w:left="720" w:hanging="720"/>
      </w:pPr>
      <w:r>
        <w:t xml:space="preserve">Rosch, J. and Owen, J. (2008). State-level dropout prevention programs, strategies and policies. In </w:t>
      </w:r>
      <w:r w:rsidRPr="00270B8D">
        <w:rPr>
          <w:i/>
        </w:rPr>
        <w:t>Dropout Prevention Strategies for improving high school graduation rates: A briefing report prepared for the North Carolina Family Impact Seminar</w:t>
      </w:r>
      <w:r>
        <w:t xml:space="preserve">. Retrieved November 8, 2011 from </w:t>
      </w:r>
      <w:hyperlink r:id="rId29" w:history="1">
        <w:r w:rsidR="006B543B" w:rsidRPr="006B543B">
          <w:rPr>
            <w:rStyle w:val="Hyperlink"/>
            <w:rFonts w:cstheme="minorHAnsi"/>
          </w:rPr>
          <w:t>www.childand</w:t>
        </w:r>
        <w:r w:rsidR="006B543B" w:rsidRPr="006B543B">
          <w:rPr>
            <w:rStyle w:val="Hyperlink"/>
            <w:rFonts w:cstheme="minorHAnsi"/>
            <w:bCs/>
          </w:rPr>
          <w:t>family</w:t>
        </w:r>
        <w:r w:rsidR="006B543B" w:rsidRPr="006B543B">
          <w:rPr>
            <w:rStyle w:val="Hyperlink"/>
            <w:rFonts w:cstheme="minorHAnsi"/>
          </w:rPr>
          <w:t>policy.duke.edu/.../</w:t>
        </w:r>
        <w:r w:rsidR="006B543B" w:rsidRPr="006B543B">
          <w:rPr>
            <w:rStyle w:val="Hyperlink"/>
            <w:rFonts w:cstheme="minorHAnsi"/>
            <w:bCs/>
          </w:rPr>
          <w:t>familyimpact</w:t>
        </w:r>
        <w:r w:rsidR="006B543B" w:rsidRPr="006B543B">
          <w:rPr>
            <w:rStyle w:val="Hyperlink"/>
            <w:rFonts w:cstheme="minorHAnsi"/>
          </w:rPr>
          <w:t>/.../BriefingReport_08_v2.pdf</w:t>
        </w:r>
      </w:hyperlink>
      <w:r>
        <w:rPr>
          <w:rStyle w:val="HTMLCite"/>
          <w:rFonts w:ascii="Arial" w:hAnsi="Arial" w:cs="Arial"/>
          <w:sz w:val="20"/>
          <w:szCs w:val="20"/>
        </w:rPr>
        <w:t xml:space="preserve"> </w:t>
      </w:r>
    </w:p>
    <w:p w:rsidR="0082145B" w:rsidRDefault="008F49BD">
      <w:pPr>
        <w:spacing w:line="276" w:lineRule="auto"/>
        <w:ind w:left="720" w:hanging="720"/>
      </w:pPr>
      <w:r w:rsidRPr="009D4938">
        <w:rPr>
          <w:lang w:val="de-DE"/>
        </w:rPr>
        <w:t>Schweinhart, L.</w:t>
      </w:r>
      <w:r w:rsidR="007C72B2">
        <w:rPr>
          <w:lang w:val="de-DE"/>
        </w:rPr>
        <w:t xml:space="preserve"> </w:t>
      </w:r>
      <w:r w:rsidRPr="009D4938">
        <w:rPr>
          <w:lang w:val="de-DE"/>
        </w:rPr>
        <w:t>J., &amp; Weikart, D.</w:t>
      </w:r>
      <w:r w:rsidR="007C72B2">
        <w:rPr>
          <w:lang w:val="de-DE"/>
        </w:rPr>
        <w:t xml:space="preserve"> </w:t>
      </w:r>
      <w:r w:rsidRPr="009D4938">
        <w:rPr>
          <w:lang w:val="de-DE"/>
        </w:rPr>
        <w:t xml:space="preserve">P. (1997). </w:t>
      </w:r>
      <w:r>
        <w:t>The High/Scope Preschool Curriculum Comparison Study through Age 23</w:t>
      </w:r>
      <w:r>
        <w:rPr>
          <w:rStyle w:val="Emphasis"/>
        </w:rPr>
        <w:t>.</w:t>
      </w:r>
      <w:r>
        <w:t xml:space="preserve"> </w:t>
      </w:r>
      <w:r>
        <w:rPr>
          <w:rStyle w:val="Emphasis"/>
        </w:rPr>
        <w:t>Early Childhood Research Quarterly</w:t>
      </w:r>
      <w:r>
        <w:t xml:space="preserve">, </w:t>
      </w:r>
      <w:r>
        <w:rPr>
          <w:rStyle w:val="Emphasis"/>
        </w:rPr>
        <w:t>12</w:t>
      </w:r>
      <w:r>
        <w:t>(2), 117</w:t>
      </w:r>
      <w:r w:rsidR="007C72B2">
        <w:t>–</w:t>
      </w:r>
      <w:r>
        <w:t>143.</w:t>
      </w:r>
    </w:p>
    <w:p w:rsidR="0082145B" w:rsidRDefault="00C5551C">
      <w:pPr>
        <w:spacing w:line="276" w:lineRule="auto"/>
        <w:ind w:left="720" w:hanging="720"/>
      </w:pPr>
      <w:r>
        <w:t xml:space="preserve">What Works Clearinghouse (2011). WWC Procedures and Standards Handbook, Version 2.1. Retrieved December 26, 2011 from </w:t>
      </w:r>
      <w:r w:rsidR="007C72B2" w:rsidRPr="007C72B2">
        <w:rPr>
          <w:rStyle w:val="HTMLCite"/>
          <w:rFonts w:cstheme="minorHAnsi"/>
        </w:rPr>
        <w:t>http://ies.ed.gov/ncee/wwc/documentsum.aspx?sid=19</w:t>
      </w:r>
      <w:hyperlink r:id="rId30" w:history="1">
        <w:r w:rsidR="006B543B" w:rsidRPr="006B543B">
          <w:rPr>
            <w:rStyle w:val="Hyperlink"/>
            <w:rFonts w:cstheme="minorHAnsi"/>
            <w:vanish/>
          </w:rPr>
          <w:t>Cached</w:t>
        </w:r>
      </w:hyperlink>
      <w:r w:rsidR="006B543B" w:rsidRPr="006B543B">
        <w:rPr>
          <w:rStyle w:val="vshid2"/>
          <w:rFonts w:cstheme="minorHAnsi"/>
          <w:vanish w:val="0"/>
          <w:color w:val="666666"/>
        </w:rPr>
        <w:t xml:space="preserve"> </w:t>
      </w:r>
    </w:p>
    <w:p w:rsidR="0082145B" w:rsidRDefault="003F4E92">
      <w:pPr>
        <w:spacing w:line="276" w:lineRule="auto"/>
        <w:ind w:left="720" w:hanging="720"/>
      </w:pPr>
      <w:r>
        <w:t>W</w:t>
      </w:r>
      <w:r w:rsidR="00E5288B">
        <w:t>WC’s Dropout Prevention Topic. (</w:t>
      </w:r>
      <w:r w:rsidR="008E2E14">
        <w:t>n.d.</w:t>
      </w:r>
      <w:r w:rsidR="00E5288B">
        <w:t>).</w:t>
      </w:r>
      <w:r>
        <w:t xml:space="preserve"> </w:t>
      </w:r>
      <w:r w:rsidR="00E129D0">
        <w:t>Retrieved</w:t>
      </w:r>
      <w:r>
        <w:t xml:space="preserve"> November 4, 2011 </w:t>
      </w:r>
      <w:r w:rsidR="00E129D0">
        <w:t xml:space="preserve">from </w:t>
      </w:r>
      <w:hyperlink r:id="rId31" w:history="1">
        <w:r w:rsidRPr="005825D4">
          <w:rPr>
            <w:rStyle w:val="Hyperlink"/>
          </w:rPr>
          <w:t>http://ies.ed.gov/ncee/wwc/Topic.aspx?sid=3</w:t>
        </w:r>
      </w:hyperlink>
    </w:p>
    <w:p w:rsidR="00B146ED" w:rsidRDefault="00B146ED" w:rsidP="00B146ED">
      <w:pPr>
        <w:spacing w:line="276" w:lineRule="auto"/>
        <w:ind w:left="720" w:hanging="720"/>
      </w:pPr>
      <w:r>
        <w:t xml:space="preserve">WWC’s </w:t>
      </w:r>
      <w:r w:rsidRPr="00EF4804">
        <w:t>Accelerated Middle Schools Intervention Report and Appendices.</w:t>
      </w:r>
      <w:r>
        <w:rPr>
          <w:i/>
        </w:rPr>
        <w:t xml:space="preserve"> </w:t>
      </w:r>
      <w:r>
        <w:t xml:space="preserve">(n.d.). </w:t>
      </w:r>
      <w:r>
        <w:rPr>
          <w:i/>
        </w:rPr>
        <w:t xml:space="preserve"> </w:t>
      </w:r>
      <w:r w:rsidRPr="00DD242B">
        <w:t>Retrieved November 4, 2011 from</w:t>
      </w:r>
      <w:r>
        <w:t xml:space="preserve"> </w:t>
      </w:r>
      <w:hyperlink r:id="rId32" w:history="1">
        <w:r w:rsidRPr="00E504D0">
          <w:rPr>
            <w:rStyle w:val="Hyperlink"/>
          </w:rPr>
          <w:t>http://ies.ed.gov/ncee/wwc/interventionreport.aspx?sid=11</w:t>
        </w:r>
      </w:hyperlink>
      <w:r>
        <w:t xml:space="preserve"> </w:t>
      </w:r>
    </w:p>
    <w:p w:rsidR="00B146ED" w:rsidRDefault="00B146ED" w:rsidP="00B146ED">
      <w:pPr>
        <w:spacing w:line="276" w:lineRule="auto"/>
        <w:ind w:left="720" w:hanging="720"/>
      </w:pPr>
      <w:r>
        <w:t xml:space="preserve">WWC’s  </w:t>
      </w:r>
      <w:r w:rsidRPr="00EF4804">
        <w:t>ALAS Intervention Report</w:t>
      </w:r>
      <w:r w:rsidR="004D3279">
        <w:t xml:space="preserve"> and Appendices</w:t>
      </w:r>
      <w:r w:rsidRPr="00EF4804">
        <w:t>.</w:t>
      </w:r>
      <w:r w:rsidRPr="00EF4804">
        <w:rPr>
          <w:i/>
        </w:rPr>
        <w:t xml:space="preserve"> </w:t>
      </w:r>
      <w:r>
        <w:rPr>
          <w:i/>
        </w:rPr>
        <w:t xml:space="preserve"> </w:t>
      </w:r>
      <w:r>
        <w:t xml:space="preserve">(n.d.). </w:t>
      </w:r>
      <w:r>
        <w:rPr>
          <w:i/>
        </w:rPr>
        <w:t xml:space="preserve"> </w:t>
      </w:r>
      <w:r>
        <w:t xml:space="preserve">Retrieved November 4, 2011 from </w:t>
      </w:r>
      <w:hyperlink r:id="rId33" w:history="1">
        <w:r w:rsidRPr="00E504D0">
          <w:rPr>
            <w:rStyle w:val="Hyperlink"/>
          </w:rPr>
          <w:t>http://ies.ed.gov/ncee/wwc/interventionreport.aspx?sid=22</w:t>
        </w:r>
      </w:hyperlink>
      <w:r>
        <w:t xml:space="preserve"> </w:t>
      </w:r>
    </w:p>
    <w:p w:rsidR="004D3279" w:rsidRDefault="00D21005" w:rsidP="00B146ED">
      <w:pPr>
        <w:spacing w:line="276" w:lineRule="auto"/>
        <w:ind w:left="720" w:hanging="720"/>
      </w:pPr>
      <w:r>
        <w:t xml:space="preserve">WWC’s Career Academies Intervention </w:t>
      </w:r>
      <w:r w:rsidR="00EF4804">
        <w:t>R</w:t>
      </w:r>
      <w:r>
        <w:t>eport</w:t>
      </w:r>
      <w:r w:rsidR="004D3279">
        <w:t xml:space="preserve"> and Appendices</w:t>
      </w:r>
      <w:r>
        <w:t>. (</w:t>
      </w:r>
      <w:r w:rsidR="008E2E14">
        <w:t>n.d.</w:t>
      </w:r>
      <w:r>
        <w:t xml:space="preserve">). </w:t>
      </w:r>
      <w:r w:rsidR="00E129D0">
        <w:t>Retrieved</w:t>
      </w:r>
      <w:r>
        <w:t xml:space="preserve"> December 22, 2011 </w:t>
      </w:r>
      <w:r w:rsidR="00E129D0">
        <w:t>from</w:t>
      </w:r>
      <w:r>
        <w:t xml:space="preserve"> </w:t>
      </w:r>
      <w:hyperlink r:id="rId34" w:history="1">
        <w:r w:rsidR="004D3279" w:rsidRPr="00B15599">
          <w:rPr>
            <w:rStyle w:val="Hyperlink"/>
          </w:rPr>
          <w:t>http://ies.ed.gov/ncee/wwc/interventionreport.aspx?sid=70</w:t>
        </w:r>
      </w:hyperlink>
    </w:p>
    <w:p w:rsidR="00B146ED" w:rsidRDefault="00B146ED" w:rsidP="00B146ED">
      <w:pPr>
        <w:spacing w:line="276" w:lineRule="auto"/>
        <w:ind w:left="720" w:hanging="720"/>
      </w:pPr>
      <w:r>
        <w:t xml:space="preserve">WWC’s </w:t>
      </w:r>
      <w:r w:rsidRPr="00EF4804">
        <w:t>Check &amp; Connect Intervention Report</w:t>
      </w:r>
      <w:r w:rsidR="004D3279">
        <w:t xml:space="preserve"> and Appendices</w:t>
      </w:r>
      <w:r w:rsidRPr="00EF4804">
        <w:t>.</w:t>
      </w:r>
      <w:r>
        <w:t xml:space="preserve"> (n.d.).</w:t>
      </w:r>
      <w:r w:rsidRPr="00EF4804">
        <w:t xml:space="preserve"> </w:t>
      </w:r>
      <w:r w:rsidRPr="00DD242B">
        <w:t>Retrieved November 4, 2011 from</w:t>
      </w:r>
      <w:r>
        <w:t xml:space="preserve"> </w:t>
      </w:r>
      <w:hyperlink r:id="rId35" w:history="1">
        <w:r w:rsidRPr="00505681">
          <w:rPr>
            <w:rStyle w:val="Hyperlink"/>
          </w:rPr>
          <w:t xml:space="preserve">http://ies.ed.gov/ncee/wwc/interventionreport.aspx?sid=78 </w:t>
        </w:r>
      </w:hyperlink>
      <w:r>
        <w:t xml:space="preserve"> </w:t>
      </w:r>
    </w:p>
    <w:p w:rsidR="00031F06" w:rsidRDefault="008852CF" w:rsidP="00B146ED">
      <w:pPr>
        <w:spacing w:line="276" w:lineRule="auto"/>
        <w:ind w:left="720" w:hanging="720"/>
      </w:pPr>
      <w:r>
        <w:t>WWC</w:t>
      </w:r>
      <w:r w:rsidR="00971165">
        <w:t>’s</w:t>
      </w:r>
      <w:r>
        <w:t xml:space="preserve"> First Things First Intervention Report</w:t>
      </w:r>
      <w:r w:rsidR="004D3279">
        <w:t xml:space="preserve"> and Appendices</w:t>
      </w:r>
      <w:r>
        <w:t xml:space="preserve">. ( </w:t>
      </w:r>
      <w:r w:rsidR="008E2E14">
        <w:t>n.d.</w:t>
      </w:r>
      <w:r>
        <w:t>).</w:t>
      </w:r>
      <w:r w:rsidRPr="008852CF">
        <w:t xml:space="preserve"> </w:t>
      </w:r>
      <w:r w:rsidR="00E129D0">
        <w:t>Retrieved</w:t>
      </w:r>
      <w:r>
        <w:t xml:space="preserve"> December 22, 2011 </w:t>
      </w:r>
      <w:r w:rsidR="00E129D0">
        <w:t>from</w:t>
      </w:r>
      <w:r>
        <w:t xml:space="preserve"> </w:t>
      </w:r>
      <w:hyperlink r:id="rId36" w:history="1">
        <w:r w:rsidR="00031F06" w:rsidRPr="00B15599">
          <w:rPr>
            <w:rStyle w:val="Hyperlink"/>
          </w:rPr>
          <w:t>http://ies.ed.gov/ncee/wwc/interventionreport.aspx?sid=181</w:t>
        </w:r>
      </w:hyperlink>
    </w:p>
    <w:p w:rsidR="00B146ED" w:rsidRDefault="00B146ED" w:rsidP="00B146ED">
      <w:pPr>
        <w:spacing w:line="276" w:lineRule="auto"/>
        <w:ind w:left="720" w:hanging="720"/>
      </w:pPr>
      <w:r>
        <w:t xml:space="preserve">WWC’s </w:t>
      </w:r>
      <w:r w:rsidRPr="00EF4804">
        <w:t>Glossary, letter E, extent of evidence</w:t>
      </w:r>
      <w:r>
        <w:rPr>
          <w:i/>
        </w:rPr>
        <w:t xml:space="preserve">. </w:t>
      </w:r>
      <w:r>
        <w:t xml:space="preserve">(n.d.). </w:t>
      </w:r>
      <w:r w:rsidRPr="00DD242B">
        <w:t>Retrieved November 4, 2011 from</w:t>
      </w:r>
      <w:r>
        <w:rPr>
          <w:i/>
        </w:rPr>
        <w:t xml:space="preserve"> </w:t>
      </w:r>
      <w:hyperlink r:id="rId37" w:anchor="letterE" w:history="1">
        <w:r w:rsidRPr="00680A00">
          <w:rPr>
            <w:rStyle w:val="Hyperlink"/>
          </w:rPr>
          <w:t>http://ies.ed.gov/ncee/wwc/glossary.aspx#letterE</w:t>
        </w:r>
      </w:hyperlink>
      <w:r>
        <w:t xml:space="preserve">  </w:t>
      </w:r>
    </w:p>
    <w:p w:rsidR="0082145B" w:rsidRDefault="00730B18">
      <w:pPr>
        <w:spacing w:line="276" w:lineRule="auto"/>
        <w:ind w:left="720" w:hanging="720"/>
      </w:pPr>
      <w:r>
        <w:t>W</w:t>
      </w:r>
      <w:r w:rsidR="00EF4804">
        <w:t xml:space="preserve">WC’s </w:t>
      </w:r>
      <w:r w:rsidRPr="00EF4804">
        <w:t>Glossary</w:t>
      </w:r>
      <w:r w:rsidR="00E0261D" w:rsidRPr="00EF4804">
        <w:t>, letter I, improvement index</w:t>
      </w:r>
      <w:r>
        <w:rPr>
          <w:i/>
        </w:rPr>
        <w:t>.</w:t>
      </w:r>
      <w:r w:rsidR="00EF4804">
        <w:t>(</w:t>
      </w:r>
      <w:r>
        <w:rPr>
          <w:i/>
        </w:rPr>
        <w:t xml:space="preserve"> </w:t>
      </w:r>
      <w:r w:rsidR="00EF4804">
        <w:t xml:space="preserve">n.d.).  </w:t>
      </w:r>
      <w:r w:rsidRPr="00DD242B">
        <w:t xml:space="preserve">Retrieved November </w:t>
      </w:r>
      <w:r>
        <w:t>17</w:t>
      </w:r>
      <w:r w:rsidRPr="00DD242B">
        <w:t>, 2011 from</w:t>
      </w:r>
      <w:r>
        <w:rPr>
          <w:i/>
        </w:rPr>
        <w:t xml:space="preserve"> </w:t>
      </w:r>
      <w:hyperlink r:id="rId38" w:anchor="letterI" w:history="1">
        <w:r w:rsidRPr="00155586">
          <w:rPr>
            <w:rStyle w:val="Hyperlink"/>
          </w:rPr>
          <w:t>http://ies.ed.gov/ncee/wwc/glossary.aspx#letterI</w:t>
        </w:r>
      </w:hyperlink>
      <w:r>
        <w:t xml:space="preserve">  </w:t>
      </w:r>
    </w:p>
    <w:p w:rsidR="00B146ED" w:rsidRDefault="00B146ED" w:rsidP="00B146ED">
      <w:pPr>
        <w:spacing w:line="276" w:lineRule="auto"/>
        <w:ind w:left="720" w:hanging="720"/>
        <w:rPr>
          <w:b/>
        </w:rPr>
      </w:pPr>
      <w:r>
        <w:t xml:space="preserve">WWC’s  </w:t>
      </w:r>
      <w:r w:rsidRPr="00B146ED">
        <w:t>JOBSTART Intervention Report and Appendices.</w:t>
      </w:r>
      <w:r>
        <w:rPr>
          <w:i/>
        </w:rPr>
        <w:t xml:space="preserve"> </w:t>
      </w:r>
      <w:r>
        <w:t>(n.d.).</w:t>
      </w:r>
      <w:r w:rsidRPr="00EF4804">
        <w:t xml:space="preserve"> </w:t>
      </w:r>
      <w:r>
        <w:t xml:space="preserve">Retrieved November 4, 2011 from </w:t>
      </w:r>
      <w:hyperlink r:id="rId39" w:history="1">
        <w:r w:rsidRPr="005825D4">
          <w:rPr>
            <w:rStyle w:val="Hyperlink"/>
          </w:rPr>
          <w:t>http://ies.ed.gov/ncee/wwc/interventionreport.aspx?sid=248</w:t>
        </w:r>
      </w:hyperlink>
      <w:r>
        <w:rPr>
          <w:b/>
        </w:rPr>
        <w:t xml:space="preserve"> </w:t>
      </w:r>
    </w:p>
    <w:p w:rsidR="00B146ED" w:rsidRDefault="00B146ED" w:rsidP="007C67C4">
      <w:pPr>
        <w:spacing w:line="276" w:lineRule="auto"/>
        <w:ind w:left="720" w:hanging="720"/>
      </w:pPr>
      <w:r>
        <w:t xml:space="preserve">WWC’s  </w:t>
      </w:r>
      <w:r w:rsidRPr="00B146ED">
        <w:t>National Guard Youth Challenge Program Intervention Report and Appendices.</w:t>
      </w:r>
      <w:r>
        <w:rPr>
          <w:i/>
        </w:rPr>
        <w:t xml:space="preserve"> </w:t>
      </w:r>
      <w:r>
        <w:t>(n.d.).</w:t>
      </w:r>
      <w:r w:rsidRPr="00EF4804">
        <w:t xml:space="preserve"> </w:t>
      </w:r>
      <w:r>
        <w:t xml:space="preserve">Retrieved November 4, 2011 from </w:t>
      </w:r>
      <w:hyperlink r:id="rId40" w:history="1">
        <w:r w:rsidRPr="005825D4">
          <w:rPr>
            <w:rStyle w:val="Hyperlink"/>
          </w:rPr>
          <w:t>http://ies.ed.gov/ncee/wwc/interventionreport.aspx?sid=329</w:t>
        </w:r>
      </w:hyperlink>
      <w:r>
        <w:t xml:space="preserve"> </w:t>
      </w:r>
    </w:p>
    <w:p w:rsidR="00B146ED" w:rsidRDefault="00B146ED" w:rsidP="00B146ED">
      <w:pPr>
        <w:spacing w:line="276" w:lineRule="auto"/>
        <w:ind w:left="720" w:hanging="720"/>
      </w:pPr>
      <w:r>
        <w:t xml:space="preserve">WWC’s </w:t>
      </w:r>
      <w:r w:rsidRPr="00B146ED">
        <w:t>Talent Search Intervention Report and Appendices.</w:t>
      </w:r>
      <w:r>
        <w:rPr>
          <w:i/>
        </w:rPr>
        <w:t xml:space="preserve"> </w:t>
      </w:r>
      <w:r>
        <w:t>(n.d.).</w:t>
      </w:r>
      <w:r w:rsidRPr="00EF4804">
        <w:t xml:space="preserve"> </w:t>
      </w:r>
      <w:r>
        <w:t xml:space="preserve">Retrieved November 4, 2011 from </w:t>
      </w:r>
      <w:hyperlink r:id="rId41" w:history="1">
        <w:r w:rsidRPr="00E504D0">
          <w:rPr>
            <w:rStyle w:val="Hyperlink"/>
          </w:rPr>
          <w:t>http://ies.ed.gov/ncee/wwc/interventionreport.aspx?sid=508</w:t>
        </w:r>
      </w:hyperlink>
      <w:r>
        <w:t xml:space="preserve"> </w:t>
      </w:r>
    </w:p>
    <w:p w:rsidR="00B146ED" w:rsidRPr="006941AE" w:rsidRDefault="00B146ED" w:rsidP="00B146ED">
      <w:pPr>
        <w:spacing w:line="276" w:lineRule="auto"/>
        <w:ind w:left="720" w:hanging="720"/>
        <w:rPr>
          <w:b/>
        </w:rPr>
        <w:sectPr w:rsidR="00B146ED" w:rsidRPr="006941AE" w:rsidSect="00366549">
          <w:pgSz w:w="12240" w:h="15840"/>
          <w:pgMar w:top="1440" w:right="1440" w:bottom="1440" w:left="1440" w:header="720" w:footer="720" w:gutter="0"/>
          <w:cols w:space="720"/>
          <w:docGrid w:linePitch="360"/>
        </w:sectPr>
      </w:pPr>
    </w:p>
    <w:p w:rsidR="0082145B" w:rsidRDefault="0008289A">
      <w:pPr>
        <w:spacing w:after="100" w:line="240" w:lineRule="auto"/>
        <w:rPr>
          <w:b/>
        </w:rPr>
      </w:pPr>
      <w:r w:rsidRPr="0008289A">
        <w:rPr>
          <w:b/>
        </w:rPr>
        <w:lastRenderedPageBreak/>
        <w:t>Table A1.</w:t>
      </w:r>
      <w:r w:rsidR="004A4C7D">
        <w:rPr>
          <w:b/>
        </w:rPr>
        <w:t xml:space="preserve"> </w:t>
      </w:r>
      <w:r w:rsidR="00A704AC">
        <w:rPr>
          <w:b/>
        </w:rPr>
        <w:t>Overall Average Weighted Improvement Index</w:t>
      </w:r>
      <w:r w:rsidR="00A704AC" w:rsidRPr="0008289A">
        <w:rPr>
          <w:b/>
        </w:rPr>
        <w:t xml:space="preserve"> </w:t>
      </w:r>
      <w:r w:rsidR="00A2458D">
        <w:rPr>
          <w:b/>
        </w:rPr>
        <w:t xml:space="preserve">and Outcome Data </w:t>
      </w:r>
      <w:r w:rsidR="00A704AC">
        <w:rPr>
          <w:b/>
        </w:rPr>
        <w:t xml:space="preserve">for Programs </w:t>
      </w:r>
      <w:r w:rsidR="00546550">
        <w:rPr>
          <w:b/>
        </w:rPr>
        <w:t>in</w:t>
      </w:r>
      <w:r w:rsidR="00A704AC">
        <w:rPr>
          <w:b/>
        </w:rPr>
        <w:t xml:space="preserve"> </w:t>
      </w:r>
      <w:r w:rsidRPr="0008289A">
        <w:rPr>
          <w:b/>
        </w:rPr>
        <w:t>WWC</w:t>
      </w:r>
      <w:r w:rsidR="00546550">
        <w:rPr>
          <w:b/>
        </w:rPr>
        <w:t>’s</w:t>
      </w:r>
      <w:r w:rsidRPr="0008289A">
        <w:rPr>
          <w:b/>
        </w:rPr>
        <w:t xml:space="preserve"> </w:t>
      </w:r>
      <w:r w:rsidR="00546550">
        <w:rPr>
          <w:b/>
        </w:rPr>
        <w:t>Dropout Prevention Topic Review</w:t>
      </w:r>
    </w:p>
    <w:tbl>
      <w:tblPr>
        <w:tblW w:w="12960" w:type="dxa"/>
        <w:tblInd w:w="103" w:type="dxa"/>
        <w:tblLook w:val="04A0"/>
      </w:tblPr>
      <w:tblGrid>
        <w:gridCol w:w="2286"/>
        <w:gridCol w:w="1434"/>
        <w:gridCol w:w="1540"/>
        <w:gridCol w:w="1540"/>
        <w:gridCol w:w="1540"/>
        <w:gridCol w:w="1540"/>
        <w:gridCol w:w="1540"/>
        <w:gridCol w:w="1540"/>
      </w:tblGrid>
      <w:tr w:rsidR="00DA6F3F" w:rsidRPr="006F15DF" w:rsidTr="007C72B2">
        <w:trPr>
          <w:trHeight w:val="1142"/>
          <w:tblHeader/>
        </w:trPr>
        <w:tc>
          <w:tcPr>
            <w:tcW w:w="3160" w:type="dxa"/>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vAlign w:val="center"/>
            <w:hideMark/>
          </w:tcPr>
          <w:p w:rsidR="0082145B" w:rsidRDefault="00DA6F3F">
            <w:pPr>
              <w:spacing w:after="0" w:line="240" w:lineRule="auto"/>
              <w:jc w:val="center"/>
              <w:rPr>
                <w:rFonts w:ascii="Calibri" w:eastAsia="Times New Roman" w:hAnsi="Calibri" w:cs="Times New Roman"/>
                <w:b/>
                <w:bCs/>
                <w:color w:val="000000"/>
              </w:rPr>
            </w:pPr>
            <w:r w:rsidRPr="006F15DF">
              <w:rPr>
                <w:rFonts w:ascii="Calibri" w:eastAsia="Times New Roman" w:hAnsi="Calibri" w:cs="Times New Roman"/>
                <w:b/>
                <w:bCs/>
                <w:color w:val="000000"/>
              </w:rPr>
              <w:t>Program</w:t>
            </w:r>
          </w:p>
        </w:tc>
        <w:tc>
          <w:tcPr>
            <w:tcW w:w="1540" w:type="dxa"/>
            <w:tcBorders>
              <w:top w:val="single" w:sz="4" w:space="0" w:color="auto"/>
              <w:left w:val="nil"/>
              <w:bottom w:val="single" w:sz="4" w:space="0" w:color="auto"/>
              <w:right w:val="single" w:sz="4" w:space="0" w:color="auto"/>
            </w:tcBorders>
            <w:tcMar>
              <w:top w:w="29" w:type="dxa"/>
              <w:left w:w="29" w:type="dxa"/>
              <w:bottom w:w="29" w:type="dxa"/>
              <w:right w:w="29" w:type="dxa"/>
            </w:tcMar>
            <w:vAlign w:val="center"/>
          </w:tcPr>
          <w:p w:rsidR="00A704AC" w:rsidRDefault="00F328E1" w:rsidP="007C72B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Overall </w:t>
            </w:r>
            <w:r w:rsidR="00DA6F3F" w:rsidRPr="006F15DF">
              <w:rPr>
                <w:rFonts w:ascii="Calibri" w:eastAsia="Times New Roman" w:hAnsi="Calibri" w:cs="Times New Roman"/>
                <w:b/>
                <w:bCs/>
                <w:color w:val="000000"/>
              </w:rPr>
              <w:t>Ave</w:t>
            </w:r>
            <w:r w:rsidR="00DA6F3F">
              <w:rPr>
                <w:rFonts w:ascii="Calibri" w:eastAsia="Times New Roman" w:hAnsi="Calibri" w:cs="Times New Roman"/>
                <w:b/>
                <w:bCs/>
                <w:color w:val="000000"/>
              </w:rPr>
              <w:t>rage</w:t>
            </w:r>
          </w:p>
          <w:p w:rsidR="00DA6F3F" w:rsidRPr="006F15DF" w:rsidRDefault="00A704AC" w:rsidP="007C72B2">
            <w:pPr>
              <w:spacing w:after="0" w:line="240" w:lineRule="auto"/>
              <w:jc w:val="center"/>
              <w:rPr>
                <w:rFonts w:ascii="Calibri" w:eastAsia="Times New Roman" w:hAnsi="Calibri" w:cs="Times New Roman"/>
                <w:b/>
                <w:bCs/>
                <w:color w:val="000000"/>
              </w:rPr>
            </w:pPr>
            <w:r w:rsidRPr="006F15DF">
              <w:rPr>
                <w:rFonts w:ascii="Calibri" w:eastAsia="Times New Roman" w:hAnsi="Calibri" w:cs="Times New Roman"/>
                <w:b/>
                <w:bCs/>
                <w:color w:val="000000"/>
              </w:rPr>
              <w:t xml:space="preserve">Weighted </w:t>
            </w:r>
            <w:r w:rsidR="00DA6F3F" w:rsidRPr="006F15DF">
              <w:rPr>
                <w:rFonts w:ascii="Calibri" w:eastAsia="Times New Roman" w:hAnsi="Calibri" w:cs="Times New Roman"/>
                <w:b/>
                <w:bCs/>
                <w:color w:val="000000"/>
              </w:rPr>
              <w:t>Impr</w:t>
            </w:r>
            <w:r w:rsidR="00DA6F3F">
              <w:rPr>
                <w:rFonts w:ascii="Calibri" w:eastAsia="Times New Roman" w:hAnsi="Calibri" w:cs="Times New Roman"/>
                <w:b/>
                <w:bCs/>
                <w:color w:val="000000"/>
              </w:rPr>
              <w:t>ovement I</w:t>
            </w:r>
            <w:r w:rsidR="00DA6F3F" w:rsidRPr="006F15DF">
              <w:rPr>
                <w:rFonts w:ascii="Calibri" w:eastAsia="Times New Roman" w:hAnsi="Calibri" w:cs="Times New Roman"/>
                <w:b/>
                <w:bCs/>
                <w:color w:val="000000"/>
              </w:rPr>
              <w:t>ndex</w:t>
            </w:r>
          </w:p>
        </w:tc>
        <w:tc>
          <w:tcPr>
            <w:tcW w:w="1540" w:type="dxa"/>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vAlign w:val="center"/>
            <w:hideMark/>
          </w:tcPr>
          <w:p w:rsidR="00DA6F3F" w:rsidRPr="007C72B2" w:rsidRDefault="006B543B" w:rsidP="007C72B2">
            <w:pPr>
              <w:spacing w:after="0" w:line="240" w:lineRule="auto"/>
              <w:jc w:val="center"/>
              <w:rPr>
                <w:rFonts w:ascii="Calibri" w:eastAsia="Times New Roman" w:hAnsi="Calibri" w:cs="Times New Roman"/>
                <w:b/>
                <w:bCs/>
                <w:color w:val="000000"/>
              </w:rPr>
            </w:pPr>
            <w:r w:rsidRPr="006B543B">
              <w:rPr>
                <w:rFonts w:ascii="Calibri" w:eastAsia="Times New Roman" w:hAnsi="Calibri" w:cs="Times New Roman"/>
                <w:b/>
                <w:bCs/>
                <w:color w:val="000000"/>
              </w:rPr>
              <w:t>Progressing in School</w:t>
            </w:r>
            <w:r w:rsidR="00DA6F3F" w:rsidRPr="007C72B2">
              <w:rPr>
                <w:rFonts w:ascii="Calibri" w:eastAsia="Times New Roman" w:hAnsi="Calibri" w:cs="Times New Roman"/>
                <w:b/>
                <w:bCs/>
                <w:color w:val="000000"/>
              </w:rPr>
              <w:t xml:space="preserve"> Improvement Index</w:t>
            </w:r>
          </w:p>
        </w:tc>
        <w:tc>
          <w:tcPr>
            <w:tcW w:w="1540" w:type="dxa"/>
            <w:tcBorders>
              <w:top w:val="single" w:sz="4" w:space="0" w:color="auto"/>
              <w:left w:val="nil"/>
              <w:bottom w:val="single" w:sz="4" w:space="0" w:color="auto"/>
              <w:right w:val="single" w:sz="4" w:space="0" w:color="auto"/>
            </w:tcBorders>
            <w:shd w:val="clear" w:color="auto" w:fill="auto"/>
            <w:tcMar>
              <w:top w:w="29" w:type="dxa"/>
              <w:left w:w="29" w:type="dxa"/>
              <w:bottom w:w="29" w:type="dxa"/>
              <w:right w:w="29" w:type="dxa"/>
            </w:tcMar>
            <w:vAlign w:val="center"/>
            <w:hideMark/>
          </w:tcPr>
          <w:p w:rsidR="009A4C35" w:rsidRPr="007C72B2" w:rsidRDefault="006B543B" w:rsidP="007C72B2">
            <w:pPr>
              <w:spacing w:after="0" w:line="240" w:lineRule="auto"/>
              <w:jc w:val="center"/>
              <w:rPr>
                <w:rFonts w:ascii="Calibri" w:eastAsia="Times New Roman" w:hAnsi="Calibri" w:cs="Times New Roman"/>
                <w:b/>
                <w:bCs/>
                <w:color w:val="000000"/>
              </w:rPr>
            </w:pPr>
            <w:r w:rsidRPr="006B543B">
              <w:rPr>
                <w:rFonts w:ascii="Calibri" w:eastAsia="Times New Roman" w:hAnsi="Calibri" w:cs="Times New Roman"/>
                <w:b/>
                <w:bCs/>
                <w:color w:val="000000"/>
              </w:rPr>
              <w:t>Progressing in School</w:t>
            </w:r>
          </w:p>
          <w:p w:rsidR="00DA6F3F" w:rsidRPr="007C72B2" w:rsidRDefault="00DA6F3F" w:rsidP="007C72B2">
            <w:pPr>
              <w:spacing w:after="0" w:line="240" w:lineRule="auto"/>
              <w:jc w:val="center"/>
              <w:rPr>
                <w:rFonts w:ascii="Calibri" w:eastAsia="Times New Roman" w:hAnsi="Calibri" w:cs="Times New Roman"/>
                <w:b/>
                <w:bCs/>
                <w:color w:val="000000"/>
              </w:rPr>
            </w:pPr>
            <w:r w:rsidRPr="007C72B2">
              <w:rPr>
                <w:rFonts w:ascii="Calibri" w:eastAsia="Times New Roman" w:hAnsi="Calibri" w:cs="Times New Roman"/>
                <w:b/>
                <w:bCs/>
                <w:color w:val="000000"/>
              </w:rPr>
              <w:t>Extent of Evidence</w:t>
            </w:r>
          </w:p>
        </w:tc>
        <w:tc>
          <w:tcPr>
            <w:tcW w:w="1540" w:type="dxa"/>
            <w:tcBorders>
              <w:top w:val="single" w:sz="4" w:space="0" w:color="auto"/>
              <w:left w:val="nil"/>
              <w:bottom w:val="single" w:sz="4" w:space="0" w:color="auto"/>
              <w:right w:val="single" w:sz="4" w:space="0" w:color="auto"/>
            </w:tcBorders>
            <w:shd w:val="clear" w:color="auto" w:fill="auto"/>
            <w:tcMar>
              <w:top w:w="29" w:type="dxa"/>
              <w:left w:w="29" w:type="dxa"/>
              <w:bottom w:w="29" w:type="dxa"/>
              <w:right w:w="29" w:type="dxa"/>
            </w:tcMar>
            <w:vAlign w:val="center"/>
            <w:hideMark/>
          </w:tcPr>
          <w:p w:rsidR="00DA6F3F" w:rsidRPr="007C72B2" w:rsidRDefault="006B543B" w:rsidP="007C72B2">
            <w:pPr>
              <w:spacing w:after="0" w:line="240" w:lineRule="auto"/>
              <w:jc w:val="center"/>
              <w:rPr>
                <w:rFonts w:ascii="Calibri" w:eastAsia="Times New Roman" w:hAnsi="Calibri" w:cs="Times New Roman"/>
                <w:b/>
                <w:bCs/>
                <w:color w:val="000000"/>
              </w:rPr>
            </w:pPr>
            <w:r w:rsidRPr="006B543B">
              <w:rPr>
                <w:rFonts w:ascii="Calibri" w:eastAsia="Times New Roman" w:hAnsi="Calibri" w:cs="Times New Roman"/>
                <w:b/>
                <w:bCs/>
                <w:color w:val="000000"/>
              </w:rPr>
              <w:t xml:space="preserve">Staying in School </w:t>
            </w:r>
            <w:r w:rsidR="00DA6F3F" w:rsidRPr="007C72B2">
              <w:rPr>
                <w:rFonts w:ascii="Calibri" w:eastAsia="Times New Roman" w:hAnsi="Calibri" w:cs="Times New Roman"/>
                <w:b/>
                <w:bCs/>
                <w:color w:val="000000"/>
              </w:rPr>
              <w:t>Improvement Index</w:t>
            </w:r>
          </w:p>
        </w:tc>
        <w:tc>
          <w:tcPr>
            <w:tcW w:w="1540" w:type="dxa"/>
            <w:tcBorders>
              <w:top w:val="single" w:sz="4" w:space="0" w:color="auto"/>
              <w:left w:val="nil"/>
              <w:bottom w:val="single" w:sz="4" w:space="0" w:color="auto"/>
              <w:right w:val="single" w:sz="4" w:space="0" w:color="auto"/>
            </w:tcBorders>
            <w:shd w:val="clear" w:color="auto" w:fill="auto"/>
            <w:tcMar>
              <w:top w:w="29" w:type="dxa"/>
              <w:left w:w="29" w:type="dxa"/>
              <w:bottom w:w="29" w:type="dxa"/>
              <w:right w:w="29" w:type="dxa"/>
            </w:tcMar>
            <w:vAlign w:val="center"/>
            <w:hideMark/>
          </w:tcPr>
          <w:p w:rsidR="009A4C35" w:rsidRPr="007C72B2" w:rsidRDefault="006B543B" w:rsidP="007C72B2">
            <w:pPr>
              <w:spacing w:after="0" w:line="240" w:lineRule="auto"/>
              <w:jc w:val="center"/>
              <w:rPr>
                <w:rFonts w:ascii="Calibri" w:eastAsia="Times New Roman" w:hAnsi="Calibri" w:cs="Times New Roman"/>
                <w:b/>
                <w:bCs/>
                <w:color w:val="000000"/>
              </w:rPr>
            </w:pPr>
            <w:r w:rsidRPr="006B543B">
              <w:rPr>
                <w:rFonts w:ascii="Calibri" w:eastAsia="Times New Roman" w:hAnsi="Calibri" w:cs="Times New Roman"/>
                <w:b/>
                <w:bCs/>
                <w:color w:val="000000"/>
              </w:rPr>
              <w:t>Staying in School</w:t>
            </w:r>
          </w:p>
          <w:p w:rsidR="00DA6F3F" w:rsidRPr="007C72B2" w:rsidRDefault="00DA6F3F" w:rsidP="007C72B2">
            <w:pPr>
              <w:spacing w:after="0" w:line="240" w:lineRule="auto"/>
              <w:jc w:val="center"/>
              <w:rPr>
                <w:rFonts w:ascii="Calibri" w:eastAsia="Times New Roman" w:hAnsi="Calibri" w:cs="Times New Roman"/>
                <w:b/>
                <w:bCs/>
                <w:color w:val="000000"/>
              </w:rPr>
            </w:pPr>
            <w:r w:rsidRPr="007C72B2">
              <w:rPr>
                <w:rFonts w:ascii="Calibri" w:eastAsia="Times New Roman" w:hAnsi="Calibri" w:cs="Times New Roman"/>
                <w:b/>
                <w:bCs/>
                <w:color w:val="000000"/>
              </w:rPr>
              <w:t>Extent of Evidence</w:t>
            </w:r>
          </w:p>
        </w:tc>
        <w:tc>
          <w:tcPr>
            <w:tcW w:w="1540" w:type="dxa"/>
            <w:tcBorders>
              <w:top w:val="single" w:sz="4" w:space="0" w:color="auto"/>
              <w:left w:val="nil"/>
              <w:bottom w:val="single" w:sz="4" w:space="0" w:color="auto"/>
              <w:right w:val="single" w:sz="4" w:space="0" w:color="auto"/>
            </w:tcBorders>
            <w:shd w:val="clear" w:color="auto" w:fill="auto"/>
            <w:tcMar>
              <w:top w:w="29" w:type="dxa"/>
              <w:left w:w="29" w:type="dxa"/>
              <w:bottom w:w="29" w:type="dxa"/>
              <w:right w:w="29" w:type="dxa"/>
            </w:tcMar>
            <w:vAlign w:val="center"/>
            <w:hideMark/>
          </w:tcPr>
          <w:p w:rsidR="00DA6F3F" w:rsidRPr="007C72B2" w:rsidRDefault="006B543B" w:rsidP="007C72B2">
            <w:pPr>
              <w:spacing w:after="0" w:line="240" w:lineRule="auto"/>
              <w:jc w:val="center"/>
              <w:rPr>
                <w:rFonts w:ascii="Calibri" w:eastAsia="Times New Roman" w:hAnsi="Calibri" w:cs="Times New Roman"/>
                <w:b/>
                <w:bCs/>
                <w:color w:val="000000"/>
              </w:rPr>
            </w:pPr>
            <w:r w:rsidRPr="006B543B">
              <w:rPr>
                <w:rFonts w:ascii="Calibri" w:eastAsia="Times New Roman" w:hAnsi="Calibri" w:cs="Times New Roman"/>
                <w:b/>
                <w:bCs/>
                <w:color w:val="000000"/>
              </w:rPr>
              <w:t xml:space="preserve">Completing School </w:t>
            </w:r>
            <w:r w:rsidR="00DA6F3F" w:rsidRPr="007C72B2">
              <w:rPr>
                <w:rFonts w:ascii="Calibri" w:eastAsia="Times New Roman" w:hAnsi="Calibri" w:cs="Times New Roman"/>
                <w:b/>
                <w:bCs/>
                <w:color w:val="000000"/>
              </w:rPr>
              <w:t>Improvement Index</w:t>
            </w:r>
          </w:p>
        </w:tc>
        <w:tc>
          <w:tcPr>
            <w:tcW w:w="1540" w:type="dxa"/>
            <w:tcBorders>
              <w:top w:val="single" w:sz="4" w:space="0" w:color="auto"/>
              <w:left w:val="nil"/>
              <w:bottom w:val="single" w:sz="4" w:space="0" w:color="auto"/>
              <w:right w:val="single" w:sz="4" w:space="0" w:color="auto"/>
            </w:tcBorders>
            <w:shd w:val="clear" w:color="auto" w:fill="auto"/>
            <w:tcMar>
              <w:top w:w="29" w:type="dxa"/>
              <w:left w:w="29" w:type="dxa"/>
              <w:bottom w:w="29" w:type="dxa"/>
              <w:right w:w="29" w:type="dxa"/>
            </w:tcMar>
            <w:vAlign w:val="center"/>
            <w:hideMark/>
          </w:tcPr>
          <w:p w:rsidR="009A4C35" w:rsidRPr="007C72B2" w:rsidRDefault="006B543B" w:rsidP="007C72B2">
            <w:pPr>
              <w:spacing w:after="0" w:line="240" w:lineRule="auto"/>
              <w:jc w:val="center"/>
              <w:rPr>
                <w:rFonts w:ascii="Calibri" w:eastAsia="Times New Roman" w:hAnsi="Calibri" w:cs="Times New Roman"/>
                <w:b/>
                <w:bCs/>
                <w:color w:val="000000"/>
              </w:rPr>
            </w:pPr>
            <w:r w:rsidRPr="006B543B">
              <w:rPr>
                <w:rFonts w:ascii="Calibri" w:eastAsia="Times New Roman" w:hAnsi="Calibri" w:cs="Times New Roman"/>
                <w:b/>
                <w:bCs/>
                <w:color w:val="000000"/>
              </w:rPr>
              <w:t>Completing School</w:t>
            </w:r>
          </w:p>
          <w:p w:rsidR="00DA6F3F" w:rsidRPr="007C72B2" w:rsidRDefault="00DA6F3F" w:rsidP="007C72B2">
            <w:pPr>
              <w:spacing w:after="0" w:line="240" w:lineRule="auto"/>
              <w:jc w:val="center"/>
              <w:rPr>
                <w:rFonts w:ascii="Calibri" w:eastAsia="Times New Roman" w:hAnsi="Calibri" w:cs="Times New Roman"/>
                <w:b/>
                <w:bCs/>
                <w:color w:val="000000"/>
              </w:rPr>
            </w:pPr>
            <w:r w:rsidRPr="007C72B2">
              <w:rPr>
                <w:rFonts w:ascii="Calibri" w:eastAsia="Times New Roman" w:hAnsi="Calibri" w:cs="Times New Roman"/>
                <w:b/>
                <w:bCs/>
                <w:color w:val="000000"/>
              </w:rPr>
              <w:t>Extent of Evidence</w:t>
            </w:r>
          </w:p>
        </w:tc>
      </w:tr>
      <w:tr w:rsidR="00DA6F3F" w:rsidRPr="006F15DF" w:rsidTr="007C72B2">
        <w:trPr>
          <w:trHeight w:val="300"/>
        </w:trPr>
        <w:tc>
          <w:tcPr>
            <w:tcW w:w="3160" w:type="dxa"/>
            <w:tcBorders>
              <w:top w:val="nil"/>
              <w:left w:val="single" w:sz="4" w:space="0" w:color="auto"/>
              <w:bottom w:val="single" w:sz="4" w:space="0" w:color="auto"/>
              <w:right w:val="single" w:sz="4" w:space="0" w:color="auto"/>
            </w:tcBorders>
            <w:shd w:val="clear" w:color="000000" w:fill="FFFFFF"/>
            <w:tcMar>
              <w:top w:w="29" w:type="dxa"/>
              <w:left w:w="29" w:type="dxa"/>
              <w:bottom w:w="29" w:type="dxa"/>
              <w:right w:w="29" w:type="dxa"/>
            </w:tcMar>
            <w:vAlign w:val="center"/>
            <w:hideMark/>
          </w:tcPr>
          <w:p w:rsidR="0082145B" w:rsidRDefault="00DA6F3F">
            <w:pPr>
              <w:spacing w:after="0" w:line="240" w:lineRule="auto"/>
              <w:jc w:val="center"/>
              <w:rPr>
                <w:rFonts w:ascii="Calibri" w:hAnsi="Calibri"/>
                <w:color w:val="000000"/>
              </w:rPr>
            </w:pPr>
            <w:r>
              <w:rPr>
                <w:rFonts w:ascii="Calibri" w:hAnsi="Calibri"/>
                <w:color w:val="000000"/>
              </w:rPr>
              <w:t>ALAS</w:t>
            </w:r>
          </w:p>
        </w:tc>
        <w:tc>
          <w:tcPr>
            <w:tcW w:w="1540" w:type="dxa"/>
            <w:tcBorders>
              <w:top w:val="single" w:sz="4" w:space="0" w:color="auto"/>
              <w:left w:val="nil"/>
              <w:bottom w:val="single" w:sz="4" w:space="0" w:color="auto"/>
              <w:right w:val="single" w:sz="4" w:space="0" w:color="auto"/>
            </w:tcBorders>
            <w:shd w:val="clear" w:color="000000" w:fill="FFFFFF"/>
            <w:tcMar>
              <w:top w:w="29" w:type="dxa"/>
              <w:left w:w="29" w:type="dxa"/>
              <w:bottom w:w="29" w:type="dxa"/>
              <w:right w:w="29" w:type="dxa"/>
            </w:tcMar>
            <w:vAlign w:val="center"/>
          </w:tcPr>
          <w:p w:rsidR="0082145B" w:rsidRDefault="00DA6F3F">
            <w:pPr>
              <w:spacing w:line="240" w:lineRule="auto"/>
              <w:jc w:val="center"/>
              <w:rPr>
                <w:rFonts w:ascii="Calibri" w:hAnsi="Calibri"/>
                <w:color w:val="000000"/>
              </w:rPr>
            </w:pPr>
            <w:r>
              <w:rPr>
                <w:rFonts w:ascii="Calibri" w:hAnsi="Calibri"/>
                <w:color w:val="000000"/>
              </w:rPr>
              <w:t>30.50</w:t>
            </w:r>
          </w:p>
        </w:tc>
        <w:tc>
          <w:tcPr>
            <w:tcW w:w="1540" w:type="dxa"/>
            <w:tcBorders>
              <w:top w:val="nil"/>
              <w:left w:val="single" w:sz="4" w:space="0" w:color="auto"/>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19</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42</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r>
      <w:tr w:rsidR="00DA6F3F" w:rsidRPr="006F15DF" w:rsidTr="007C72B2">
        <w:trPr>
          <w:trHeight w:val="300"/>
        </w:trPr>
        <w:tc>
          <w:tcPr>
            <w:tcW w:w="3160" w:type="dxa"/>
            <w:tcBorders>
              <w:top w:val="nil"/>
              <w:left w:val="single" w:sz="4" w:space="0" w:color="auto"/>
              <w:bottom w:val="single" w:sz="4" w:space="0" w:color="auto"/>
              <w:right w:val="single" w:sz="4" w:space="0" w:color="auto"/>
            </w:tcBorders>
            <w:shd w:val="clear" w:color="000000" w:fill="FFFFFF"/>
            <w:tcMar>
              <w:top w:w="29" w:type="dxa"/>
              <w:left w:w="29" w:type="dxa"/>
              <w:bottom w:w="29" w:type="dxa"/>
              <w:right w:w="29" w:type="dxa"/>
            </w:tcMar>
            <w:vAlign w:val="center"/>
            <w:hideMark/>
          </w:tcPr>
          <w:p w:rsidR="0082145B" w:rsidRDefault="00DA6F3F">
            <w:pPr>
              <w:spacing w:after="0" w:line="240" w:lineRule="auto"/>
              <w:jc w:val="center"/>
              <w:rPr>
                <w:rFonts w:ascii="Calibri" w:hAnsi="Calibri"/>
                <w:color w:val="000000"/>
              </w:rPr>
            </w:pPr>
            <w:r>
              <w:rPr>
                <w:rFonts w:ascii="Calibri" w:hAnsi="Calibri"/>
                <w:color w:val="000000"/>
              </w:rPr>
              <w:t>Accelerated Middle Schools</w:t>
            </w:r>
          </w:p>
        </w:tc>
        <w:tc>
          <w:tcPr>
            <w:tcW w:w="1540" w:type="dxa"/>
            <w:tcBorders>
              <w:top w:val="single" w:sz="4" w:space="0" w:color="auto"/>
              <w:left w:val="nil"/>
              <w:bottom w:val="single" w:sz="4" w:space="0" w:color="auto"/>
              <w:right w:val="single" w:sz="4" w:space="0" w:color="auto"/>
            </w:tcBorders>
            <w:shd w:val="clear" w:color="000000" w:fill="FFFFFF"/>
            <w:tcMar>
              <w:top w:w="29" w:type="dxa"/>
              <w:left w:w="29" w:type="dxa"/>
              <w:bottom w:w="29" w:type="dxa"/>
              <w:right w:w="29" w:type="dxa"/>
            </w:tcMar>
            <w:vAlign w:val="center"/>
          </w:tcPr>
          <w:p w:rsidR="0082145B" w:rsidRDefault="00DA6F3F">
            <w:pPr>
              <w:spacing w:line="240" w:lineRule="auto"/>
              <w:jc w:val="center"/>
              <w:rPr>
                <w:rFonts w:ascii="Calibri" w:hAnsi="Calibri"/>
                <w:color w:val="000000"/>
              </w:rPr>
            </w:pPr>
            <w:r>
              <w:rPr>
                <w:rFonts w:ascii="Calibri" w:hAnsi="Calibri"/>
                <w:color w:val="000000"/>
              </w:rPr>
              <w:t>26.50</w:t>
            </w:r>
          </w:p>
        </w:tc>
        <w:tc>
          <w:tcPr>
            <w:tcW w:w="1540" w:type="dxa"/>
            <w:tcBorders>
              <w:top w:val="nil"/>
              <w:left w:val="single" w:sz="4" w:space="0" w:color="auto"/>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35</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2</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18</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2</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r>
      <w:tr w:rsidR="00DA6F3F" w:rsidRPr="006F15DF" w:rsidTr="007C72B2">
        <w:trPr>
          <w:trHeight w:val="656"/>
        </w:trPr>
        <w:tc>
          <w:tcPr>
            <w:tcW w:w="3160" w:type="dxa"/>
            <w:tcBorders>
              <w:top w:val="nil"/>
              <w:left w:val="single" w:sz="4" w:space="0" w:color="auto"/>
              <w:bottom w:val="single" w:sz="4" w:space="0" w:color="auto"/>
              <w:right w:val="single" w:sz="4" w:space="0" w:color="auto"/>
            </w:tcBorders>
            <w:shd w:val="clear" w:color="000000" w:fill="FFFFFF"/>
            <w:tcMar>
              <w:top w:w="29" w:type="dxa"/>
              <w:left w:w="29" w:type="dxa"/>
              <w:bottom w:w="29" w:type="dxa"/>
              <w:right w:w="29" w:type="dxa"/>
            </w:tcMar>
            <w:vAlign w:val="center"/>
            <w:hideMark/>
          </w:tcPr>
          <w:p w:rsidR="0082145B" w:rsidRDefault="00DA6F3F">
            <w:pPr>
              <w:spacing w:after="0" w:line="240" w:lineRule="auto"/>
              <w:jc w:val="center"/>
              <w:rPr>
                <w:rFonts w:ascii="Calibri" w:hAnsi="Calibri"/>
                <w:color w:val="000000"/>
              </w:rPr>
            </w:pPr>
            <w:r>
              <w:rPr>
                <w:rFonts w:ascii="Calibri" w:hAnsi="Calibri"/>
                <w:color w:val="000000"/>
              </w:rPr>
              <w:t>National Guard Youth ChalleNGe Program</w:t>
            </w:r>
          </w:p>
        </w:tc>
        <w:tc>
          <w:tcPr>
            <w:tcW w:w="1540" w:type="dxa"/>
            <w:tcBorders>
              <w:top w:val="single" w:sz="4" w:space="0" w:color="auto"/>
              <w:left w:val="nil"/>
              <w:bottom w:val="single" w:sz="4" w:space="0" w:color="auto"/>
              <w:right w:val="single" w:sz="4" w:space="0" w:color="auto"/>
            </w:tcBorders>
            <w:shd w:val="clear" w:color="000000" w:fill="FFFFFF"/>
            <w:tcMar>
              <w:top w:w="29" w:type="dxa"/>
              <w:left w:w="29" w:type="dxa"/>
              <w:bottom w:w="29" w:type="dxa"/>
              <w:right w:w="29" w:type="dxa"/>
            </w:tcMar>
            <w:vAlign w:val="center"/>
          </w:tcPr>
          <w:p w:rsidR="00DA6F3F" w:rsidRDefault="00DA6F3F" w:rsidP="007C72B2">
            <w:pPr>
              <w:spacing w:after="0" w:line="240" w:lineRule="auto"/>
              <w:jc w:val="center"/>
              <w:rPr>
                <w:rFonts w:ascii="Calibri" w:hAnsi="Calibri"/>
                <w:color w:val="000000"/>
              </w:rPr>
            </w:pPr>
            <w:r>
              <w:rPr>
                <w:rFonts w:ascii="Calibri" w:hAnsi="Calibri"/>
                <w:color w:val="000000"/>
              </w:rPr>
              <w:t>22.00</w:t>
            </w:r>
          </w:p>
        </w:tc>
        <w:tc>
          <w:tcPr>
            <w:tcW w:w="1540" w:type="dxa"/>
            <w:tcBorders>
              <w:top w:val="nil"/>
              <w:left w:val="single" w:sz="4" w:space="0" w:color="auto"/>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DA6F3F" w:rsidRDefault="00DA6F3F" w:rsidP="007C72B2">
            <w:pPr>
              <w:spacing w:after="0" w:line="240" w:lineRule="auto"/>
              <w:jc w:val="center"/>
              <w:rPr>
                <w:rFonts w:ascii="Calibri" w:hAnsi="Calibri"/>
                <w:color w:val="000000"/>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DA6F3F" w:rsidRDefault="00DA6F3F" w:rsidP="007C72B2">
            <w:pPr>
              <w:spacing w:after="0" w:line="240" w:lineRule="auto"/>
              <w:jc w:val="center"/>
              <w:rPr>
                <w:rFonts w:ascii="Calibri" w:hAnsi="Calibri"/>
                <w:color w:val="000000"/>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DA6F3F" w:rsidRDefault="00DA6F3F" w:rsidP="007C72B2">
            <w:pPr>
              <w:spacing w:after="0" w:line="240" w:lineRule="auto"/>
              <w:jc w:val="center"/>
              <w:rPr>
                <w:rFonts w:ascii="Calibri" w:hAnsi="Calibri"/>
                <w:color w:val="000000"/>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DA6F3F" w:rsidRDefault="00DA6F3F" w:rsidP="007C72B2">
            <w:pPr>
              <w:spacing w:after="0" w:line="240" w:lineRule="auto"/>
              <w:jc w:val="center"/>
              <w:rPr>
                <w:rFonts w:ascii="Calibri" w:hAnsi="Calibri"/>
                <w:color w:val="000000"/>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DA6F3F" w:rsidRDefault="00DA6F3F" w:rsidP="007C72B2">
            <w:pPr>
              <w:spacing w:after="0" w:line="240" w:lineRule="auto"/>
              <w:jc w:val="center"/>
              <w:rPr>
                <w:rFonts w:ascii="Calibri" w:hAnsi="Calibri"/>
                <w:color w:val="000000"/>
              </w:rPr>
            </w:pPr>
            <w:r>
              <w:rPr>
                <w:rFonts w:ascii="Calibri" w:hAnsi="Calibri"/>
                <w:color w:val="000000"/>
              </w:rPr>
              <w:t>22</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DA6F3F" w:rsidRDefault="00DA6F3F" w:rsidP="007C72B2">
            <w:pPr>
              <w:spacing w:after="0" w:line="240" w:lineRule="auto"/>
              <w:jc w:val="center"/>
              <w:rPr>
                <w:rFonts w:ascii="Calibri" w:hAnsi="Calibri"/>
                <w:color w:val="000000"/>
              </w:rPr>
            </w:pPr>
            <w:r>
              <w:rPr>
                <w:rFonts w:ascii="Calibri" w:hAnsi="Calibri"/>
                <w:color w:val="000000"/>
              </w:rPr>
              <w:t>1</w:t>
            </w:r>
          </w:p>
        </w:tc>
      </w:tr>
      <w:tr w:rsidR="00DA6F3F" w:rsidRPr="006F15DF" w:rsidTr="007C72B2">
        <w:trPr>
          <w:trHeight w:val="600"/>
        </w:trPr>
        <w:tc>
          <w:tcPr>
            <w:tcW w:w="3160" w:type="dxa"/>
            <w:tcBorders>
              <w:top w:val="nil"/>
              <w:left w:val="single" w:sz="4" w:space="0" w:color="auto"/>
              <w:bottom w:val="single" w:sz="4" w:space="0" w:color="auto"/>
              <w:right w:val="single" w:sz="4" w:space="0" w:color="auto"/>
            </w:tcBorders>
            <w:shd w:val="clear" w:color="000000" w:fill="FFFFFF"/>
            <w:tcMar>
              <w:top w:w="29" w:type="dxa"/>
              <w:left w:w="29" w:type="dxa"/>
              <w:bottom w:w="29" w:type="dxa"/>
              <w:right w:w="29" w:type="dxa"/>
            </w:tcMar>
            <w:vAlign w:val="center"/>
            <w:hideMark/>
          </w:tcPr>
          <w:p w:rsidR="0082145B" w:rsidRDefault="00DA6F3F">
            <w:pPr>
              <w:spacing w:after="0" w:line="240" w:lineRule="auto"/>
              <w:jc w:val="center"/>
              <w:rPr>
                <w:rFonts w:ascii="Calibri" w:hAnsi="Calibri"/>
                <w:color w:val="000000"/>
              </w:rPr>
            </w:pPr>
            <w:r>
              <w:rPr>
                <w:rFonts w:ascii="Calibri" w:hAnsi="Calibri"/>
                <w:color w:val="000000"/>
              </w:rPr>
              <w:t>Check &amp; Connect</w:t>
            </w:r>
          </w:p>
        </w:tc>
        <w:tc>
          <w:tcPr>
            <w:tcW w:w="1540" w:type="dxa"/>
            <w:tcBorders>
              <w:top w:val="single" w:sz="4" w:space="0" w:color="auto"/>
              <w:left w:val="nil"/>
              <w:bottom w:val="single" w:sz="4" w:space="0" w:color="auto"/>
              <w:right w:val="single" w:sz="4" w:space="0" w:color="auto"/>
            </w:tcBorders>
            <w:shd w:val="clear" w:color="000000" w:fill="FFFFFF"/>
            <w:tcMar>
              <w:top w:w="29" w:type="dxa"/>
              <w:left w:w="29" w:type="dxa"/>
              <w:bottom w:w="29" w:type="dxa"/>
              <w:right w:w="29" w:type="dxa"/>
            </w:tcMar>
            <w:vAlign w:val="center"/>
          </w:tcPr>
          <w:p w:rsidR="0082145B" w:rsidRDefault="00DA6F3F">
            <w:pPr>
              <w:spacing w:line="240" w:lineRule="auto"/>
              <w:jc w:val="center"/>
              <w:rPr>
                <w:rFonts w:ascii="Calibri" w:hAnsi="Calibri"/>
                <w:color w:val="000000"/>
              </w:rPr>
            </w:pPr>
            <w:r>
              <w:rPr>
                <w:rFonts w:ascii="Calibri" w:hAnsi="Calibri"/>
                <w:color w:val="000000"/>
              </w:rPr>
              <w:t>18.67</w:t>
            </w:r>
          </w:p>
        </w:tc>
        <w:tc>
          <w:tcPr>
            <w:tcW w:w="1540" w:type="dxa"/>
            <w:tcBorders>
              <w:top w:val="nil"/>
              <w:left w:val="single" w:sz="4" w:space="0" w:color="auto"/>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30</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25</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w:t>
            </w:r>
          </w:p>
        </w:tc>
      </w:tr>
      <w:tr w:rsidR="00DA6F3F" w:rsidRPr="006F15DF" w:rsidTr="007C72B2">
        <w:trPr>
          <w:trHeight w:val="300"/>
        </w:trPr>
        <w:tc>
          <w:tcPr>
            <w:tcW w:w="3160" w:type="dxa"/>
            <w:tcBorders>
              <w:top w:val="nil"/>
              <w:left w:val="single" w:sz="4" w:space="0" w:color="auto"/>
              <w:bottom w:val="single" w:sz="4" w:space="0" w:color="auto"/>
              <w:right w:val="single" w:sz="4" w:space="0" w:color="auto"/>
            </w:tcBorders>
            <w:shd w:val="clear" w:color="000000" w:fill="FFFFFF"/>
            <w:tcMar>
              <w:top w:w="29" w:type="dxa"/>
              <w:left w:w="29" w:type="dxa"/>
              <w:bottom w:w="29" w:type="dxa"/>
              <w:right w:w="29" w:type="dxa"/>
            </w:tcMar>
            <w:vAlign w:val="center"/>
            <w:hideMark/>
          </w:tcPr>
          <w:p w:rsidR="0082145B" w:rsidRDefault="00DA6F3F">
            <w:pPr>
              <w:spacing w:after="0" w:line="240" w:lineRule="auto"/>
              <w:jc w:val="center"/>
              <w:rPr>
                <w:rFonts w:ascii="Calibri" w:hAnsi="Calibri"/>
                <w:color w:val="000000"/>
              </w:rPr>
            </w:pPr>
            <w:r>
              <w:rPr>
                <w:rFonts w:ascii="Calibri" w:hAnsi="Calibri"/>
                <w:color w:val="000000"/>
              </w:rPr>
              <w:t>Talent Search</w:t>
            </w:r>
          </w:p>
        </w:tc>
        <w:tc>
          <w:tcPr>
            <w:tcW w:w="1540" w:type="dxa"/>
            <w:tcBorders>
              <w:top w:val="single" w:sz="4" w:space="0" w:color="auto"/>
              <w:left w:val="nil"/>
              <w:bottom w:val="single" w:sz="4" w:space="0" w:color="auto"/>
              <w:right w:val="single" w:sz="4" w:space="0" w:color="auto"/>
            </w:tcBorders>
            <w:shd w:val="clear" w:color="000000" w:fill="FFFFFF"/>
            <w:tcMar>
              <w:top w:w="29" w:type="dxa"/>
              <w:left w:w="29" w:type="dxa"/>
              <w:bottom w:w="29" w:type="dxa"/>
              <w:right w:w="29" w:type="dxa"/>
            </w:tcMar>
            <w:vAlign w:val="center"/>
          </w:tcPr>
          <w:p w:rsidR="0082145B" w:rsidRDefault="00DA6F3F">
            <w:pPr>
              <w:spacing w:line="240" w:lineRule="auto"/>
              <w:jc w:val="center"/>
              <w:rPr>
                <w:rFonts w:ascii="Calibri" w:hAnsi="Calibri"/>
                <w:color w:val="000000"/>
              </w:rPr>
            </w:pPr>
            <w:r>
              <w:rPr>
                <w:rFonts w:ascii="Calibri" w:hAnsi="Calibri"/>
                <w:color w:val="000000"/>
              </w:rPr>
              <w:t>17.00</w:t>
            </w:r>
          </w:p>
        </w:tc>
        <w:tc>
          <w:tcPr>
            <w:tcW w:w="1540" w:type="dxa"/>
            <w:tcBorders>
              <w:top w:val="nil"/>
              <w:left w:val="single" w:sz="4" w:space="0" w:color="auto"/>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17</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2</w:t>
            </w:r>
          </w:p>
        </w:tc>
      </w:tr>
      <w:tr w:rsidR="00DA6F3F" w:rsidRPr="006F15DF" w:rsidTr="007C72B2">
        <w:trPr>
          <w:trHeight w:val="300"/>
        </w:trPr>
        <w:tc>
          <w:tcPr>
            <w:tcW w:w="3160" w:type="dxa"/>
            <w:tcBorders>
              <w:top w:val="nil"/>
              <w:left w:val="single" w:sz="4" w:space="0" w:color="auto"/>
              <w:bottom w:val="single" w:sz="4" w:space="0" w:color="auto"/>
              <w:right w:val="single" w:sz="4" w:space="0" w:color="auto"/>
            </w:tcBorders>
            <w:shd w:val="clear" w:color="000000" w:fill="FFFFFF"/>
            <w:tcMar>
              <w:top w:w="29" w:type="dxa"/>
              <w:left w:w="29" w:type="dxa"/>
              <w:bottom w:w="29" w:type="dxa"/>
              <w:right w:w="29" w:type="dxa"/>
            </w:tcMar>
            <w:vAlign w:val="center"/>
            <w:hideMark/>
          </w:tcPr>
          <w:p w:rsidR="0082145B" w:rsidRDefault="00DA6F3F">
            <w:pPr>
              <w:spacing w:after="0" w:line="240" w:lineRule="auto"/>
              <w:jc w:val="center"/>
              <w:rPr>
                <w:rFonts w:ascii="Calibri" w:hAnsi="Calibri"/>
                <w:color w:val="000000"/>
              </w:rPr>
            </w:pPr>
            <w:r>
              <w:rPr>
                <w:rFonts w:ascii="Calibri" w:hAnsi="Calibri"/>
                <w:color w:val="000000"/>
              </w:rPr>
              <w:t>JOBSTART</w:t>
            </w:r>
          </w:p>
        </w:tc>
        <w:tc>
          <w:tcPr>
            <w:tcW w:w="1540" w:type="dxa"/>
            <w:tcBorders>
              <w:top w:val="single" w:sz="4" w:space="0" w:color="auto"/>
              <w:left w:val="nil"/>
              <w:bottom w:val="single" w:sz="4" w:space="0" w:color="auto"/>
              <w:right w:val="single" w:sz="4" w:space="0" w:color="auto"/>
            </w:tcBorders>
            <w:shd w:val="clear" w:color="000000" w:fill="FFFFFF"/>
            <w:tcMar>
              <w:top w:w="29" w:type="dxa"/>
              <w:left w:w="29" w:type="dxa"/>
              <w:bottom w:w="29" w:type="dxa"/>
              <w:right w:w="29" w:type="dxa"/>
            </w:tcMar>
            <w:vAlign w:val="center"/>
          </w:tcPr>
          <w:p w:rsidR="0082145B" w:rsidRDefault="00DA6F3F">
            <w:pPr>
              <w:spacing w:line="240" w:lineRule="auto"/>
              <w:jc w:val="center"/>
              <w:rPr>
                <w:rFonts w:ascii="Calibri" w:hAnsi="Calibri"/>
                <w:color w:val="000000"/>
              </w:rPr>
            </w:pPr>
            <w:r>
              <w:rPr>
                <w:rFonts w:ascii="Calibri" w:hAnsi="Calibri"/>
                <w:color w:val="000000"/>
              </w:rPr>
              <w:t>14.00</w:t>
            </w:r>
          </w:p>
        </w:tc>
        <w:tc>
          <w:tcPr>
            <w:tcW w:w="1540" w:type="dxa"/>
            <w:tcBorders>
              <w:top w:val="nil"/>
              <w:left w:val="single" w:sz="4" w:space="0" w:color="auto"/>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14</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w:t>
            </w:r>
          </w:p>
        </w:tc>
      </w:tr>
      <w:tr w:rsidR="00DA6F3F" w:rsidRPr="006F15DF" w:rsidTr="007C72B2">
        <w:trPr>
          <w:trHeight w:val="300"/>
        </w:trPr>
        <w:tc>
          <w:tcPr>
            <w:tcW w:w="3160" w:type="dxa"/>
            <w:tcBorders>
              <w:top w:val="nil"/>
              <w:left w:val="single" w:sz="4" w:space="0" w:color="auto"/>
              <w:bottom w:val="single" w:sz="4" w:space="0" w:color="auto"/>
              <w:right w:val="single" w:sz="4" w:space="0" w:color="auto"/>
            </w:tcBorders>
            <w:shd w:val="clear" w:color="000000" w:fill="FFFFFF"/>
            <w:tcMar>
              <w:top w:w="29" w:type="dxa"/>
              <w:left w:w="29" w:type="dxa"/>
              <w:bottom w:w="29" w:type="dxa"/>
              <w:right w:w="29" w:type="dxa"/>
            </w:tcMar>
            <w:vAlign w:val="center"/>
            <w:hideMark/>
          </w:tcPr>
          <w:p w:rsidR="0082145B" w:rsidRDefault="00DA6F3F">
            <w:pPr>
              <w:spacing w:after="0" w:line="240" w:lineRule="auto"/>
              <w:jc w:val="center"/>
              <w:rPr>
                <w:rFonts w:ascii="Calibri" w:hAnsi="Calibri"/>
                <w:color w:val="000000"/>
              </w:rPr>
            </w:pPr>
            <w:r>
              <w:rPr>
                <w:rFonts w:ascii="Calibri" w:hAnsi="Calibri"/>
                <w:color w:val="000000"/>
              </w:rPr>
              <w:t>Career Academies</w:t>
            </w:r>
          </w:p>
        </w:tc>
        <w:tc>
          <w:tcPr>
            <w:tcW w:w="1540" w:type="dxa"/>
            <w:tcBorders>
              <w:top w:val="single" w:sz="4" w:space="0" w:color="auto"/>
              <w:left w:val="nil"/>
              <w:bottom w:val="single" w:sz="4" w:space="0" w:color="auto"/>
              <w:right w:val="single" w:sz="4" w:space="0" w:color="auto"/>
            </w:tcBorders>
            <w:shd w:val="clear" w:color="000000" w:fill="FFFFFF"/>
            <w:tcMar>
              <w:top w:w="29" w:type="dxa"/>
              <w:left w:w="29" w:type="dxa"/>
              <w:bottom w:w="29" w:type="dxa"/>
              <w:right w:w="29" w:type="dxa"/>
            </w:tcMar>
            <w:vAlign w:val="center"/>
          </w:tcPr>
          <w:p w:rsidR="0082145B" w:rsidRDefault="00DA6F3F">
            <w:pPr>
              <w:spacing w:line="240" w:lineRule="auto"/>
              <w:jc w:val="center"/>
              <w:rPr>
                <w:rFonts w:ascii="Calibri" w:hAnsi="Calibri"/>
                <w:color w:val="000000"/>
              </w:rPr>
            </w:pPr>
            <w:r>
              <w:rPr>
                <w:rFonts w:ascii="Calibri" w:hAnsi="Calibri"/>
                <w:color w:val="000000"/>
              </w:rPr>
              <w:t>8.67</w:t>
            </w:r>
          </w:p>
        </w:tc>
        <w:tc>
          <w:tcPr>
            <w:tcW w:w="1540" w:type="dxa"/>
            <w:tcBorders>
              <w:top w:val="nil"/>
              <w:left w:val="single" w:sz="4" w:space="0" w:color="auto"/>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13</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13</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0</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w:t>
            </w:r>
          </w:p>
        </w:tc>
      </w:tr>
      <w:tr w:rsidR="00DA6F3F" w:rsidRPr="006F15DF" w:rsidTr="007C72B2">
        <w:trPr>
          <w:trHeight w:val="300"/>
        </w:trPr>
        <w:tc>
          <w:tcPr>
            <w:tcW w:w="3160" w:type="dxa"/>
            <w:tcBorders>
              <w:top w:val="nil"/>
              <w:left w:val="single" w:sz="4" w:space="0" w:color="auto"/>
              <w:bottom w:val="single" w:sz="4" w:space="0" w:color="auto"/>
              <w:right w:val="single" w:sz="4" w:space="0" w:color="auto"/>
            </w:tcBorders>
            <w:shd w:val="clear" w:color="000000" w:fill="FFFFFF"/>
            <w:tcMar>
              <w:top w:w="29" w:type="dxa"/>
              <w:left w:w="29" w:type="dxa"/>
              <w:bottom w:w="29" w:type="dxa"/>
              <w:right w:w="29" w:type="dxa"/>
            </w:tcMar>
            <w:vAlign w:val="center"/>
            <w:hideMark/>
          </w:tcPr>
          <w:p w:rsidR="0082145B" w:rsidRDefault="00DA6F3F">
            <w:pPr>
              <w:spacing w:after="0" w:line="240" w:lineRule="auto"/>
              <w:jc w:val="center"/>
              <w:rPr>
                <w:rFonts w:ascii="Calibri" w:hAnsi="Calibri"/>
                <w:color w:val="000000"/>
              </w:rPr>
            </w:pPr>
            <w:r>
              <w:rPr>
                <w:rFonts w:ascii="Calibri" w:hAnsi="Calibri"/>
                <w:color w:val="000000"/>
              </w:rPr>
              <w:t>New Chance</w:t>
            </w:r>
          </w:p>
        </w:tc>
        <w:tc>
          <w:tcPr>
            <w:tcW w:w="1540" w:type="dxa"/>
            <w:tcBorders>
              <w:top w:val="single" w:sz="4" w:space="0" w:color="auto"/>
              <w:left w:val="nil"/>
              <w:bottom w:val="single" w:sz="4" w:space="0" w:color="auto"/>
              <w:right w:val="single" w:sz="4" w:space="0" w:color="auto"/>
            </w:tcBorders>
            <w:shd w:val="clear" w:color="000000" w:fill="FFFFFF"/>
            <w:tcMar>
              <w:top w:w="29" w:type="dxa"/>
              <w:left w:w="29" w:type="dxa"/>
              <w:bottom w:w="29" w:type="dxa"/>
              <w:right w:w="29" w:type="dxa"/>
            </w:tcMar>
            <w:vAlign w:val="center"/>
          </w:tcPr>
          <w:p w:rsidR="0082145B" w:rsidRDefault="00DA6F3F">
            <w:pPr>
              <w:spacing w:line="240" w:lineRule="auto"/>
              <w:jc w:val="center"/>
              <w:rPr>
                <w:rFonts w:ascii="Calibri" w:hAnsi="Calibri"/>
                <w:color w:val="000000"/>
              </w:rPr>
            </w:pPr>
            <w:r>
              <w:rPr>
                <w:rFonts w:ascii="Calibri" w:hAnsi="Calibri"/>
                <w:color w:val="000000"/>
              </w:rPr>
              <w:t>8.00</w:t>
            </w:r>
          </w:p>
        </w:tc>
        <w:tc>
          <w:tcPr>
            <w:tcW w:w="1540" w:type="dxa"/>
            <w:tcBorders>
              <w:top w:val="nil"/>
              <w:left w:val="single" w:sz="4" w:space="0" w:color="auto"/>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8</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w:t>
            </w:r>
          </w:p>
        </w:tc>
      </w:tr>
      <w:tr w:rsidR="00DA6F3F" w:rsidRPr="006F15DF" w:rsidTr="007C72B2">
        <w:trPr>
          <w:trHeight w:val="600"/>
        </w:trPr>
        <w:tc>
          <w:tcPr>
            <w:tcW w:w="3160" w:type="dxa"/>
            <w:tcBorders>
              <w:top w:val="nil"/>
              <w:left w:val="single" w:sz="4" w:space="0" w:color="auto"/>
              <w:bottom w:val="single" w:sz="4" w:space="0" w:color="auto"/>
              <w:right w:val="single" w:sz="4" w:space="0" w:color="auto"/>
            </w:tcBorders>
            <w:shd w:val="clear" w:color="000000" w:fill="FFFFFF"/>
            <w:tcMar>
              <w:top w:w="29" w:type="dxa"/>
              <w:left w:w="29" w:type="dxa"/>
              <w:bottom w:w="29" w:type="dxa"/>
              <w:right w:w="29" w:type="dxa"/>
            </w:tcMar>
            <w:vAlign w:val="center"/>
            <w:hideMark/>
          </w:tcPr>
          <w:p w:rsidR="0082145B" w:rsidRDefault="00DA6F3F">
            <w:pPr>
              <w:spacing w:after="0" w:line="240" w:lineRule="auto"/>
              <w:jc w:val="center"/>
              <w:rPr>
                <w:rFonts w:ascii="Calibri" w:hAnsi="Calibri"/>
                <w:color w:val="000000"/>
              </w:rPr>
            </w:pPr>
            <w:r>
              <w:rPr>
                <w:rFonts w:ascii="Calibri" w:hAnsi="Calibri"/>
                <w:color w:val="000000"/>
              </w:rPr>
              <w:t>Talent Development High Schools</w:t>
            </w:r>
          </w:p>
        </w:tc>
        <w:tc>
          <w:tcPr>
            <w:tcW w:w="1540" w:type="dxa"/>
            <w:tcBorders>
              <w:top w:val="single" w:sz="4" w:space="0" w:color="auto"/>
              <w:left w:val="nil"/>
              <w:bottom w:val="single" w:sz="4" w:space="0" w:color="auto"/>
              <w:right w:val="single" w:sz="4" w:space="0" w:color="auto"/>
            </w:tcBorders>
            <w:shd w:val="clear" w:color="000000" w:fill="FFFFFF"/>
            <w:tcMar>
              <w:top w:w="29" w:type="dxa"/>
              <w:left w:w="29" w:type="dxa"/>
              <w:bottom w:w="29" w:type="dxa"/>
              <w:right w:w="29" w:type="dxa"/>
            </w:tcMar>
            <w:vAlign w:val="center"/>
          </w:tcPr>
          <w:p w:rsidR="0082145B" w:rsidRDefault="00DA6F3F">
            <w:pPr>
              <w:spacing w:line="240" w:lineRule="auto"/>
              <w:jc w:val="center"/>
              <w:rPr>
                <w:rFonts w:ascii="Calibri" w:hAnsi="Calibri"/>
                <w:color w:val="000000"/>
              </w:rPr>
            </w:pPr>
            <w:r>
              <w:rPr>
                <w:rFonts w:ascii="Calibri" w:hAnsi="Calibri"/>
                <w:color w:val="000000"/>
              </w:rPr>
              <w:t>7.00</w:t>
            </w:r>
          </w:p>
        </w:tc>
        <w:tc>
          <w:tcPr>
            <w:tcW w:w="1540" w:type="dxa"/>
            <w:tcBorders>
              <w:top w:val="nil"/>
              <w:left w:val="single" w:sz="4" w:space="0" w:color="auto"/>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7</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r>
      <w:tr w:rsidR="00DA6F3F" w:rsidRPr="006F15DF" w:rsidTr="007C72B2">
        <w:trPr>
          <w:trHeight w:val="300"/>
        </w:trPr>
        <w:tc>
          <w:tcPr>
            <w:tcW w:w="3160" w:type="dxa"/>
            <w:tcBorders>
              <w:top w:val="nil"/>
              <w:left w:val="single" w:sz="4" w:space="0" w:color="auto"/>
              <w:bottom w:val="single" w:sz="4" w:space="0" w:color="auto"/>
              <w:right w:val="single" w:sz="4" w:space="0" w:color="auto"/>
            </w:tcBorders>
            <w:shd w:val="clear" w:color="auto" w:fill="auto"/>
            <w:tcMar>
              <w:top w:w="29" w:type="dxa"/>
              <w:left w:w="29" w:type="dxa"/>
              <w:bottom w:w="29" w:type="dxa"/>
              <w:right w:w="29" w:type="dxa"/>
            </w:tcMar>
            <w:vAlign w:val="center"/>
            <w:hideMark/>
          </w:tcPr>
          <w:p w:rsidR="0082145B" w:rsidRDefault="00DA6F3F">
            <w:pPr>
              <w:spacing w:after="0" w:line="240" w:lineRule="auto"/>
              <w:jc w:val="center"/>
              <w:rPr>
                <w:rFonts w:ascii="Calibri" w:hAnsi="Calibri"/>
                <w:color w:val="000000"/>
              </w:rPr>
            </w:pPr>
            <w:r>
              <w:rPr>
                <w:rFonts w:ascii="Calibri" w:hAnsi="Calibri"/>
                <w:color w:val="000000"/>
              </w:rPr>
              <w:t>Job Corps</w:t>
            </w:r>
          </w:p>
        </w:tc>
        <w:tc>
          <w:tcPr>
            <w:tcW w:w="1540" w:type="dxa"/>
            <w:tcBorders>
              <w:top w:val="single" w:sz="4" w:space="0" w:color="auto"/>
              <w:left w:val="nil"/>
              <w:bottom w:val="single" w:sz="4" w:space="0" w:color="auto"/>
              <w:right w:val="single" w:sz="4" w:space="0" w:color="auto"/>
            </w:tcBorders>
            <w:tcMar>
              <w:top w:w="29" w:type="dxa"/>
              <w:left w:w="29" w:type="dxa"/>
              <w:bottom w:w="29" w:type="dxa"/>
              <w:right w:w="29" w:type="dxa"/>
            </w:tcMar>
            <w:vAlign w:val="center"/>
          </w:tcPr>
          <w:p w:rsidR="0082145B" w:rsidRDefault="00DA6F3F">
            <w:pPr>
              <w:spacing w:line="240" w:lineRule="auto"/>
              <w:jc w:val="center"/>
              <w:rPr>
                <w:rFonts w:ascii="Calibri" w:hAnsi="Calibri"/>
                <w:color w:val="000000"/>
              </w:rPr>
            </w:pPr>
            <w:r>
              <w:rPr>
                <w:rFonts w:ascii="Calibri" w:hAnsi="Calibri"/>
                <w:color w:val="000000"/>
              </w:rPr>
              <w:t>5.00</w:t>
            </w:r>
          </w:p>
        </w:tc>
        <w:tc>
          <w:tcPr>
            <w:tcW w:w="1540" w:type="dxa"/>
            <w:tcBorders>
              <w:top w:val="nil"/>
              <w:left w:val="single" w:sz="4" w:space="0" w:color="auto"/>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-3</w:t>
            </w: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w:t>
            </w: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13</w:t>
            </w: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w:t>
            </w:r>
          </w:p>
        </w:tc>
      </w:tr>
      <w:tr w:rsidR="00DA6F3F" w:rsidRPr="006F15DF" w:rsidTr="007C72B2">
        <w:trPr>
          <w:trHeight w:val="600"/>
        </w:trPr>
        <w:tc>
          <w:tcPr>
            <w:tcW w:w="3160" w:type="dxa"/>
            <w:tcBorders>
              <w:top w:val="nil"/>
              <w:left w:val="single" w:sz="4" w:space="0" w:color="auto"/>
              <w:bottom w:val="single" w:sz="4" w:space="0" w:color="auto"/>
              <w:right w:val="single" w:sz="4" w:space="0" w:color="auto"/>
            </w:tcBorders>
            <w:shd w:val="clear" w:color="auto" w:fill="auto"/>
            <w:tcMar>
              <w:top w:w="29" w:type="dxa"/>
              <w:left w:w="29" w:type="dxa"/>
              <w:bottom w:w="29" w:type="dxa"/>
              <w:right w:w="29" w:type="dxa"/>
            </w:tcMar>
            <w:vAlign w:val="center"/>
            <w:hideMark/>
          </w:tcPr>
          <w:p w:rsidR="0082145B" w:rsidRDefault="00DA6F3F">
            <w:pPr>
              <w:spacing w:after="0" w:line="240" w:lineRule="auto"/>
              <w:jc w:val="center"/>
              <w:rPr>
                <w:rFonts w:ascii="Calibri" w:hAnsi="Calibri"/>
                <w:color w:val="000000"/>
              </w:rPr>
            </w:pPr>
            <w:r>
              <w:rPr>
                <w:rFonts w:ascii="Calibri" w:hAnsi="Calibri"/>
                <w:color w:val="000000"/>
              </w:rPr>
              <w:t>Financial Incentives for Teen Parents to Stay in School</w:t>
            </w:r>
          </w:p>
        </w:tc>
        <w:tc>
          <w:tcPr>
            <w:tcW w:w="1540" w:type="dxa"/>
            <w:tcBorders>
              <w:top w:val="single" w:sz="4" w:space="0" w:color="auto"/>
              <w:left w:val="nil"/>
              <w:bottom w:val="single" w:sz="4" w:space="0" w:color="auto"/>
              <w:right w:val="single" w:sz="4" w:space="0" w:color="auto"/>
            </w:tcBorders>
            <w:tcMar>
              <w:top w:w="29" w:type="dxa"/>
              <w:left w:w="29" w:type="dxa"/>
              <w:bottom w:w="29" w:type="dxa"/>
              <w:right w:w="29" w:type="dxa"/>
            </w:tcMar>
            <w:vAlign w:val="center"/>
          </w:tcPr>
          <w:p w:rsidR="0082145B" w:rsidRDefault="00DA6F3F">
            <w:pPr>
              <w:spacing w:line="240" w:lineRule="auto"/>
              <w:jc w:val="center"/>
              <w:rPr>
                <w:rFonts w:ascii="Calibri" w:hAnsi="Calibri"/>
                <w:color w:val="000000"/>
              </w:rPr>
            </w:pPr>
            <w:r>
              <w:rPr>
                <w:rFonts w:ascii="Calibri" w:hAnsi="Calibri"/>
                <w:color w:val="000000"/>
              </w:rPr>
              <w:t>4.80</w:t>
            </w:r>
          </w:p>
        </w:tc>
        <w:tc>
          <w:tcPr>
            <w:tcW w:w="1540" w:type="dxa"/>
            <w:tcBorders>
              <w:top w:val="nil"/>
              <w:left w:val="single" w:sz="4" w:space="0" w:color="auto"/>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4</w:t>
            </w: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w:t>
            </w: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6</w:t>
            </w: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2</w:t>
            </w: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4</w:t>
            </w: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2</w:t>
            </w:r>
          </w:p>
        </w:tc>
      </w:tr>
      <w:tr w:rsidR="00DA6F3F" w:rsidRPr="006F15DF" w:rsidTr="007C72B2">
        <w:trPr>
          <w:trHeight w:val="300"/>
        </w:trPr>
        <w:tc>
          <w:tcPr>
            <w:tcW w:w="3160" w:type="dxa"/>
            <w:tcBorders>
              <w:top w:val="nil"/>
              <w:left w:val="single" w:sz="4" w:space="0" w:color="auto"/>
              <w:bottom w:val="single" w:sz="4" w:space="0" w:color="auto"/>
              <w:right w:val="single" w:sz="4" w:space="0" w:color="auto"/>
            </w:tcBorders>
            <w:shd w:val="clear" w:color="000000" w:fill="FFFFFF"/>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lastRenderedPageBreak/>
              <w:t>High School Redirection</w:t>
            </w:r>
          </w:p>
        </w:tc>
        <w:tc>
          <w:tcPr>
            <w:tcW w:w="1540" w:type="dxa"/>
            <w:tcBorders>
              <w:top w:val="single" w:sz="4" w:space="0" w:color="auto"/>
              <w:left w:val="nil"/>
              <w:bottom w:val="single" w:sz="4" w:space="0" w:color="auto"/>
              <w:right w:val="single" w:sz="4" w:space="0" w:color="auto"/>
            </w:tcBorders>
            <w:shd w:val="clear" w:color="000000" w:fill="FFFFFF"/>
            <w:tcMar>
              <w:top w:w="29" w:type="dxa"/>
              <w:left w:w="29" w:type="dxa"/>
              <w:bottom w:w="29" w:type="dxa"/>
              <w:right w:w="29" w:type="dxa"/>
            </w:tcMar>
            <w:vAlign w:val="center"/>
          </w:tcPr>
          <w:p w:rsidR="0082145B" w:rsidRDefault="00DA6F3F">
            <w:pPr>
              <w:spacing w:line="240" w:lineRule="auto"/>
              <w:jc w:val="center"/>
              <w:rPr>
                <w:rFonts w:ascii="Calibri" w:hAnsi="Calibri"/>
                <w:color w:val="000000"/>
              </w:rPr>
            </w:pPr>
            <w:r>
              <w:rPr>
                <w:rFonts w:ascii="Calibri" w:hAnsi="Calibri"/>
                <w:color w:val="000000"/>
              </w:rPr>
              <w:t>4.67</w:t>
            </w:r>
          </w:p>
        </w:tc>
        <w:tc>
          <w:tcPr>
            <w:tcW w:w="1540" w:type="dxa"/>
            <w:tcBorders>
              <w:top w:val="nil"/>
              <w:left w:val="single" w:sz="4" w:space="0" w:color="auto"/>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4</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2</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6</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2</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4</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2</w:t>
            </w:r>
          </w:p>
        </w:tc>
      </w:tr>
      <w:tr w:rsidR="00DA6F3F" w:rsidRPr="006F15DF" w:rsidTr="007C72B2">
        <w:trPr>
          <w:trHeight w:val="300"/>
        </w:trPr>
        <w:tc>
          <w:tcPr>
            <w:tcW w:w="3160" w:type="dxa"/>
            <w:tcBorders>
              <w:top w:val="nil"/>
              <w:left w:val="single" w:sz="4" w:space="0" w:color="auto"/>
              <w:bottom w:val="single" w:sz="4" w:space="0" w:color="auto"/>
              <w:right w:val="single" w:sz="4" w:space="0" w:color="auto"/>
            </w:tcBorders>
            <w:shd w:val="clear" w:color="auto" w:fill="auto"/>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Twelve Together</w:t>
            </w:r>
          </w:p>
        </w:tc>
        <w:tc>
          <w:tcPr>
            <w:tcW w:w="1540" w:type="dxa"/>
            <w:tcBorders>
              <w:top w:val="single" w:sz="4" w:space="0" w:color="auto"/>
              <w:left w:val="nil"/>
              <w:bottom w:val="single" w:sz="4" w:space="0" w:color="auto"/>
              <w:right w:val="single" w:sz="4" w:space="0" w:color="auto"/>
            </w:tcBorders>
            <w:tcMar>
              <w:top w:w="29" w:type="dxa"/>
              <w:left w:w="29" w:type="dxa"/>
              <w:bottom w:w="29" w:type="dxa"/>
              <w:right w:w="29" w:type="dxa"/>
            </w:tcMar>
            <w:vAlign w:val="center"/>
          </w:tcPr>
          <w:p w:rsidR="0082145B" w:rsidRDefault="00DA6F3F">
            <w:pPr>
              <w:spacing w:line="240" w:lineRule="auto"/>
              <w:jc w:val="center"/>
              <w:rPr>
                <w:rFonts w:ascii="Calibri" w:hAnsi="Calibri"/>
                <w:color w:val="000000"/>
              </w:rPr>
            </w:pPr>
            <w:r>
              <w:rPr>
                <w:rFonts w:ascii="Calibri" w:hAnsi="Calibri"/>
                <w:color w:val="000000"/>
              </w:rPr>
              <w:t>3.50</w:t>
            </w:r>
          </w:p>
        </w:tc>
        <w:tc>
          <w:tcPr>
            <w:tcW w:w="1540" w:type="dxa"/>
            <w:tcBorders>
              <w:top w:val="nil"/>
              <w:left w:val="single" w:sz="4" w:space="0" w:color="auto"/>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-6</w:t>
            </w: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w:t>
            </w: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13</w:t>
            </w: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w:t>
            </w: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r>
      <w:tr w:rsidR="00DA6F3F" w:rsidRPr="006F15DF" w:rsidTr="007C72B2">
        <w:trPr>
          <w:trHeight w:val="300"/>
        </w:trPr>
        <w:tc>
          <w:tcPr>
            <w:tcW w:w="3160" w:type="dxa"/>
            <w:tcBorders>
              <w:top w:val="nil"/>
              <w:left w:val="single" w:sz="4" w:space="0" w:color="auto"/>
              <w:bottom w:val="single" w:sz="4" w:space="0" w:color="auto"/>
              <w:right w:val="single" w:sz="4" w:space="0" w:color="auto"/>
            </w:tcBorders>
            <w:shd w:val="clear" w:color="auto" w:fill="auto"/>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Quantum Opportunity Program</w:t>
            </w:r>
          </w:p>
        </w:tc>
        <w:tc>
          <w:tcPr>
            <w:tcW w:w="1540" w:type="dxa"/>
            <w:tcBorders>
              <w:top w:val="single" w:sz="4" w:space="0" w:color="auto"/>
              <w:left w:val="nil"/>
              <w:bottom w:val="single" w:sz="4" w:space="0" w:color="auto"/>
              <w:right w:val="single" w:sz="4" w:space="0" w:color="auto"/>
            </w:tcBorders>
            <w:tcMar>
              <w:top w:w="29" w:type="dxa"/>
              <w:left w:w="29" w:type="dxa"/>
              <w:bottom w:w="29" w:type="dxa"/>
              <w:right w:w="29" w:type="dxa"/>
            </w:tcMar>
            <w:vAlign w:val="center"/>
          </w:tcPr>
          <w:p w:rsidR="0082145B" w:rsidRDefault="00DA6F3F">
            <w:pPr>
              <w:spacing w:line="240" w:lineRule="auto"/>
              <w:jc w:val="center"/>
              <w:rPr>
                <w:rFonts w:ascii="Calibri" w:hAnsi="Calibri"/>
                <w:color w:val="000000"/>
              </w:rPr>
            </w:pPr>
            <w:r>
              <w:rPr>
                <w:rFonts w:ascii="Calibri" w:hAnsi="Calibri"/>
                <w:color w:val="000000"/>
              </w:rPr>
              <w:t>3.00</w:t>
            </w:r>
          </w:p>
        </w:tc>
        <w:tc>
          <w:tcPr>
            <w:tcW w:w="1540" w:type="dxa"/>
            <w:tcBorders>
              <w:top w:val="nil"/>
              <w:left w:val="single" w:sz="4" w:space="0" w:color="auto"/>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2</w:t>
            </w: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w:t>
            </w: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4</w:t>
            </w: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w:t>
            </w:r>
          </w:p>
        </w:tc>
      </w:tr>
      <w:tr w:rsidR="00DA6F3F" w:rsidRPr="006F15DF" w:rsidTr="007C72B2">
        <w:trPr>
          <w:trHeight w:val="300"/>
        </w:trPr>
        <w:tc>
          <w:tcPr>
            <w:tcW w:w="3160" w:type="dxa"/>
            <w:tcBorders>
              <w:top w:val="nil"/>
              <w:left w:val="single" w:sz="4" w:space="0" w:color="auto"/>
              <w:bottom w:val="single" w:sz="4" w:space="0" w:color="auto"/>
              <w:right w:val="single" w:sz="4" w:space="0" w:color="auto"/>
            </w:tcBorders>
            <w:shd w:val="clear" w:color="000000" w:fill="FFFFFF"/>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Middle College High School</w:t>
            </w:r>
          </w:p>
        </w:tc>
        <w:tc>
          <w:tcPr>
            <w:tcW w:w="1540" w:type="dxa"/>
            <w:tcBorders>
              <w:top w:val="single" w:sz="4" w:space="0" w:color="auto"/>
              <w:left w:val="nil"/>
              <w:bottom w:val="single" w:sz="4" w:space="0" w:color="auto"/>
              <w:right w:val="single" w:sz="4" w:space="0" w:color="auto"/>
            </w:tcBorders>
            <w:shd w:val="clear" w:color="000000" w:fill="FFFFFF"/>
            <w:tcMar>
              <w:top w:w="29" w:type="dxa"/>
              <w:left w:w="29" w:type="dxa"/>
              <w:bottom w:w="29" w:type="dxa"/>
              <w:right w:w="29" w:type="dxa"/>
            </w:tcMar>
            <w:vAlign w:val="center"/>
          </w:tcPr>
          <w:p w:rsidR="0082145B" w:rsidRDefault="00DA6F3F">
            <w:pPr>
              <w:spacing w:line="240" w:lineRule="auto"/>
              <w:jc w:val="center"/>
              <w:rPr>
                <w:rFonts w:ascii="Calibri" w:hAnsi="Calibri"/>
                <w:color w:val="000000"/>
              </w:rPr>
            </w:pPr>
            <w:r>
              <w:rPr>
                <w:rFonts w:ascii="Calibri" w:hAnsi="Calibri"/>
                <w:color w:val="000000"/>
              </w:rPr>
              <w:t>-0.50</w:t>
            </w:r>
          </w:p>
        </w:tc>
        <w:tc>
          <w:tcPr>
            <w:tcW w:w="1540" w:type="dxa"/>
            <w:tcBorders>
              <w:top w:val="nil"/>
              <w:left w:val="single" w:sz="4" w:space="0" w:color="auto"/>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-3</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2</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w:t>
            </w:r>
          </w:p>
        </w:tc>
      </w:tr>
      <w:tr w:rsidR="00DA6F3F" w:rsidRPr="006F15DF" w:rsidTr="007C72B2">
        <w:trPr>
          <w:trHeight w:val="300"/>
        </w:trPr>
        <w:tc>
          <w:tcPr>
            <w:tcW w:w="3160" w:type="dxa"/>
            <w:tcBorders>
              <w:top w:val="nil"/>
              <w:left w:val="single" w:sz="4" w:space="0" w:color="auto"/>
              <w:bottom w:val="single" w:sz="4" w:space="0" w:color="auto"/>
              <w:right w:val="single" w:sz="4" w:space="0" w:color="auto"/>
            </w:tcBorders>
            <w:shd w:val="clear" w:color="000000" w:fill="FFFFFF"/>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First Things First</w:t>
            </w:r>
          </w:p>
        </w:tc>
        <w:tc>
          <w:tcPr>
            <w:tcW w:w="1540" w:type="dxa"/>
            <w:tcBorders>
              <w:top w:val="single" w:sz="4" w:space="0" w:color="auto"/>
              <w:left w:val="nil"/>
              <w:bottom w:val="single" w:sz="4" w:space="0" w:color="auto"/>
              <w:right w:val="single" w:sz="4" w:space="0" w:color="auto"/>
            </w:tcBorders>
            <w:shd w:val="clear" w:color="000000" w:fill="FFFFFF"/>
            <w:tcMar>
              <w:top w:w="29" w:type="dxa"/>
              <w:left w:w="29" w:type="dxa"/>
              <w:bottom w:w="29" w:type="dxa"/>
              <w:right w:w="29" w:type="dxa"/>
            </w:tcMar>
            <w:vAlign w:val="center"/>
          </w:tcPr>
          <w:p w:rsidR="0082145B" w:rsidRDefault="00DA6F3F">
            <w:pPr>
              <w:spacing w:line="240" w:lineRule="auto"/>
              <w:jc w:val="center"/>
              <w:rPr>
                <w:rFonts w:ascii="Calibri" w:hAnsi="Calibri"/>
                <w:color w:val="000000"/>
              </w:rPr>
            </w:pPr>
            <w:r>
              <w:rPr>
                <w:rFonts w:ascii="Calibri" w:hAnsi="Calibri"/>
                <w:color w:val="000000"/>
              </w:rPr>
              <w:t>-1.00</w:t>
            </w:r>
          </w:p>
        </w:tc>
        <w:tc>
          <w:tcPr>
            <w:tcW w:w="1540" w:type="dxa"/>
            <w:tcBorders>
              <w:top w:val="nil"/>
              <w:left w:val="single" w:sz="4" w:space="0" w:color="auto"/>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w:t>
            </w: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r>
      <w:tr w:rsidR="00DA6F3F" w:rsidRPr="006F15DF" w:rsidTr="007C72B2">
        <w:trPr>
          <w:trHeight w:val="300"/>
        </w:trPr>
        <w:tc>
          <w:tcPr>
            <w:tcW w:w="3160" w:type="dxa"/>
            <w:tcBorders>
              <w:top w:val="nil"/>
              <w:left w:val="single" w:sz="4" w:space="0" w:color="auto"/>
              <w:bottom w:val="single" w:sz="4" w:space="0" w:color="auto"/>
              <w:right w:val="single" w:sz="4" w:space="0" w:color="auto"/>
            </w:tcBorders>
            <w:shd w:val="clear" w:color="auto" w:fill="auto"/>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Service and Conservation Corps</w:t>
            </w:r>
          </w:p>
        </w:tc>
        <w:tc>
          <w:tcPr>
            <w:tcW w:w="1540" w:type="dxa"/>
            <w:tcBorders>
              <w:top w:val="single" w:sz="4" w:space="0" w:color="auto"/>
              <w:left w:val="nil"/>
              <w:bottom w:val="single" w:sz="4" w:space="0" w:color="auto"/>
              <w:right w:val="single" w:sz="4" w:space="0" w:color="auto"/>
            </w:tcBorders>
            <w:tcMar>
              <w:top w:w="29" w:type="dxa"/>
              <w:left w:w="29" w:type="dxa"/>
              <w:bottom w:w="29" w:type="dxa"/>
              <w:right w:w="29" w:type="dxa"/>
            </w:tcMar>
            <w:vAlign w:val="center"/>
          </w:tcPr>
          <w:p w:rsidR="0082145B" w:rsidRDefault="00DA6F3F">
            <w:pPr>
              <w:spacing w:line="240" w:lineRule="auto"/>
              <w:jc w:val="center"/>
              <w:rPr>
                <w:rFonts w:ascii="Calibri" w:hAnsi="Calibri"/>
                <w:color w:val="000000"/>
              </w:rPr>
            </w:pPr>
            <w:r>
              <w:rPr>
                <w:rFonts w:ascii="Calibri" w:hAnsi="Calibri"/>
                <w:color w:val="000000"/>
              </w:rPr>
              <w:t>-2.00</w:t>
            </w:r>
          </w:p>
        </w:tc>
        <w:tc>
          <w:tcPr>
            <w:tcW w:w="1540" w:type="dxa"/>
            <w:tcBorders>
              <w:top w:val="nil"/>
              <w:left w:val="single" w:sz="4" w:space="0" w:color="auto"/>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-2</w:t>
            </w: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w:t>
            </w:r>
          </w:p>
        </w:tc>
      </w:tr>
      <w:tr w:rsidR="00DA6F3F" w:rsidRPr="006F15DF" w:rsidTr="007C72B2">
        <w:trPr>
          <w:trHeight w:val="600"/>
        </w:trPr>
        <w:tc>
          <w:tcPr>
            <w:tcW w:w="3160" w:type="dxa"/>
            <w:tcBorders>
              <w:top w:val="nil"/>
              <w:left w:val="single" w:sz="4" w:space="0" w:color="auto"/>
              <w:bottom w:val="single" w:sz="4" w:space="0" w:color="auto"/>
              <w:right w:val="single" w:sz="4" w:space="0" w:color="auto"/>
            </w:tcBorders>
            <w:shd w:val="clear" w:color="auto" w:fill="auto"/>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Summer Training and Education Program (STEP)</w:t>
            </w:r>
          </w:p>
        </w:tc>
        <w:tc>
          <w:tcPr>
            <w:tcW w:w="1540" w:type="dxa"/>
            <w:tcBorders>
              <w:top w:val="single" w:sz="4" w:space="0" w:color="auto"/>
              <w:left w:val="nil"/>
              <w:bottom w:val="single" w:sz="4" w:space="0" w:color="auto"/>
              <w:right w:val="single" w:sz="4" w:space="0" w:color="auto"/>
            </w:tcBorders>
            <w:tcMar>
              <w:top w:w="29" w:type="dxa"/>
              <w:left w:w="29" w:type="dxa"/>
              <w:bottom w:w="29" w:type="dxa"/>
              <w:right w:w="29" w:type="dxa"/>
            </w:tcMar>
            <w:vAlign w:val="center"/>
          </w:tcPr>
          <w:p w:rsidR="0082145B" w:rsidRDefault="00DA6F3F">
            <w:pPr>
              <w:spacing w:line="240" w:lineRule="auto"/>
              <w:jc w:val="center"/>
              <w:rPr>
                <w:rFonts w:ascii="Calibri" w:hAnsi="Calibri"/>
                <w:color w:val="000000"/>
              </w:rPr>
            </w:pPr>
            <w:r>
              <w:rPr>
                <w:rFonts w:ascii="Calibri" w:hAnsi="Calibri"/>
                <w:color w:val="000000"/>
              </w:rPr>
              <w:t>-2.00</w:t>
            </w:r>
          </w:p>
        </w:tc>
        <w:tc>
          <w:tcPr>
            <w:tcW w:w="1540" w:type="dxa"/>
            <w:tcBorders>
              <w:top w:val="nil"/>
              <w:left w:val="single" w:sz="4" w:space="0" w:color="auto"/>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-2</w:t>
            </w: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w:t>
            </w: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r>
      <w:tr w:rsidR="00DA6F3F" w:rsidRPr="006F15DF" w:rsidTr="007C72B2">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Project GRAD</w:t>
            </w:r>
          </w:p>
        </w:tc>
        <w:tc>
          <w:tcPr>
            <w:tcW w:w="1540" w:type="dxa"/>
            <w:tcBorders>
              <w:top w:val="single" w:sz="4" w:space="0" w:color="auto"/>
              <w:left w:val="nil"/>
              <w:bottom w:val="single" w:sz="4" w:space="0" w:color="auto"/>
              <w:right w:val="single" w:sz="4" w:space="0" w:color="auto"/>
            </w:tcBorders>
            <w:tcMar>
              <w:top w:w="29" w:type="dxa"/>
              <w:left w:w="29" w:type="dxa"/>
              <w:bottom w:w="29" w:type="dxa"/>
              <w:right w:w="29" w:type="dxa"/>
            </w:tcMar>
            <w:vAlign w:val="center"/>
          </w:tcPr>
          <w:p w:rsidR="0082145B" w:rsidRDefault="00DA6F3F">
            <w:pPr>
              <w:spacing w:line="240" w:lineRule="auto"/>
              <w:jc w:val="center"/>
              <w:rPr>
                <w:rFonts w:ascii="Calibri" w:hAnsi="Calibri"/>
                <w:color w:val="000000"/>
              </w:rPr>
            </w:pPr>
            <w:r>
              <w:rPr>
                <w:rFonts w:ascii="Calibri" w:hAnsi="Calibri"/>
                <w:color w:val="000000"/>
              </w:rPr>
              <w:t>-3.50</w:t>
            </w:r>
          </w:p>
        </w:tc>
        <w:tc>
          <w:tcPr>
            <w:tcW w:w="1540" w:type="dxa"/>
            <w:tcBorders>
              <w:top w:val="single" w:sz="4" w:space="0" w:color="auto"/>
              <w:left w:val="single" w:sz="4" w:space="0" w:color="auto"/>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-4</w:t>
            </w:r>
          </w:p>
        </w:tc>
        <w:tc>
          <w:tcPr>
            <w:tcW w:w="1540" w:type="dxa"/>
            <w:tcBorders>
              <w:top w:val="single" w:sz="4" w:space="0" w:color="auto"/>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w:t>
            </w:r>
          </w:p>
        </w:tc>
        <w:tc>
          <w:tcPr>
            <w:tcW w:w="1540" w:type="dxa"/>
            <w:tcBorders>
              <w:top w:val="single" w:sz="4" w:space="0" w:color="auto"/>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82145B">
            <w:pPr>
              <w:spacing w:line="240" w:lineRule="auto"/>
              <w:jc w:val="center"/>
              <w:rPr>
                <w:rFonts w:ascii="Calibri" w:eastAsiaTheme="majorEastAsia" w:hAnsi="Calibri" w:cstheme="majorBidi"/>
                <w:b/>
                <w:bCs/>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-3</w:t>
            </w:r>
          </w:p>
        </w:tc>
        <w:tc>
          <w:tcPr>
            <w:tcW w:w="1540" w:type="dxa"/>
            <w:tcBorders>
              <w:top w:val="single" w:sz="4" w:space="0" w:color="auto"/>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82145B" w:rsidRDefault="00DA6F3F">
            <w:pPr>
              <w:spacing w:line="240" w:lineRule="auto"/>
              <w:jc w:val="center"/>
              <w:rPr>
                <w:rFonts w:ascii="Calibri" w:hAnsi="Calibri"/>
                <w:color w:val="000000"/>
              </w:rPr>
            </w:pPr>
            <w:r>
              <w:rPr>
                <w:rFonts w:ascii="Calibri" w:hAnsi="Calibri"/>
                <w:color w:val="000000"/>
              </w:rPr>
              <w:t>1</w:t>
            </w:r>
          </w:p>
        </w:tc>
      </w:tr>
      <w:tr w:rsidR="00DA6F3F" w:rsidRPr="006F15DF" w:rsidTr="007C72B2">
        <w:trPr>
          <w:trHeight w:val="600"/>
        </w:trPr>
        <w:tc>
          <w:tcPr>
            <w:tcW w:w="3160" w:type="dxa"/>
            <w:tcBorders>
              <w:top w:val="single" w:sz="4" w:space="0" w:color="auto"/>
              <w:left w:val="single" w:sz="4" w:space="0" w:color="auto"/>
              <w:bottom w:val="single" w:sz="4" w:space="0" w:color="auto"/>
              <w:right w:val="single" w:sz="4" w:space="0" w:color="auto"/>
            </w:tcBorders>
            <w:shd w:val="clear" w:color="000000" w:fill="FFFFFF"/>
            <w:tcMar>
              <w:top w:w="29" w:type="dxa"/>
              <w:left w:w="29" w:type="dxa"/>
              <w:bottom w:w="29" w:type="dxa"/>
              <w:right w:w="29" w:type="dxa"/>
            </w:tcMar>
            <w:vAlign w:val="center"/>
            <w:hideMark/>
          </w:tcPr>
          <w:p w:rsidR="0082145B" w:rsidRDefault="00DA6F3F">
            <w:pPr>
              <w:spacing w:after="0" w:line="240" w:lineRule="auto"/>
              <w:jc w:val="center"/>
              <w:rPr>
                <w:rFonts w:ascii="Calibri" w:eastAsia="Times New Roman" w:hAnsi="Calibri" w:cs="Times New Roman"/>
                <w:color w:val="000000"/>
              </w:rPr>
            </w:pPr>
            <w:r w:rsidRPr="006F15DF">
              <w:rPr>
                <w:rFonts w:ascii="Calibri" w:eastAsia="Times New Roman" w:hAnsi="Calibri" w:cs="Times New Roman"/>
                <w:color w:val="000000"/>
              </w:rPr>
              <w:t>Coca-</w:t>
            </w:r>
            <w:r w:rsidR="003E6BF9">
              <w:rPr>
                <w:rFonts w:ascii="Calibri" w:eastAsia="Times New Roman" w:hAnsi="Calibri" w:cs="Times New Roman"/>
                <w:color w:val="000000"/>
              </w:rPr>
              <w:t>C</w:t>
            </w:r>
            <w:r w:rsidR="003E6BF9" w:rsidRPr="006F15DF">
              <w:rPr>
                <w:rFonts w:ascii="Calibri" w:eastAsia="Times New Roman" w:hAnsi="Calibri" w:cs="Times New Roman"/>
                <w:color w:val="000000"/>
              </w:rPr>
              <w:t xml:space="preserve">ola </w:t>
            </w:r>
            <w:r w:rsidRPr="006F15DF">
              <w:rPr>
                <w:rFonts w:ascii="Calibri" w:eastAsia="Times New Roman" w:hAnsi="Calibri" w:cs="Times New Roman"/>
                <w:color w:val="000000"/>
              </w:rPr>
              <w:t>Valued Youth Program</w:t>
            </w:r>
            <w:r w:rsidR="007A4A45" w:rsidRPr="007A4A45">
              <w:rPr>
                <w:rFonts w:ascii="Calibri" w:eastAsia="Times New Roman" w:hAnsi="Calibri" w:cs="Times New Roman"/>
                <w:color w:val="000000"/>
                <w:vertAlign w:val="superscript"/>
              </w:rPr>
              <w:t>a</w:t>
            </w:r>
          </w:p>
        </w:tc>
        <w:tc>
          <w:tcPr>
            <w:tcW w:w="1540" w:type="dxa"/>
            <w:tcBorders>
              <w:top w:val="single" w:sz="4" w:space="0" w:color="auto"/>
              <w:left w:val="nil"/>
              <w:bottom w:val="single" w:sz="4" w:space="0" w:color="auto"/>
              <w:right w:val="single" w:sz="4" w:space="0" w:color="auto"/>
            </w:tcBorders>
            <w:shd w:val="clear" w:color="000000" w:fill="FFFFFF"/>
            <w:tcMar>
              <w:top w:w="29" w:type="dxa"/>
              <w:left w:w="29" w:type="dxa"/>
              <w:bottom w:w="29" w:type="dxa"/>
              <w:right w:w="29" w:type="dxa"/>
            </w:tcMar>
            <w:vAlign w:val="center"/>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single" w:sz="4" w:space="0" w:color="auto"/>
              <w:left w:val="single" w:sz="4" w:space="0" w:color="auto"/>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single" w:sz="4" w:space="0" w:color="auto"/>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single" w:sz="4" w:space="0" w:color="auto"/>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single" w:sz="4" w:space="0" w:color="auto"/>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single" w:sz="4" w:space="0" w:color="auto"/>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single" w:sz="4" w:space="0" w:color="auto"/>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r>
      <w:tr w:rsidR="00DA6F3F" w:rsidRPr="006F15DF" w:rsidTr="007C72B2">
        <w:trPr>
          <w:trHeight w:val="609"/>
        </w:trPr>
        <w:tc>
          <w:tcPr>
            <w:tcW w:w="3160" w:type="dxa"/>
            <w:tcBorders>
              <w:top w:val="nil"/>
              <w:left w:val="single" w:sz="4" w:space="0" w:color="auto"/>
              <w:bottom w:val="single" w:sz="4" w:space="0" w:color="auto"/>
              <w:right w:val="single" w:sz="4" w:space="0" w:color="auto"/>
            </w:tcBorders>
            <w:shd w:val="clear" w:color="000000" w:fill="FFFFFF"/>
            <w:tcMar>
              <w:top w:w="29" w:type="dxa"/>
              <w:left w:w="29" w:type="dxa"/>
              <w:bottom w:w="29" w:type="dxa"/>
              <w:right w:w="29" w:type="dxa"/>
            </w:tcMar>
            <w:vAlign w:val="center"/>
            <w:hideMark/>
          </w:tcPr>
          <w:p w:rsidR="0082145B" w:rsidRDefault="00DA6F3F">
            <w:pPr>
              <w:spacing w:after="0" w:line="240" w:lineRule="auto"/>
              <w:jc w:val="center"/>
              <w:rPr>
                <w:rFonts w:ascii="Calibri" w:eastAsia="Times New Roman" w:hAnsi="Calibri" w:cs="Times New Roman"/>
                <w:b/>
                <w:bCs/>
                <w:color w:val="000000"/>
                <w:sz w:val="28"/>
                <w:szCs w:val="28"/>
              </w:rPr>
            </w:pPr>
            <w:r w:rsidRPr="006F15DF">
              <w:rPr>
                <w:rFonts w:ascii="Calibri" w:eastAsia="Times New Roman" w:hAnsi="Calibri" w:cs="Times New Roman"/>
                <w:color w:val="000000"/>
              </w:rPr>
              <w:t>High School Puente Program</w:t>
            </w:r>
            <w:r w:rsidR="007A4A45" w:rsidRPr="007A4A45">
              <w:rPr>
                <w:rFonts w:ascii="Calibri" w:eastAsia="Times New Roman" w:hAnsi="Calibri" w:cs="Times New Roman"/>
                <w:color w:val="000000"/>
                <w:vertAlign w:val="superscript"/>
              </w:rPr>
              <w:t>a</w:t>
            </w:r>
          </w:p>
        </w:tc>
        <w:tc>
          <w:tcPr>
            <w:tcW w:w="1540" w:type="dxa"/>
            <w:tcBorders>
              <w:top w:val="single" w:sz="4" w:space="0" w:color="auto"/>
              <w:left w:val="nil"/>
              <w:bottom w:val="single" w:sz="4" w:space="0" w:color="auto"/>
              <w:right w:val="single" w:sz="4" w:space="0" w:color="auto"/>
            </w:tcBorders>
            <w:shd w:val="clear" w:color="000000" w:fill="FFFFFF"/>
            <w:tcMar>
              <w:top w:w="29" w:type="dxa"/>
              <w:left w:w="29" w:type="dxa"/>
              <w:bottom w:w="29" w:type="dxa"/>
              <w:right w:w="29" w:type="dxa"/>
            </w:tcMar>
            <w:vAlign w:val="center"/>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nil"/>
              <w:left w:val="single" w:sz="4" w:space="0" w:color="auto"/>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r>
      <w:tr w:rsidR="00DA6F3F" w:rsidRPr="006F15DF" w:rsidTr="007C72B2">
        <w:trPr>
          <w:trHeight w:val="647"/>
        </w:trPr>
        <w:tc>
          <w:tcPr>
            <w:tcW w:w="3160" w:type="dxa"/>
            <w:tcBorders>
              <w:top w:val="nil"/>
              <w:left w:val="single" w:sz="4" w:space="0" w:color="auto"/>
              <w:bottom w:val="single" w:sz="4" w:space="0" w:color="auto"/>
              <w:right w:val="single" w:sz="4" w:space="0" w:color="auto"/>
            </w:tcBorders>
            <w:shd w:val="clear" w:color="000000" w:fill="FFFFFF"/>
            <w:tcMar>
              <w:top w:w="29" w:type="dxa"/>
              <w:left w:w="29" w:type="dxa"/>
              <w:bottom w:w="29" w:type="dxa"/>
              <w:right w:w="29" w:type="dxa"/>
            </w:tcMar>
            <w:vAlign w:val="center"/>
            <w:hideMark/>
          </w:tcPr>
          <w:p w:rsidR="0082145B" w:rsidRDefault="00DA6F3F">
            <w:pPr>
              <w:spacing w:after="0" w:line="240" w:lineRule="auto"/>
              <w:jc w:val="center"/>
              <w:rPr>
                <w:rFonts w:ascii="Calibri" w:eastAsia="Times New Roman" w:hAnsi="Calibri" w:cs="Times New Roman"/>
                <w:color w:val="000000"/>
              </w:rPr>
            </w:pPr>
            <w:r w:rsidRPr="006F15DF">
              <w:rPr>
                <w:rFonts w:ascii="Calibri" w:eastAsia="Times New Roman" w:hAnsi="Calibri" w:cs="Times New Roman"/>
                <w:color w:val="000000"/>
              </w:rPr>
              <w:t>I Have a Dream</w:t>
            </w:r>
            <w:r w:rsidR="007A4A45" w:rsidRPr="007A4A45">
              <w:rPr>
                <w:rFonts w:ascii="Calibri" w:eastAsia="Times New Roman" w:hAnsi="Calibri" w:cs="Times New Roman"/>
                <w:color w:val="000000"/>
                <w:vertAlign w:val="superscript"/>
              </w:rPr>
              <w:t>a</w:t>
            </w:r>
          </w:p>
        </w:tc>
        <w:tc>
          <w:tcPr>
            <w:tcW w:w="1540" w:type="dxa"/>
            <w:tcBorders>
              <w:top w:val="single" w:sz="4" w:space="0" w:color="auto"/>
              <w:left w:val="nil"/>
              <w:bottom w:val="single" w:sz="4" w:space="0" w:color="auto"/>
              <w:right w:val="single" w:sz="4" w:space="0" w:color="auto"/>
            </w:tcBorders>
            <w:shd w:val="clear" w:color="000000" w:fill="FFFFFF"/>
            <w:tcMar>
              <w:top w:w="29" w:type="dxa"/>
              <w:left w:w="29" w:type="dxa"/>
              <w:bottom w:w="29" w:type="dxa"/>
              <w:right w:w="29" w:type="dxa"/>
            </w:tcMar>
            <w:vAlign w:val="center"/>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nil"/>
              <w:left w:val="single" w:sz="4" w:space="0" w:color="auto"/>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nil"/>
              <w:left w:val="nil"/>
              <w:bottom w:val="single" w:sz="4" w:space="0" w:color="auto"/>
              <w:right w:val="single" w:sz="4" w:space="0" w:color="auto"/>
            </w:tcBorders>
            <w:shd w:val="clear" w:color="000000" w:fill="FFFFFF"/>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r>
      <w:tr w:rsidR="00DA6F3F" w:rsidRPr="006F15DF" w:rsidTr="007C72B2">
        <w:trPr>
          <w:trHeight w:val="300"/>
        </w:trPr>
        <w:tc>
          <w:tcPr>
            <w:tcW w:w="3160" w:type="dxa"/>
            <w:tcBorders>
              <w:top w:val="nil"/>
              <w:left w:val="single" w:sz="4" w:space="0" w:color="auto"/>
              <w:bottom w:val="single" w:sz="4" w:space="0" w:color="auto"/>
              <w:right w:val="single" w:sz="4" w:space="0" w:color="auto"/>
            </w:tcBorders>
            <w:shd w:val="clear" w:color="auto" w:fill="auto"/>
            <w:tcMar>
              <w:top w:w="29" w:type="dxa"/>
              <w:left w:w="29" w:type="dxa"/>
              <w:bottom w:w="29" w:type="dxa"/>
              <w:right w:w="29" w:type="dxa"/>
            </w:tcMar>
            <w:vAlign w:val="center"/>
            <w:hideMark/>
          </w:tcPr>
          <w:p w:rsidR="0082145B" w:rsidRDefault="00DA6F3F">
            <w:pPr>
              <w:spacing w:after="0" w:line="240" w:lineRule="auto"/>
              <w:jc w:val="center"/>
              <w:rPr>
                <w:rFonts w:ascii="Calibri" w:eastAsia="Times New Roman" w:hAnsi="Calibri" w:cs="Times New Roman"/>
                <w:b/>
                <w:bCs/>
                <w:color w:val="000000"/>
                <w:sz w:val="28"/>
                <w:szCs w:val="28"/>
              </w:rPr>
            </w:pPr>
            <w:r w:rsidRPr="006F15DF">
              <w:rPr>
                <w:rFonts w:ascii="Calibri" w:eastAsia="Times New Roman" w:hAnsi="Calibri" w:cs="Times New Roman"/>
                <w:color w:val="000000"/>
              </w:rPr>
              <w:lastRenderedPageBreak/>
              <w:t>New Century High Schools</w:t>
            </w:r>
            <w:r w:rsidR="007A4A45" w:rsidRPr="007A4A45">
              <w:rPr>
                <w:rFonts w:ascii="Calibri" w:eastAsia="Times New Roman" w:hAnsi="Calibri" w:cs="Times New Roman"/>
                <w:color w:val="000000"/>
                <w:vertAlign w:val="superscript"/>
              </w:rPr>
              <w:t>a</w:t>
            </w:r>
          </w:p>
        </w:tc>
        <w:tc>
          <w:tcPr>
            <w:tcW w:w="1540" w:type="dxa"/>
            <w:tcBorders>
              <w:top w:val="single" w:sz="4" w:space="0" w:color="auto"/>
              <w:left w:val="nil"/>
              <w:bottom w:val="single" w:sz="4" w:space="0" w:color="auto"/>
              <w:right w:val="single" w:sz="4" w:space="0" w:color="auto"/>
            </w:tcBorders>
            <w:tcMar>
              <w:top w:w="29" w:type="dxa"/>
              <w:left w:w="29" w:type="dxa"/>
              <w:bottom w:w="29" w:type="dxa"/>
              <w:right w:w="29" w:type="dxa"/>
            </w:tcMar>
            <w:vAlign w:val="center"/>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nil"/>
              <w:left w:val="single" w:sz="4" w:space="0" w:color="auto"/>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r>
      <w:tr w:rsidR="00DA6F3F" w:rsidRPr="006F15DF" w:rsidTr="007C72B2">
        <w:trPr>
          <w:trHeight w:val="600"/>
        </w:trPr>
        <w:tc>
          <w:tcPr>
            <w:tcW w:w="3160" w:type="dxa"/>
            <w:tcBorders>
              <w:top w:val="nil"/>
              <w:left w:val="single" w:sz="4" w:space="0" w:color="auto"/>
              <w:bottom w:val="single" w:sz="4" w:space="0" w:color="auto"/>
              <w:right w:val="single" w:sz="4" w:space="0" w:color="auto"/>
            </w:tcBorders>
            <w:shd w:val="clear" w:color="auto" w:fill="auto"/>
            <w:tcMar>
              <w:top w:w="29" w:type="dxa"/>
              <w:left w:w="29" w:type="dxa"/>
              <w:bottom w:w="29" w:type="dxa"/>
              <w:right w:w="29" w:type="dxa"/>
            </w:tcMar>
            <w:vAlign w:val="center"/>
            <w:hideMark/>
          </w:tcPr>
          <w:p w:rsidR="0082145B" w:rsidRDefault="00DA6F3F">
            <w:pPr>
              <w:spacing w:after="0" w:line="240" w:lineRule="auto"/>
              <w:jc w:val="center"/>
              <w:rPr>
                <w:rFonts w:ascii="Calibri" w:eastAsia="Times New Roman" w:hAnsi="Calibri" w:cs="Times New Roman"/>
                <w:color w:val="000000"/>
              </w:rPr>
            </w:pPr>
            <w:r w:rsidRPr="006F15DF">
              <w:rPr>
                <w:rFonts w:ascii="Calibri" w:eastAsia="Times New Roman" w:hAnsi="Calibri" w:cs="Times New Roman"/>
                <w:color w:val="000000"/>
              </w:rPr>
              <w:t>Wyman Teen Outreach Program (TOP)</w:t>
            </w:r>
            <w:r w:rsidR="007A4A45" w:rsidRPr="007A4A45">
              <w:rPr>
                <w:rFonts w:ascii="Calibri" w:eastAsia="Times New Roman" w:hAnsi="Calibri" w:cs="Times New Roman"/>
                <w:color w:val="000000"/>
                <w:vertAlign w:val="superscript"/>
              </w:rPr>
              <w:t xml:space="preserve"> a</w:t>
            </w:r>
          </w:p>
        </w:tc>
        <w:tc>
          <w:tcPr>
            <w:tcW w:w="1540" w:type="dxa"/>
            <w:tcBorders>
              <w:top w:val="single" w:sz="4" w:space="0" w:color="auto"/>
              <w:left w:val="nil"/>
              <w:bottom w:val="single" w:sz="4" w:space="0" w:color="auto"/>
              <w:right w:val="single" w:sz="4" w:space="0" w:color="auto"/>
            </w:tcBorders>
            <w:tcMar>
              <w:top w:w="29" w:type="dxa"/>
              <w:left w:w="29" w:type="dxa"/>
              <w:bottom w:w="29" w:type="dxa"/>
              <w:right w:w="29" w:type="dxa"/>
            </w:tcMar>
            <w:vAlign w:val="center"/>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nil"/>
              <w:left w:val="single" w:sz="4" w:space="0" w:color="auto"/>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r>
      <w:tr w:rsidR="00DA6F3F" w:rsidRPr="006F15DF" w:rsidTr="003E6BF9">
        <w:trPr>
          <w:trHeight w:val="762"/>
        </w:trPr>
        <w:tc>
          <w:tcPr>
            <w:tcW w:w="3160" w:type="dxa"/>
            <w:tcBorders>
              <w:top w:val="nil"/>
              <w:left w:val="single" w:sz="4" w:space="0" w:color="auto"/>
              <w:bottom w:val="single" w:sz="4" w:space="0" w:color="auto"/>
              <w:right w:val="single" w:sz="4" w:space="0" w:color="auto"/>
            </w:tcBorders>
            <w:shd w:val="clear" w:color="auto" w:fill="auto"/>
            <w:tcMar>
              <w:top w:w="29" w:type="dxa"/>
              <w:left w:w="29" w:type="dxa"/>
              <w:bottom w:w="29" w:type="dxa"/>
              <w:right w:w="29" w:type="dxa"/>
            </w:tcMar>
            <w:vAlign w:val="center"/>
            <w:hideMark/>
          </w:tcPr>
          <w:p w:rsidR="0082145B" w:rsidRDefault="00DA6F3F">
            <w:pPr>
              <w:spacing w:after="0" w:line="240" w:lineRule="auto"/>
              <w:jc w:val="center"/>
              <w:rPr>
                <w:rFonts w:ascii="Calibri" w:eastAsia="Times New Roman" w:hAnsi="Calibri" w:cs="Times New Roman"/>
                <w:color w:val="000000"/>
              </w:rPr>
            </w:pPr>
            <w:r w:rsidRPr="006F15DF">
              <w:rPr>
                <w:rFonts w:ascii="Calibri" w:eastAsia="Times New Roman" w:hAnsi="Calibri" w:cs="Times New Roman"/>
                <w:color w:val="000000"/>
              </w:rPr>
              <w:t>YouthBuild</w:t>
            </w:r>
            <w:r w:rsidR="007A4A45" w:rsidRPr="007A4A45">
              <w:rPr>
                <w:rFonts w:ascii="Calibri" w:eastAsia="Times New Roman" w:hAnsi="Calibri" w:cs="Times New Roman"/>
                <w:color w:val="000000"/>
                <w:vertAlign w:val="superscript"/>
              </w:rPr>
              <w:t>a</w:t>
            </w:r>
          </w:p>
        </w:tc>
        <w:tc>
          <w:tcPr>
            <w:tcW w:w="1540" w:type="dxa"/>
            <w:tcBorders>
              <w:top w:val="single" w:sz="4" w:space="0" w:color="auto"/>
              <w:left w:val="nil"/>
              <w:bottom w:val="single" w:sz="4" w:space="0" w:color="auto"/>
              <w:right w:val="single" w:sz="4" w:space="0" w:color="auto"/>
            </w:tcBorders>
            <w:tcMar>
              <w:top w:w="29" w:type="dxa"/>
              <w:left w:w="29" w:type="dxa"/>
              <w:bottom w:w="29" w:type="dxa"/>
              <w:right w:w="29" w:type="dxa"/>
            </w:tcMar>
            <w:vAlign w:val="center"/>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nil"/>
              <w:left w:val="single" w:sz="4" w:space="0" w:color="auto"/>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c>
          <w:tcPr>
            <w:tcW w:w="1540" w:type="dxa"/>
            <w:tcBorders>
              <w:top w:val="nil"/>
              <w:left w:val="nil"/>
              <w:bottom w:val="single" w:sz="4" w:space="0" w:color="auto"/>
              <w:right w:val="single" w:sz="4" w:space="0" w:color="auto"/>
            </w:tcBorders>
            <w:shd w:val="clear" w:color="auto" w:fill="auto"/>
            <w:noWrap/>
            <w:tcMar>
              <w:top w:w="29" w:type="dxa"/>
              <w:left w:w="29" w:type="dxa"/>
              <w:bottom w:w="29" w:type="dxa"/>
              <w:right w:w="29" w:type="dxa"/>
            </w:tcMar>
            <w:vAlign w:val="center"/>
            <w:hideMark/>
          </w:tcPr>
          <w:p w:rsidR="00DA6F3F" w:rsidRPr="006F15DF" w:rsidRDefault="00DA6F3F" w:rsidP="007C72B2">
            <w:pPr>
              <w:spacing w:after="0" w:line="240" w:lineRule="auto"/>
              <w:jc w:val="center"/>
              <w:rPr>
                <w:rFonts w:ascii="Calibri" w:eastAsia="Times New Roman" w:hAnsi="Calibri" w:cs="Times New Roman"/>
                <w:color w:val="000000"/>
              </w:rPr>
            </w:pPr>
          </w:p>
        </w:tc>
      </w:tr>
    </w:tbl>
    <w:p w:rsidR="007A4A45" w:rsidRPr="007C72B2" w:rsidRDefault="006B543B" w:rsidP="00223095">
      <w:pPr>
        <w:spacing w:after="0" w:line="240" w:lineRule="auto"/>
        <w:rPr>
          <w:sz w:val="20"/>
          <w:szCs w:val="20"/>
        </w:rPr>
      </w:pPr>
      <w:r w:rsidRPr="006B543B">
        <w:rPr>
          <w:i/>
          <w:sz w:val="20"/>
          <w:szCs w:val="20"/>
        </w:rPr>
        <w:t xml:space="preserve">Note: </w:t>
      </w:r>
      <w:r w:rsidRPr="006B543B">
        <w:rPr>
          <w:sz w:val="20"/>
          <w:szCs w:val="20"/>
        </w:rPr>
        <w:t xml:space="preserve">The weighted average improvement index was calculated by multiplying each outcome improvement index by its extent of evidence rating, summing across outcomes, and dividing by the sum of the extent of evidence ratings. Progressing in School is measured by the number of credits accumulated, grades promoted, or highest grade completed; Staying in School is measured by whether a student is enrolled in school; Completing School is measured by whether a student earned a high school diploma or a GED. The extent of evidence is rated by WWC using two categories: “small” which is defined as evidence that includes “only one study, or one school, or findings based on a total sample size of less than 350 student and 14 classrooms (assuming 25 students in a class),” and “medium to large” which is defined as evidence that includes “more than one study, more than one school, and findings based on a total sample of at least 350 students or 14 classrooms” (What Works Clearinghouse, n.d.). </w:t>
      </w:r>
    </w:p>
    <w:p w:rsidR="007D3C72" w:rsidRPr="007C72B2" w:rsidRDefault="006B543B" w:rsidP="00223095">
      <w:pPr>
        <w:spacing w:after="0" w:line="240" w:lineRule="auto"/>
        <w:rPr>
          <w:sz w:val="20"/>
          <w:szCs w:val="20"/>
        </w:rPr>
      </w:pPr>
      <w:r w:rsidRPr="006B543B">
        <w:rPr>
          <w:rFonts w:ascii="Calibri" w:eastAsia="Times New Roman" w:hAnsi="Calibri" w:cs="Times New Roman"/>
          <w:color w:val="000000"/>
          <w:sz w:val="20"/>
          <w:szCs w:val="20"/>
          <w:vertAlign w:val="superscript"/>
        </w:rPr>
        <w:t xml:space="preserve">a </w:t>
      </w:r>
      <w:r w:rsidRPr="006B543B">
        <w:rPr>
          <w:sz w:val="20"/>
          <w:szCs w:val="20"/>
        </w:rPr>
        <w:t>When no information was available, cells were left blank. In these cases, none of the studies on a particular intervention met WWC standards</w:t>
      </w:r>
      <w:r w:rsidR="007C72B2">
        <w:rPr>
          <w:sz w:val="20"/>
          <w:szCs w:val="20"/>
        </w:rPr>
        <w:t>,</w:t>
      </w:r>
      <w:r w:rsidRPr="006B543B">
        <w:rPr>
          <w:sz w:val="20"/>
          <w:szCs w:val="20"/>
        </w:rPr>
        <w:t xml:space="preserve"> or the studies on the intervention did not include an outcome that was included in the WWC Dropout Prevention topic review (i.e., </w:t>
      </w:r>
      <w:r w:rsidR="007C72B2" w:rsidRPr="007C72B2">
        <w:rPr>
          <w:sz w:val="20"/>
          <w:szCs w:val="20"/>
        </w:rPr>
        <w:t>Progressing in School</w:t>
      </w:r>
      <w:r w:rsidRPr="006B543B">
        <w:rPr>
          <w:sz w:val="20"/>
          <w:szCs w:val="20"/>
        </w:rPr>
        <w:t xml:space="preserve">, </w:t>
      </w:r>
      <w:r w:rsidR="007C72B2">
        <w:rPr>
          <w:sz w:val="20"/>
          <w:szCs w:val="20"/>
        </w:rPr>
        <w:t>Staying</w:t>
      </w:r>
      <w:r w:rsidR="007C72B2" w:rsidRPr="007C72B2">
        <w:rPr>
          <w:sz w:val="20"/>
          <w:szCs w:val="20"/>
        </w:rPr>
        <w:t xml:space="preserve"> in School</w:t>
      </w:r>
      <w:r w:rsidR="007C72B2">
        <w:rPr>
          <w:sz w:val="20"/>
          <w:szCs w:val="20"/>
        </w:rPr>
        <w:t>,</w:t>
      </w:r>
      <w:r w:rsidRPr="006B543B">
        <w:rPr>
          <w:sz w:val="20"/>
          <w:szCs w:val="20"/>
        </w:rPr>
        <w:t xml:space="preserve"> or </w:t>
      </w:r>
      <w:r w:rsidR="007C72B2">
        <w:rPr>
          <w:sz w:val="20"/>
          <w:szCs w:val="20"/>
        </w:rPr>
        <w:t>Completing School</w:t>
      </w:r>
      <w:r w:rsidRPr="006B543B">
        <w:rPr>
          <w:sz w:val="20"/>
          <w:szCs w:val="20"/>
        </w:rPr>
        <w:t>).</w:t>
      </w:r>
    </w:p>
    <w:p w:rsidR="006F15DF" w:rsidRPr="007D3C72" w:rsidRDefault="006F15DF" w:rsidP="004B0CC8">
      <w:pPr>
        <w:ind w:left="720" w:hanging="720"/>
      </w:pPr>
    </w:p>
    <w:sectPr w:rsidR="006F15DF" w:rsidRPr="007D3C72" w:rsidSect="006F15DF">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332" w:rsidRDefault="00CB5332" w:rsidP="00C20D21">
      <w:pPr>
        <w:spacing w:after="0" w:line="240" w:lineRule="auto"/>
      </w:pPr>
      <w:r>
        <w:separator/>
      </w:r>
    </w:p>
  </w:endnote>
  <w:endnote w:type="continuationSeparator" w:id="0">
    <w:p w:rsidR="00CB5332" w:rsidRDefault="00CB5332" w:rsidP="00C20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Std">
    <w:panose1 w:val="00000000000000000000"/>
    <w:charset w:val="00"/>
    <w:family w:val="roman"/>
    <w:notTrueType/>
    <w:pitch w:val="default"/>
    <w:sig w:usb0="00000003" w:usb1="00000000" w:usb2="00000000" w:usb3="00000000" w:csb0="00000001" w:csb1="00000000"/>
  </w:font>
  <w:font w:name="LucidaStd-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32" w:rsidRDefault="00CB5332">
    <w:pPr>
      <w:pStyle w:val="Footer"/>
      <w:jc w:val="right"/>
    </w:pPr>
  </w:p>
  <w:p w:rsidR="00CB5332" w:rsidRDefault="00CB53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84339"/>
      <w:docPartObj>
        <w:docPartGallery w:val="Page Numbers (Bottom of Page)"/>
        <w:docPartUnique/>
      </w:docPartObj>
    </w:sdtPr>
    <w:sdtContent>
      <w:p w:rsidR="00D57212" w:rsidRDefault="00D57212">
        <w:pPr>
          <w:pStyle w:val="Footer"/>
          <w:jc w:val="right"/>
        </w:pPr>
        <w:fldSimple w:instr=" PAGE   \* MERGEFORMAT ">
          <w:r w:rsidR="00D274E7">
            <w:rPr>
              <w:noProof/>
            </w:rPr>
            <w:t>3</w:t>
          </w:r>
        </w:fldSimple>
      </w:p>
    </w:sdtContent>
  </w:sdt>
  <w:p w:rsidR="00D57212" w:rsidRDefault="00D572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332" w:rsidRDefault="00CB5332" w:rsidP="00C20D21">
      <w:pPr>
        <w:spacing w:after="0" w:line="240" w:lineRule="auto"/>
      </w:pPr>
      <w:r>
        <w:separator/>
      </w:r>
    </w:p>
  </w:footnote>
  <w:footnote w:type="continuationSeparator" w:id="0">
    <w:p w:rsidR="00CB5332" w:rsidRDefault="00CB5332" w:rsidP="00C20D21">
      <w:pPr>
        <w:spacing w:after="0" w:line="240" w:lineRule="auto"/>
      </w:pPr>
      <w:r>
        <w:continuationSeparator/>
      </w:r>
    </w:p>
  </w:footnote>
  <w:footnote w:id="1">
    <w:p w:rsidR="00CB5332" w:rsidRDefault="00CB5332">
      <w:pPr>
        <w:pStyle w:val="FootnoteText"/>
      </w:pPr>
      <w:r>
        <w:rPr>
          <w:rStyle w:val="FootnoteReference"/>
        </w:rPr>
        <w:footnoteRef/>
      </w:r>
      <w:r>
        <w:t xml:space="preserve"> When used interchangeably, </w:t>
      </w:r>
      <w:r w:rsidRPr="006B543B">
        <w:rPr>
          <w:i/>
        </w:rPr>
        <w:t>strategy</w:t>
      </w:r>
      <w:r>
        <w:t xml:space="preserve"> and </w:t>
      </w:r>
      <w:r w:rsidRPr="006B543B">
        <w:rPr>
          <w:i/>
        </w:rPr>
        <w:t>program</w:t>
      </w:r>
      <w:r>
        <w:t xml:space="preserve"> both include initiatives aimed at helping students stay in and complete school. We also use the term </w:t>
      </w:r>
      <w:r w:rsidRPr="006B543B">
        <w:rPr>
          <w:i/>
        </w:rPr>
        <w:t>program</w:t>
      </w:r>
      <w:r>
        <w:t xml:space="preserve"> to refer to comprehensive multidimensional initiatives that involve a systematic, integrated use of multiple strategies.</w:t>
      </w:r>
    </w:p>
  </w:footnote>
  <w:footnote w:id="2">
    <w:p w:rsidR="00CB5332" w:rsidRDefault="00CB5332" w:rsidP="00344434">
      <w:pPr>
        <w:pStyle w:val="FootnoteText"/>
      </w:pPr>
      <w:r>
        <w:rPr>
          <w:rStyle w:val="FootnoteReference"/>
        </w:rPr>
        <w:footnoteRef/>
      </w:r>
      <w:r>
        <w:t xml:space="preserve"> The WWC Dropout Prevention Topic area posts 28 intervention reports on its website, including two reports on the same intervention (the National Guard Youth ChallenNGe Program) and two reports for which studies that met the WWC evidence standards</w:t>
      </w:r>
      <w:r w:rsidRPr="00CC1C27">
        <w:t xml:space="preserve"> </w:t>
      </w:r>
      <w:r>
        <w:t>were not identified. To meet WWC evidence standards, a study involving group comparisons must use random assignment of participants to groups, and/or sufficient and appropriate controls to refute plausible alternatives to the intervention being the cause of the effect (What Works Clearinghouse, 2011).</w:t>
      </w:r>
    </w:p>
  </w:footnote>
  <w:footnote w:id="3">
    <w:p w:rsidR="00CB5332" w:rsidRDefault="00CB5332" w:rsidP="002F7D55">
      <w:pPr>
        <w:pStyle w:val="FootnoteText"/>
      </w:pPr>
      <w:r>
        <w:rPr>
          <w:rStyle w:val="FootnoteReference"/>
        </w:rPr>
        <w:footnoteRef/>
      </w:r>
      <w:r>
        <w:t xml:space="preserve"> The WWC </w:t>
      </w:r>
      <w:r w:rsidRPr="006B543B">
        <w:t>extent of evidence</w:t>
      </w:r>
      <w:r>
        <w:t xml:space="preserve"> has two categories: “small” and “medium to large.” The “small” category is defined by inclusion of “only one study, or one school, or findings based on a total sample size of less than 350 students in 14 classrooms,” and the “medium to large” category is defined by inclusion of “more than one study, more than one school, and findings based on a total sample of at least 350 students or 14 classrooms” (WWC Glossary, E, extent of evidence).</w:t>
      </w:r>
    </w:p>
  </w:footnote>
  <w:footnote w:id="4">
    <w:p w:rsidR="00CB5332" w:rsidRDefault="00CB5332" w:rsidP="006D6193">
      <w:pPr>
        <w:pStyle w:val="FootnoteText"/>
      </w:pPr>
      <w:r>
        <w:rPr>
          <w:rStyle w:val="FootnoteReference"/>
        </w:rPr>
        <w:footnoteRef/>
      </w:r>
      <w:r>
        <w:t xml:space="preserve"> Other potentially relevant intervention reports, such as the WWC intervention report on Advancement via Individual Determination (AVID) are available on the WWC, but not included in the present report.</w:t>
      </w:r>
      <w:r w:rsidRPr="00A3478C">
        <w:t xml:space="preserve"> </w:t>
      </w:r>
      <w:r>
        <w:t>The present report focuses on interventions reviewed for the WWC Dropout Prevention topic. Intervention reports included under different topics (e.g., Adolescent Literacy, High School Mathematics, and Students with Disabilities) were not included in the present report.</w:t>
      </w:r>
    </w:p>
  </w:footnote>
  <w:footnote w:id="5">
    <w:p w:rsidR="00CB5332" w:rsidRDefault="00CB5332">
      <w:pPr>
        <w:pStyle w:val="FootnoteText"/>
      </w:pPr>
      <w:r>
        <w:rPr>
          <w:rStyle w:val="FootnoteReference"/>
        </w:rPr>
        <w:footnoteRef/>
      </w:r>
      <w:r>
        <w:t xml:space="preserve"> Moderately strong evidence of effectiveness means that correlational and/or experimental research yielded a positive relationship between the practice and student outcomes, but generalization is limited and causality is uncertain (Dynarski et al., 2008). </w:t>
      </w:r>
    </w:p>
  </w:footnote>
  <w:footnote w:id="6">
    <w:p w:rsidR="00CB5332" w:rsidRDefault="00CB5332" w:rsidP="00E9701C">
      <w:pPr>
        <w:pStyle w:val="FootnoteText"/>
      </w:pPr>
      <w:r>
        <w:rPr>
          <w:rStyle w:val="FootnoteReference"/>
        </w:rPr>
        <w:footnoteRef/>
      </w:r>
      <w:r>
        <w:t xml:space="preserve"> High-risk youth in this study had one or more of the following characteristics: a grade point average of 2.0 or lower, absent at least 15% of school year, was over-age, received welfare or food stamps, and/or lived in a single-parent household (WWC Career Academies intervention report appendix, n.d.).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32" w:rsidRDefault="00CB53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32" w:rsidRDefault="00CB53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32" w:rsidRDefault="00CB53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C5A22"/>
    <w:multiLevelType w:val="hybridMultilevel"/>
    <w:tmpl w:val="1F34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22C45"/>
    <w:multiLevelType w:val="hybridMultilevel"/>
    <w:tmpl w:val="3AEE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57D08"/>
    <w:multiLevelType w:val="hybridMultilevel"/>
    <w:tmpl w:val="82EAA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C5261C"/>
    <w:multiLevelType w:val="hybridMultilevel"/>
    <w:tmpl w:val="25F0CF54"/>
    <w:lvl w:ilvl="0" w:tplc="42D695FA">
      <w:start w:val="4"/>
      <w:numFmt w:val="decimal"/>
      <w:lvlText w:val="%1."/>
      <w:lvlJc w:val="left"/>
      <w:pPr>
        <w:ind w:left="720" w:hanging="360"/>
      </w:pPr>
      <w:rPr>
        <w:rFonts w:cs="Tahom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B766B82"/>
    <w:multiLevelType w:val="hybridMultilevel"/>
    <w:tmpl w:val="25F0CF54"/>
    <w:lvl w:ilvl="0" w:tplc="42D695FA">
      <w:start w:val="4"/>
      <w:numFmt w:val="decimal"/>
      <w:lvlText w:val="%1."/>
      <w:lvlJc w:val="left"/>
      <w:pPr>
        <w:ind w:left="720" w:hanging="360"/>
      </w:pPr>
      <w:rPr>
        <w:rFonts w:cs="Tahom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1047100"/>
    <w:multiLevelType w:val="hybridMultilevel"/>
    <w:tmpl w:val="B75A7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566B25"/>
    <w:multiLevelType w:val="hybridMultilevel"/>
    <w:tmpl w:val="82EAA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1"/>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rsids>
    <w:rsidRoot w:val="00EF5A1B"/>
    <w:rsid w:val="000012C1"/>
    <w:rsid w:val="00002D50"/>
    <w:rsid w:val="00003F07"/>
    <w:rsid w:val="00010CE1"/>
    <w:rsid w:val="0001303E"/>
    <w:rsid w:val="00016C39"/>
    <w:rsid w:val="00016DA0"/>
    <w:rsid w:val="00020807"/>
    <w:rsid w:val="00020DB8"/>
    <w:rsid w:val="000212CD"/>
    <w:rsid w:val="000213E7"/>
    <w:rsid w:val="00022C53"/>
    <w:rsid w:val="00023778"/>
    <w:rsid w:val="00024C08"/>
    <w:rsid w:val="00024D62"/>
    <w:rsid w:val="00031F06"/>
    <w:rsid w:val="00033F08"/>
    <w:rsid w:val="00036C38"/>
    <w:rsid w:val="000377BD"/>
    <w:rsid w:val="00037E65"/>
    <w:rsid w:val="00040113"/>
    <w:rsid w:val="00045B9D"/>
    <w:rsid w:val="00046650"/>
    <w:rsid w:val="00051522"/>
    <w:rsid w:val="000521E1"/>
    <w:rsid w:val="00052FC4"/>
    <w:rsid w:val="00053080"/>
    <w:rsid w:val="00054248"/>
    <w:rsid w:val="0005499F"/>
    <w:rsid w:val="00055E04"/>
    <w:rsid w:val="00056A65"/>
    <w:rsid w:val="00056D43"/>
    <w:rsid w:val="00064C76"/>
    <w:rsid w:val="00065E62"/>
    <w:rsid w:val="0007016E"/>
    <w:rsid w:val="00070A52"/>
    <w:rsid w:val="000759EB"/>
    <w:rsid w:val="00076759"/>
    <w:rsid w:val="0008289A"/>
    <w:rsid w:val="000835DE"/>
    <w:rsid w:val="00087E0E"/>
    <w:rsid w:val="00095C27"/>
    <w:rsid w:val="000964CF"/>
    <w:rsid w:val="000975F2"/>
    <w:rsid w:val="000A0959"/>
    <w:rsid w:val="000A35D3"/>
    <w:rsid w:val="000A7051"/>
    <w:rsid w:val="000B02E6"/>
    <w:rsid w:val="000B4F7D"/>
    <w:rsid w:val="000B6F50"/>
    <w:rsid w:val="000B73A7"/>
    <w:rsid w:val="000C099E"/>
    <w:rsid w:val="000C3F69"/>
    <w:rsid w:val="000C4EF0"/>
    <w:rsid w:val="000C61C0"/>
    <w:rsid w:val="000D0EB0"/>
    <w:rsid w:val="000D2B8D"/>
    <w:rsid w:val="000D3588"/>
    <w:rsid w:val="000E0B57"/>
    <w:rsid w:val="000E3A47"/>
    <w:rsid w:val="000E3CA2"/>
    <w:rsid w:val="000E5B2D"/>
    <w:rsid w:val="000E675F"/>
    <w:rsid w:val="000F19C7"/>
    <w:rsid w:val="000F1C06"/>
    <w:rsid w:val="000F2B98"/>
    <w:rsid w:val="000F3EFF"/>
    <w:rsid w:val="000F6008"/>
    <w:rsid w:val="000F766F"/>
    <w:rsid w:val="00100D0D"/>
    <w:rsid w:val="001015D7"/>
    <w:rsid w:val="001051BF"/>
    <w:rsid w:val="0010577A"/>
    <w:rsid w:val="00105BC7"/>
    <w:rsid w:val="001109FA"/>
    <w:rsid w:val="00111D22"/>
    <w:rsid w:val="001125D6"/>
    <w:rsid w:val="00112E56"/>
    <w:rsid w:val="0011483B"/>
    <w:rsid w:val="001256D8"/>
    <w:rsid w:val="001302F1"/>
    <w:rsid w:val="00130373"/>
    <w:rsid w:val="0013069E"/>
    <w:rsid w:val="001326DA"/>
    <w:rsid w:val="00132CFF"/>
    <w:rsid w:val="00137975"/>
    <w:rsid w:val="001402AB"/>
    <w:rsid w:val="0014072D"/>
    <w:rsid w:val="00142DB7"/>
    <w:rsid w:val="00143614"/>
    <w:rsid w:val="00143F85"/>
    <w:rsid w:val="00145A09"/>
    <w:rsid w:val="0014634A"/>
    <w:rsid w:val="001467F7"/>
    <w:rsid w:val="001468AD"/>
    <w:rsid w:val="001468E4"/>
    <w:rsid w:val="001509F1"/>
    <w:rsid w:val="00161401"/>
    <w:rsid w:val="00163745"/>
    <w:rsid w:val="001641C3"/>
    <w:rsid w:val="001649D5"/>
    <w:rsid w:val="00165501"/>
    <w:rsid w:val="00171CBD"/>
    <w:rsid w:val="00172004"/>
    <w:rsid w:val="00176C68"/>
    <w:rsid w:val="001802C2"/>
    <w:rsid w:val="00180901"/>
    <w:rsid w:val="00181D9C"/>
    <w:rsid w:val="00184247"/>
    <w:rsid w:val="001843D1"/>
    <w:rsid w:val="00190ABB"/>
    <w:rsid w:val="00190ED8"/>
    <w:rsid w:val="001911A2"/>
    <w:rsid w:val="00197341"/>
    <w:rsid w:val="0019771B"/>
    <w:rsid w:val="001A2730"/>
    <w:rsid w:val="001A2D77"/>
    <w:rsid w:val="001A48D3"/>
    <w:rsid w:val="001A6149"/>
    <w:rsid w:val="001A7DA5"/>
    <w:rsid w:val="001B1A96"/>
    <w:rsid w:val="001B2059"/>
    <w:rsid w:val="001B538E"/>
    <w:rsid w:val="001B5F38"/>
    <w:rsid w:val="001B7948"/>
    <w:rsid w:val="001C2775"/>
    <w:rsid w:val="001C365F"/>
    <w:rsid w:val="001C539E"/>
    <w:rsid w:val="001D14F3"/>
    <w:rsid w:val="001D16A2"/>
    <w:rsid w:val="001D5882"/>
    <w:rsid w:val="001D687B"/>
    <w:rsid w:val="001D762C"/>
    <w:rsid w:val="001D7EDE"/>
    <w:rsid w:val="001E25D9"/>
    <w:rsid w:val="001E31CD"/>
    <w:rsid w:val="001E5DBE"/>
    <w:rsid w:val="001E655D"/>
    <w:rsid w:val="001E7D10"/>
    <w:rsid w:val="001F136D"/>
    <w:rsid w:val="001F1ADB"/>
    <w:rsid w:val="001F268C"/>
    <w:rsid w:val="001F46B0"/>
    <w:rsid w:val="001F5045"/>
    <w:rsid w:val="001F7984"/>
    <w:rsid w:val="002104A7"/>
    <w:rsid w:val="00212E96"/>
    <w:rsid w:val="002131B2"/>
    <w:rsid w:val="00214215"/>
    <w:rsid w:val="0021532E"/>
    <w:rsid w:val="00215C99"/>
    <w:rsid w:val="00215F52"/>
    <w:rsid w:val="0021614A"/>
    <w:rsid w:val="0021628D"/>
    <w:rsid w:val="00223095"/>
    <w:rsid w:val="002233C2"/>
    <w:rsid w:val="00223535"/>
    <w:rsid w:val="002246B6"/>
    <w:rsid w:val="00226C6C"/>
    <w:rsid w:val="00226F05"/>
    <w:rsid w:val="002303C1"/>
    <w:rsid w:val="00234D13"/>
    <w:rsid w:val="002365DC"/>
    <w:rsid w:val="00237948"/>
    <w:rsid w:val="00241646"/>
    <w:rsid w:val="00242497"/>
    <w:rsid w:val="0025304A"/>
    <w:rsid w:val="002559D5"/>
    <w:rsid w:val="00257C51"/>
    <w:rsid w:val="0026129B"/>
    <w:rsid w:val="00261698"/>
    <w:rsid w:val="002622D7"/>
    <w:rsid w:val="00262972"/>
    <w:rsid w:val="00262E48"/>
    <w:rsid w:val="00263B7D"/>
    <w:rsid w:val="00264718"/>
    <w:rsid w:val="00265129"/>
    <w:rsid w:val="00266462"/>
    <w:rsid w:val="00266E88"/>
    <w:rsid w:val="0026780D"/>
    <w:rsid w:val="002709D4"/>
    <w:rsid w:val="00270B8D"/>
    <w:rsid w:val="002725A7"/>
    <w:rsid w:val="002738C9"/>
    <w:rsid w:val="00275241"/>
    <w:rsid w:val="00275254"/>
    <w:rsid w:val="00275EBF"/>
    <w:rsid w:val="00276D26"/>
    <w:rsid w:val="002775EE"/>
    <w:rsid w:val="00277B5F"/>
    <w:rsid w:val="002810BF"/>
    <w:rsid w:val="0028229F"/>
    <w:rsid w:val="002822AC"/>
    <w:rsid w:val="00282587"/>
    <w:rsid w:val="00282D87"/>
    <w:rsid w:val="00283A07"/>
    <w:rsid w:val="00284052"/>
    <w:rsid w:val="00286A1B"/>
    <w:rsid w:val="00290993"/>
    <w:rsid w:val="00291432"/>
    <w:rsid w:val="00293EBB"/>
    <w:rsid w:val="00294A41"/>
    <w:rsid w:val="0029514F"/>
    <w:rsid w:val="0029516D"/>
    <w:rsid w:val="00297DD9"/>
    <w:rsid w:val="002A07AC"/>
    <w:rsid w:val="002A1473"/>
    <w:rsid w:val="002A1A17"/>
    <w:rsid w:val="002A1C62"/>
    <w:rsid w:val="002A2056"/>
    <w:rsid w:val="002A2D3D"/>
    <w:rsid w:val="002A3603"/>
    <w:rsid w:val="002A5ED8"/>
    <w:rsid w:val="002A79C3"/>
    <w:rsid w:val="002B33FA"/>
    <w:rsid w:val="002B3DAC"/>
    <w:rsid w:val="002B3F2D"/>
    <w:rsid w:val="002B4D5B"/>
    <w:rsid w:val="002C1652"/>
    <w:rsid w:val="002C1AB0"/>
    <w:rsid w:val="002C3B8C"/>
    <w:rsid w:val="002C4C43"/>
    <w:rsid w:val="002C5001"/>
    <w:rsid w:val="002C667A"/>
    <w:rsid w:val="002C72BE"/>
    <w:rsid w:val="002D3003"/>
    <w:rsid w:val="002D330F"/>
    <w:rsid w:val="002D3C3F"/>
    <w:rsid w:val="002D4860"/>
    <w:rsid w:val="002D5058"/>
    <w:rsid w:val="002D508C"/>
    <w:rsid w:val="002D57CF"/>
    <w:rsid w:val="002E40E4"/>
    <w:rsid w:val="002E420C"/>
    <w:rsid w:val="002E4FB9"/>
    <w:rsid w:val="002F1C17"/>
    <w:rsid w:val="002F31DD"/>
    <w:rsid w:val="002F5388"/>
    <w:rsid w:val="002F587A"/>
    <w:rsid w:val="002F5EC3"/>
    <w:rsid w:val="002F7D55"/>
    <w:rsid w:val="00300015"/>
    <w:rsid w:val="00300092"/>
    <w:rsid w:val="003010CA"/>
    <w:rsid w:val="003022FC"/>
    <w:rsid w:val="00302E0E"/>
    <w:rsid w:val="00305217"/>
    <w:rsid w:val="00305930"/>
    <w:rsid w:val="00311FE6"/>
    <w:rsid w:val="003124FE"/>
    <w:rsid w:val="003148DD"/>
    <w:rsid w:val="003233E4"/>
    <w:rsid w:val="0032585F"/>
    <w:rsid w:val="00327A24"/>
    <w:rsid w:val="00330307"/>
    <w:rsid w:val="0033222A"/>
    <w:rsid w:val="003340B0"/>
    <w:rsid w:val="003353EF"/>
    <w:rsid w:val="00337BDC"/>
    <w:rsid w:val="003408F0"/>
    <w:rsid w:val="00341B1A"/>
    <w:rsid w:val="00341FB1"/>
    <w:rsid w:val="00344434"/>
    <w:rsid w:val="00344A0D"/>
    <w:rsid w:val="0034688C"/>
    <w:rsid w:val="00350A71"/>
    <w:rsid w:val="00350E5D"/>
    <w:rsid w:val="00352F41"/>
    <w:rsid w:val="003556C5"/>
    <w:rsid w:val="00361B8D"/>
    <w:rsid w:val="00366549"/>
    <w:rsid w:val="00370830"/>
    <w:rsid w:val="00371475"/>
    <w:rsid w:val="00374DF1"/>
    <w:rsid w:val="0038097A"/>
    <w:rsid w:val="00380FC9"/>
    <w:rsid w:val="0038222F"/>
    <w:rsid w:val="003827B6"/>
    <w:rsid w:val="00382C8F"/>
    <w:rsid w:val="0038354B"/>
    <w:rsid w:val="00383D4E"/>
    <w:rsid w:val="0038602F"/>
    <w:rsid w:val="0038798F"/>
    <w:rsid w:val="00391C52"/>
    <w:rsid w:val="00394824"/>
    <w:rsid w:val="0039558D"/>
    <w:rsid w:val="003962A8"/>
    <w:rsid w:val="003A1059"/>
    <w:rsid w:val="003A1E94"/>
    <w:rsid w:val="003A5277"/>
    <w:rsid w:val="003A603A"/>
    <w:rsid w:val="003A6A39"/>
    <w:rsid w:val="003B44B8"/>
    <w:rsid w:val="003B4905"/>
    <w:rsid w:val="003B5348"/>
    <w:rsid w:val="003B57C1"/>
    <w:rsid w:val="003B6721"/>
    <w:rsid w:val="003C1BEF"/>
    <w:rsid w:val="003C50EE"/>
    <w:rsid w:val="003C56A8"/>
    <w:rsid w:val="003D1013"/>
    <w:rsid w:val="003D556E"/>
    <w:rsid w:val="003D591B"/>
    <w:rsid w:val="003E03B7"/>
    <w:rsid w:val="003E6BF9"/>
    <w:rsid w:val="003E7B0E"/>
    <w:rsid w:val="003E7CFD"/>
    <w:rsid w:val="003F2253"/>
    <w:rsid w:val="003F4E92"/>
    <w:rsid w:val="003F5362"/>
    <w:rsid w:val="003F5705"/>
    <w:rsid w:val="003F5EA8"/>
    <w:rsid w:val="003F6559"/>
    <w:rsid w:val="004038F4"/>
    <w:rsid w:val="004062A7"/>
    <w:rsid w:val="0041183A"/>
    <w:rsid w:val="00412589"/>
    <w:rsid w:val="004132E1"/>
    <w:rsid w:val="004156AD"/>
    <w:rsid w:val="00420607"/>
    <w:rsid w:val="004222F0"/>
    <w:rsid w:val="00423C4D"/>
    <w:rsid w:val="00425B67"/>
    <w:rsid w:val="00426160"/>
    <w:rsid w:val="00430679"/>
    <w:rsid w:val="00433C0F"/>
    <w:rsid w:val="00437484"/>
    <w:rsid w:val="004409F2"/>
    <w:rsid w:val="00440B0A"/>
    <w:rsid w:val="00446475"/>
    <w:rsid w:val="004527EB"/>
    <w:rsid w:val="00453C78"/>
    <w:rsid w:val="00455328"/>
    <w:rsid w:val="004563E9"/>
    <w:rsid w:val="00457275"/>
    <w:rsid w:val="00457A2D"/>
    <w:rsid w:val="004602B8"/>
    <w:rsid w:val="0046153E"/>
    <w:rsid w:val="004640E8"/>
    <w:rsid w:val="004640EA"/>
    <w:rsid w:val="0046558C"/>
    <w:rsid w:val="004673AB"/>
    <w:rsid w:val="00467C74"/>
    <w:rsid w:val="004748E4"/>
    <w:rsid w:val="00474E2C"/>
    <w:rsid w:val="0047789C"/>
    <w:rsid w:val="004811C0"/>
    <w:rsid w:val="00481364"/>
    <w:rsid w:val="0048264D"/>
    <w:rsid w:val="004837AA"/>
    <w:rsid w:val="00484335"/>
    <w:rsid w:val="0048505A"/>
    <w:rsid w:val="0049281E"/>
    <w:rsid w:val="00493E4A"/>
    <w:rsid w:val="0049433B"/>
    <w:rsid w:val="0049616E"/>
    <w:rsid w:val="00497A52"/>
    <w:rsid w:val="004A3C6E"/>
    <w:rsid w:val="004A4C7D"/>
    <w:rsid w:val="004A7C0C"/>
    <w:rsid w:val="004B0672"/>
    <w:rsid w:val="004B0A26"/>
    <w:rsid w:val="004B0CC8"/>
    <w:rsid w:val="004B2452"/>
    <w:rsid w:val="004B298F"/>
    <w:rsid w:val="004B29D7"/>
    <w:rsid w:val="004C05F7"/>
    <w:rsid w:val="004C1A45"/>
    <w:rsid w:val="004C35AA"/>
    <w:rsid w:val="004C683F"/>
    <w:rsid w:val="004D08C4"/>
    <w:rsid w:val="004D15E5"/>
    <w:rsid w:val="004D3279"/>
    <w:rsid w:val="004D3C92"/>
    <w:rsid w:val="004D70C9"/>
    <w:rsid w:val="004D7A11"/>
    <w:rsid w:val="004E1EBB"/>
    <w:rsid w:val="004E29A5"/>
    <w:rsid w:val="004F4CCB"/>
    <w:rsid w:val="004F627A"/>
    <w:rsid w:val="0050560F"/>
    <w:rsid w:val="00505681"/>
    <w:rsid w:val="00505CD7"/>
    <w:rsid w:val="00505E14"/>
    <w:rsid w:val="005063B8"/>
    <w:rsid w:val="00506B77"/>
    <w:rsid w:val="005078CB"/>
    <w:rsid w:val="00510456"/>
    <w:rsid w:val="00514BBD"/>
    <w:rsid w:val="00516272"/>
    <w:rsid w:val="00516930"/>
    <w:rsid w:val="00517350"/>
    <w:rsid w:val="005244F2"/>
    <w:rsid w:val="00527966"/>
    <w:rsid w:val="0053219D"/>
    <w:rsid w:val="005339D3"/>
    <w:rsid w:val="00534D72"/>
    <w:rsid w:val="0053589E"/>
    <w:rsid w:val="00536D24"/>
    <w:rsid w:val="00537E2D"/>
    <w:rsid w:val="00537F30"/>
    <w:rsid w:val="005403E1"/>
    <w:rsid w:val="00540CFC"/>
    <w:rsid w:val="0054346C"/>
    <w:rsid w:val="0054558C"/>
    <w:rsid w:val="005456DD"/>
    <w:rsid w:val="00546550"/>
    <w:rsid w:val="00546814"/>
    <w:rsid w:val="00547406"/>
    <w:rsid w:val="0055279A"/>
    <w:rsid w:val="0055709D"/>
    <w:rsid w:val="0056032F"/>
    <w:rsid w:val="00560D8B"/>
    <w:rsid w:val="00561139"/>
    <w:rsid w:val="00561F3F"/>
    <w:rsid w:val="00564555"/>
    <w:rsid w:val="005662B1"/>
    <w:rsid w:val="00566711"/>
    <w:rsid w:val="00571890"/>
    <w:rsid w:val="00572E1C"/>
    <w:rsid w:val="00574696"/>
    <w:rsid w:val="0057483B"/>
    <w:rsid w:val="005758AB"/>
    <w:rsid w:val="00576577"/>
    <w:rsid w:val="00577616"/>
    <w:rsid w:val="0058166B"/>
    <w:rsid w:val="005824A0"/>
    <w:rsid w:val="0058493C"/>
    <w:rsid w:val="00585959"/>
    <w:rsid w:val="00587B56"/>
    <w:rsid w:val="005933CD"/>
    <w:rsid w:val="00595F9A"/>
    <w:rsid w:val="00596277"/>
    <w:rsid w:val="005A1252"/>
    <w:rsid w:val="005A3B75"/>
    <w:rsid w:val="005A5C41"/>
    <w:rsid w:val="005B068F"/>
    <w:rsid w:val="005B16F1"/>
    <w:rsid w:val="005B5651"/>
    <w:rsid w:val="005B6CB0"/>
    <w:rsid w:val="005C2033"/>
    <w:rsid w:val="005C358B"/>
    <w:rsid w:val="005D0D4C"/>
    <w:rsid w:val="005D3159"/>
    <w:rsid w:val="005D3DD0"/>
    <w:rsid w:val="005D3E15"/>
    <w:rsid w:val="005D3FAA"/>
    <w:rsid w:val="005D419B"/>
    <w:rsid w:val="005D4C90"/>
    <w:rsid w:val="005D50C2"/>
    <w:rsid w:val="005D5466"/>
    <w:rsid w:val="005D55EB"/>
    <w:rsid w:val="005D6A88"/>
    <w:rsid w:val="005D771E"/>
    <w:rsid w:val="005E138A"/>
    <w:rsid w:val="005E2C28"/>
    <w:rsid w:val="005E6DF0"/>
    <w:rsid w:val="005F05DB"/>
    <w:rsid w:val="005F0699"/>
    <w:rsid w:val="005F06D1"/>
    <w:rsid w:val="005F0F3E"/>
    <w:rsid w:val="005F5A76"/>
    <w:rsid w:val="005F66AE"/>
    <w:rsid w:val="005F724D"/>
    <w:rsid w:val="005F7E1F"/>
    <w:rsid w:val="00600B04"/>
    <w:rsid w:val="0060507F"/>
    <w:rsid w:val="006076F5"/>
    <w:rsid w:val="00621B26"/>
    <w:rsid w:val="006221A1"/>
    <w:rsid w:val="00622DC3"/>
    <w:rsid w:val="00622DD8"/>
    <w:rsid w:val="00623D29"/>
    <w:rsid w:val="006243E9"/>
    <w:rsid w:val="00631A54"/>
    <w:rsid w:val="00633283"/>
    <w:rsid w:val="00635090"/>
    <w:rsid w:val="00635F56"/>
    <w:rsid w:val="00636283"/>
    <w:rsid w:val="006410EE"/>
    <w:rsid w:val="00644297"/>
    <w:rsid w:val="00645B37"/>
    <w:rsid w:val="006506AE"/>
    <w:rsid w:val="00661061"/>
    <w:rsid w:val="006653B6"/>
    <w:rsid w:val="006732AA"/>
    <w:rsid w:val="00673776"/>
    <w:rsid w:val="0067388E"/>
    <w:rsid w:val="00674A11"/>
    <w:rsid w:val="00674DD9"/>
    <w:rsid w:val="00675F6D"/>
    <w:rsid w:val="00677F25"/>
    <w:rsid w:val="006817C7"/>
    <w:rsid w:val="00684B0A"/>
    <w:rsid w:val="006871F6"/>
    <w:rsid w:val="0068722D"/>
    <w:rsid w:val="006904DA"/>
    <w:rsid w:val="00690811"/>
    <w:rsid w:val="006926C1"/>
    <w:rsid w:val="006941AE"/>
    <w:rsid w:val="006A07F9"/>
    <w:rsid w:val="006A0CC6"/>
    <w:rsid w:val="006A13F5"/>
    <w:rsid w:val="006A2387"/>
    <w:rsid w:val="006A6F74"/>
    <w:rsid w:val="006B3530"/>
    <w:rsid w:val="006B3E87"/>
    <w:rsid w:val="006B5437"/>
    <w:rsid w:val="006B543B"/>
    <w:rsid w:val="006B6248"/>
    <w:rsid w:val="006C038A"/>
    <w:rsid w:val="006C1EF5"/>
    <w:rsid w:val="006C1F61"/>
    <w:rsid w:val="006C4138"/>
    <w:rsid w:val="006C4590"/>
    <w:rsid w:val="006C5108"/>
    <w:rsid w:val="006C7973"/>
    <w:rsid w:val="006D267B"/>
    <w:rsid w:val="006D3F19"/>
    <w:rsid w:val="006D50F7"/>
    <w:rsid w:val="006D6193"/>
    <w:rsid w:val="006D6CEF"/>
    <w:rsid w:val="006E3D04"/>
    <w:rsid w:val="006E4CB8"/>
    <w:rsid w:val="006E4CF5"/>
    <w:rsid w:val="006E4F86"/>
    <w:rsid w:val="006E5CC1"/>
    <w:rsid w:val="006E64B2"/>
    <w:rsid w:val="006E6A73"/>
    <w:rsid w:val="006E6EDE"/>
    <w:rsid w:val="006E77B1"/>
    <w:rsid w:val="006F01B3"/>
    <w:rsid w:val="006F14C2"/>
    <w:rsid w:val="006F15DF"/>
    <w:rsid w:val="006F1966"/>
    <w:rsid w:val="006F1D8D"/>
    <w:rsid w:val="006F63F1"/>
    <w:rsid w:val="00703D5C"/>
    <w:rsid w:val="00705CBC"/>
    <w:rsid w:val="00710A81"/>
    <w:rsid w:val="00710A86"/>
    <w:rsid w:val="00710AEB"/>
    <w:rsid w:val="00710F92"/>
    <w:rsid w:val="0071105D"/>
    <w:rsid w:val="0072194D"/>
    <w:rsid w:val="00725626"/>
    <w:rsid w:val="00725AF5"/>
    <w:rsid w:val="0072758E"/>
    <w:rsid w:val="00730B18"/>
    <w:rsid w:val="00731443"/>
    <w:rsid w:val="00732736"/>
    <w:rsid w:val="0073312C"/>
    <w:rsid w:val="00735B2A"/>
    <w:rsid w:val="00737332"/>
    <w:rsid w:val="00744F2D"/>
    <w:rsid w:val="007474CF"/>
    <w:rsid w:val="00751851"/>
    <w:rsid w:val="00751904"/>
    <w:rsid w:val="00751A8B"/>
    <w:rsid w:val="00751CDD"/>
    <w:rsid w:val="00761706"/>
    <w:rsid w:val="00764370"/>
    <w:rsid w:val="00766383"/>
    <w:rsid w:val="00766EDE"/>
    <w:rsid w:val="007679D0"/>
    <w:rsid w:val="00772A5E"/>
    <w:rsid w:val="00773370"/>
    <w:rsid w:val="00775B8E"/>
    <w:rsid w:val="00782BA2"/>
    <w:rsid w:val="00783D6B"/>
    <w:rsid w:val="00785E6C"/>
    <w:rsid w:val="007867CF"/>
    <w:rsid w:val="00786BD6"/>
    <w:rsid w:val="00791301"/>
    <w:rsid w:val="00792C07"/>
    <w:rsid w:val="00797A8B"/>
    <w:rsid w:val="007A0747"/>
    <w:rsid w:val="007A1DEE"/>
    <w:rsid w:val="007A4A45"/>
    <w:rsid w:val="007A4DFD"/>
    <w:rsid w:val="007A611B"/>
    <w:rsid w:val="007B0C12"/>
    <w:rsid w:val="007B1671"/>
    <w:rsid w:val="007B2E1C"/>
    <w:rsid w:val="007B6BD7"/>
    <w:rsid w:val="007B7108"/>
    <w:rsid w:val="007B7A78"/>
    <w:rsid w:val="007B7E13"/>
    <w:rsid w:val="007C0308"/>
    <w:rsid w:val="007C193F"/>
    <w:rsid w:val="007C1F3A"/>
    <w:rsid w:val="007C4D0A"/>
    <w:rsid w:val="007C5036"/>
    <w:rsid w:val="007C53D9"/>
    <w:rsid w:val="007C67C4"/>
    <w:rsid w:val="007C72B2"/>
    <w:rsid w:val="007D061E"/>
    <w:rsid w:val="007D3C72"/>
    <w:rsid w:val="007D49AF"/>
    <w:rsid w:val="007D5D11"/>
    <w:rsid w:val="007D5F92"/>
    <w:rsid w:val="007D6F32"/>
    <w:rsid w:val="007E6324"/>
    <w:rsid w:val="007E6534"/>
    <w:rsid w:val="007E7790"/>
    <w:rsid w:val="007F0FD4"/>
    <w:rsid w:val="007F2099"/>
    <w:rsid w:val="007F45CE"/>
    <w:rsid w:val="007F4D93"/>
    <w:rsid w:val="007F6605"/>
    <w:rsid w:val="0080042B"/>
    <w:rsid w:val="00800CB4"/>
    <w:rsid w:val="0080271C"/>
    <w:rsid w:val="00803714"/>
    <w:rsid w:val="00804A77"/>
    <w:rsid w:val="00806123"/>
    <w:rsid w:val="00807973"/>
    <w:rsid w:val="00810480"/>
    <w:rsid w:val="00810680"/>
    <w:rsid w:val="00810780"/>
    <w:rsid w:val="00810F5F"/>
    <w:rsid w:val="00811334"/>
    <w:rsid w:val="0081348D"/>
    <w:rsid w:val="0081357F"/>
    <w:rsid w:val="008139EE"/>
    <w:rsid w:val="008139F6"/>
    <w:rsid w:val="00814CC1"/>
    <w:rsid w:val="00816030"/>
    <w:rsid w:val="00817D94"/>
    <w:rsid w:val="0082145B"/>
    <w:rsid w:val="00821DD2"/>
    <w:rsid w:val="00822825"/>
    <w:rsid w:val="008263E6"/>
    <w:rsid w:val="00827570"/>
    <w:rsid w:val="008300DD"/>
    <w:rsid w:val="0083417A"/>
    <w:rsid w:val="00835391"/>
    <w:rsid w:val="00835B13"/>
    <w:rsid w:val="00836EEF"/>
    <w:rsid w:val="00846733"/>
    <w:rsid w:val="00846C43"/>
    <w:rsid w:val="00847A2F"/>
    <w:rsid w:val="008508A0"/>
    <w:rsid w:val="00850936"/>
    <w:rsid w:val="00850BE2"/>
    <w:rsid w:val="00852A47"/>
    <w:rsid w:val="00853C9D"/>
    <w:rsid w:val="00853D01"/>
    <w:rsid w:val="00857BFF"/>
    <w:rsid w:val="00857EF3"/>
    <w:rsid w:val="00861513"/>
    <w:rsid w:val="00861DA8"/>
    <w:rsid w:val="00861FB7"/>
    <w:rsid w:val="00864E7A"/>
    <w:rsid w:val="00870543"/>
    <w:rsid w:val="00871825"/>
    <w:rsid w:val="00875CC2"/>
    <w:rsid w:val="008764EE"/>
    <w:rsid w:val="008802F2"/>
    <w:rsid w:val="00880E62"/>
    <w:rsid w:val="00882A51"/>
    <w:rsid w:val="00884172"/>
    <w:rsid w:val="008841E1"/>
    <w:rsid w:val="008852CF"/>
    <w:rsid w:val="00885DFF"/>
    <w:rsid w:val="0089317C"/>
    <w:rsid w:val="00893D4C"/>
    <w:rsid w:val="00894EB1"/>
    <w:rsid w:val="00896361"/>
    <w:rsid w:val="008978BC"/>
    <w:rsid w:val="008A0029"/>
    <w:rsid w:val="008A284B"/>
    <w:rsid w:val="008A28D5"/>
    <w:rsid w:val="008A2BDE"/>
    <w:rsid w:val="008A2D2C"/>
    <w:rsid w:val="008A44CF"/>
    <w:rsid w:val="008A4893"/>
    <w:rsid w:val="008A4F78"/>
    <w:rsid w:val="008A68BE"/>
    <w:rsid w:val="008A75D3"/>
    <w:rsid w:val="008B1746"/>
    <w:rsid w:val="008B3A03"/>
    <w:rsid w:val="008B6E7B"/>
    <w:rsid w:val="008B74BE"/>
    <w:rsid w:val="008C2B2D"/>
    <w:rsid w:val="008C2B50"/>
    <w:rsid w:val="008D0143"/>
    <w:rsid w:val="008D01E5"/>
    <w:rsid w:val="008D31E5"/>
    <w:rsid w:val="008D43B8"/>
    <w:rsid w:val="008D4C17"/>
    <w:rsid w:val="008D50EA"/>
    <w:rsid w:val="008D67B5"/>
    <w:rsid w:val="008D6A12"/>
    <w:rsid w:val="008D7A1C"/>
    <w:rsid w:val="008D7A3C"/>
    <w:rsid w:val="008E2E14"/>
    <w:rsid w:val="008E43AC"/>
    <w:rsid w:val="008E5306"/>
    <w:rsid w:val="008E74BF"/>
    <w:rsid w:val="008F1B31"/>
    <w:rsid w:val="008F2292"/>
    <w:rsid w:val="008F23C2"/>
    <w:rsid w:val="008F26B4"/>
    <w:rsid w:val="008F49BD"/>
    <w:rsid w:val="008F55FF"/>
    <w:rsid w:val="008F66F3"/>
    <w:rsid w:val="008F764D"/>
    <w:rsid w:val="00902098"/>
    <w:rsid w:val="0090325A"/>
    <w:rsid w:val="00904118"/>
    <w:rsid w:val="00906286"/>
    <w:rsid w:val="00911666"/>
    <w:rsid w:val="00911D74"/>
    <w:rsid w:val="00911D8E"/>
    <w:rsid w:val="009143E6"/>
    <w:rsid w:val="00920B55"/>
    <w:rsid w:val="0092272D"/>
    <w:rsid w:val="009229E3"/>
    <w:rsid w:val="00926B8E"/>
    <w:rsid w:val="00930FBE"/>
    <w:rsid w:val="009321B4"/>
    <w:rsid w:val="00933802"/>
    <w:rsid w:val="00933BBA"/>
    <w:rsid w:val="0093501B"/>
    <w:rsid w:val="00937BCC"/>
    <w:rsid w:val="009404CB"/>
    <w:rsid w:val="00940967"/>
    <w:rsid w:val="00941F17"/>
    <w:rsid w:val="009425AC"/>
    <w:rsid w:val="0094376B"/>
    <w:rsid w:val="00945B2D"/>
    <w:rsid w:val="00950711"/>
    <w:rsid w:val="00950DBA"/>
    <w:rsid w:val="009524E9"/>
    <w:rsid w:val="009551C1"/>
    <w:rsid w:val="00956705"/>
    <w:rsid w:val="00957188"/>
    <w:rsid w:val="00960181"/>
    <w:rsid w:val="00961A3E"/>
    <w:rsid w:val="00970EDE"/>
    <w:rsid w:val="00971165"/>
    <w:rsid w:val="009714A9"/>
    <w:rsid w:val="00973BCB"/>
    <w:rsid w:val="0097750F"/>
    <w:rsid w:val="0098120B"/>
    <w:rsid w:val="00984A0D"/>
    <w:rsid w:val="00984E68"/>
    <w:rsid w:val="00984F1E"/>
    <w:rsid w:val="00985672"/>
    <w:rsid w:val="0098608F"/>
    <w:rsid w:val="009862CF"/>
    <w:rsid w:val="00986DF4"/>
    <w:rsid w:val="0098788D"/>
    <w:rsid w:val="00987CD0"/>
    <w:rsid w:val="009905C8"/>
    <w:rsid w:val="00993F90"/>
    <w:rsid w:val="00994A7B"/>
    <w:rsid w:val="00995BC4"/>
    <w:rsid w:val="0099623F"/>
    <w:rsid w:val="00996340"/>
    <w:rsid w:val="009969B4"/>
    <w:rsid w:val="009979DD"/>
    <w:rsid w:val="009A0B60"/>
    <w:rsid w:val="009A331E"/>
    <w:rsid w:val="009A3921"/>
    <w:rsid w:val="009A39AA"/>
    <w:rsid w:val="009A46A1"/>
    <w:rsid w:val="009A4882"/>
    <w:rsid w:val="009A4C35"/>
    <w:rsid w:val="009A50E7"/>
    <w:rsid w:val="009A610A"/>
    <w:rsid w:val="009A6A87"/>
    <w:rsid w:val="009B3297"/>
    <w:rsid w:val="009B3FB4"/>
    <w:rsid w:val="009B68FA"/>
    <w:rsid w:val="009C0DCD"/>
    <w:rsid w:val="009C11FC"/>
    <w:rsid w:val="009C1977"/>
    <w:rsid w:val="009C6123"/>
    <w:rsid w:val="009D17C0"/>
    <w:rsid w:val="009D2ECC"/>
    <w:rsid w:val="009D3904"/>
    <w:rsid w:val="009D4938"/>
    <w:rsid w:val="009D5FB3"/>
    <w:rsid w:val="009E1970"/>
    <w:rsid w:val="009E34CF"/>
    <w:rsid w:val="009E3740"/>
    <w:rsid w:val="009E42CA"/>
    <w:rsid w:val="009E43A8"/>
    <w:rsid w:val="009E4AE4"/>
    <w:rsid w:val="009F2A3B"/>
    <w:rsid w:val="009F3BB0"/>
    <w:rsid w:val="00A01A1D"/>
    <w:rsid w:val="00A06A11"/>
    <w:rsid w:val="00A06D5C"/>
    <w:rsid w:val="00A06F76"/>
    <w:rsid w:val="00A10DC7"/>
    <w:rsid w:val="00A226CC"/>
    <w:rsid w:val="00A24071"/>
    <w:rsid w:val="00A2458D"/>
    <w:rsid w:val="00A248E2"/>
    <w:rsid w:val="00A24BBE"/>
    <w:rsid w:val="00A24EB0"/>
    <w:rsid w:val="00A25149"/>
    <w:rsid w:val="00A32425"/>
    <w:rsid w:val="00A3478C"/>
    <w:rsid w:val="00A35A57"/>
    <w:rsid w:val="00A40286"/>
    <w:rsid w:val="00A47ED2"/>
    <w:rsid w:val="00A50A80"/>
    <w:rsid w:val="00A534DF"/>
    <w:rsid w:val="00A55511"/>
    <w:rsid w:val="00A55782"/>
    <w:rsid w:val="00A5629F"/>
    <w:rsid w:val="00A568A0"/>
    <w:rsid w:val="00A56BCE"/>
    <w:rsid w:val="00A608D4"/>
    <w:rsid w:val="00A61FCE"/>
    <w:rsid w:val="00A6231A"/>
    <w:rsid w:val="00A64675"/>
    <w:rsid w:val="00A67D86"/>
    <w:rsid w:val="00A704AC"/>
    <w:rsid w:val="00A726F3"/>
    <w:rsid w:val="00A767D0"/>
    <w:rsid w:val="00A7774C"/>
    <w:rsid w:val="00A834BE"/>
    <w:rsid w:val="00A83A34"/>
    <w:rsid w:val="00A85BCE"/>
    <w:rsid w:val="00A87849"/>
    <w:rsid w:val="00A94F16"/>
    <w:rsid w:val="00A953B5"/>
    <w:rsid w:val="00A975D0"/>
    <w:rsid w:val="00AA4482"/>
    <w:rsid w:val="00AA4820"/>
    <w:rsid w:val="00AA7BB3"/>
    <w:rsid w:val="00AB1946"/>
    <w:rsid w:val="00AB5928"/>
    <w:rsid w:val="00AB699D"/>
    <w:rsid w:val="00AB7204"/>
    <w:rsid w:val="00AC0F63"/>
    <w:rsid w:val="00AC30C4"/>
    <w:rsid w:val="00AC7B6C"/>
    <w:rsid w:val="00AD00E2"/>
    <w:rsid w:val="00AD26AF"/>
    <w:rsid w:val="00AD2C0C"/>
    <w:rsid w:val="00AD7071"/>
    <w:rsid w:val="00AE179E"/>
    <w:rsid w:val="00AE200F"/>
    <w:rsid w:val="00AE2908"/>
    <w:rsid w:val="00AE52E0"/>
    <w:rsid w:val="00AF10DF"/>
    <w:rsid w:val="00AF1865"/>
    <w:rsid w:val="00AF2C37"/>
    <w:rsid w:val="00AF3B65"/>
    <w:rsid w:val="00AF4087"/>
    <w:rsid w:val="00AF40EC"/>
    <w:rsid w:val="00B0262B"/>
    <w:rsid w:val="00B0271B"/>
    <w:rsid w:val="00B04B32"/>
    <w:rsid w:val="00B05E83"/>
    <w:rsid w:val="00B1083D"/>
    <w:rsid w:val="00B14181"/>
    <w:rsid w:val="00B146ED"/>
    <w:rsid w:val="00B16C03"/>
    <w:rsid w:val="00B171B6"/>
    <w:rsid w:val="00B326C2"/>
    <w:rsid w:val="00B33CEB"/>
    <w:rsid w:val="00B34D8B"/>
    <w:rsid w:val="00B37007"/>
    <w:rsid w:val="00B40921"/>
    <w:rsid w:val="00B4122C"/>
    <w:rsid w:val="00B46883"/>
    <w:rsid w:val="00B4736B"/>
    <w:rsid w:val="00B508E7"/>
    <w:rsid w:val="00B51023"/>
    <w:rsid w:val="00B51715"/>
    <w:rsid w:val="00B51EF2"/>
    <w:rsid w:val="00B5266B"/>
    <w:rsid w:val="00B54E5C"/>
    <w:rsid w:val="00B5676F"/>
    <w:rsid w:val="00B57300"/>
    <w:rsid w:val="00B5750E"/>
    <w:rsid w:val="00B61E4C"/>
    <w:rsid w:val="00B70A69"/>
    <w:rsid w:val="00B745B1"/>
    <w:rsid w:val="00B81625"/>
    <w:rsid w:val="00B824DE"/>
    <w:rsid w:val="00B84743"/>
    <w:rsid w:val="00B84FF5"/>
    <w:rsid w:val="00B852E3"/>
    <w:rsid w:val="00B86632"/>
    <w:rsid w:val="00B87373"/>
    <w:rsid w:val="00B9288A"/>
    <w:rsid w:val="00B92CBA"/>
    <w:rsid w:val="00B948E3"/>
    <w:rsid w:val="00B957FB"/>
    <w:rsid w:val="00B966C5"/>
    <w:rsid w:val="00B97E7F"/>
    <w:rsid w:val="00B97F42"/>
    <w:rsid w:val="00BA01BE"/>
    <w:rsid w:val="00BA03FD"/>
    <w:rsid w:val="00BA1D95"/>
    <w:rsid w:val="00BA3328"/>
    <w:rsid w:val="00BA43E4"/>
    <w:rsid w:val="00BA5F6F"/>
    <w:rsid w:val="00BB0B32"/>
    <w:rsid w:val="00BB1600"/>
    <w:rsid w:val="00BB341B"/>
    <w:rsid w:val="00BB707E"/>
    <w:rsid w:val="00BB7C50"/>
    <w:rsid w:val="00BC0B43"/>
    <w:rsid w:val="00BC0D03"/>
    <w:rsid w:val="00BC3C46"/>
    <w:rsid w:val="00BC526E"/>
    <w:rsid w:val="00BD2BAA"/>
    <w:rsid w:val="00BD47AC"/>
    <w:rsid w:val="00BE2571"/>
    <w:rsid w:val="00BE2A20"/>
    <w:rsid w:val="00BE42DC"/>
    <w:rsid w:val="00BE47BF"/>
    <w:rsid w:val="00BE71C7"/>
    <w:rsid w:val="00BF221E"/>
    <w:rsid w:val="00BF754A"/>
    <w:rsid w:val="00C027F8"/>
    <w:rsid w:val="00C04A86"/>
    <w:rsid w:val="00C04B0F"/>
    <w:rsid w:val="00C04E33"/>
    <w:rsid w:val="00C04EFB"/>
    <w:rsid w:val="00C05ABB"/>
    <w:rsid w:val="00C07466"/>
    <w:rsid w:val="00C16A3A"/>
    <w:rsid w:val="00C173D0"/>
    <w:rsid w:val="00C20079"/>
    <w:rsid w:val="00C20D21"/>
    <w:rsid w:val="00C22EB7"/>
    <w:rsid w:val="00C242B9"/>
    <w:rsid w:val="00C243C0"/>
    <w:rsid w:val="00C33B6F"/>
    <w:rsid w:val="00C37A14"/>
    <w:rsid w:val="00C4257A"/>
    <w:rsid w:val="00C474EB"/>
    <w:rsid w:val="00C50110"/>
    <w:rsid w:val="00C52507"/>
    <w:rsid w:val="00C527B1"/>
    <w:rsid w:val="00C5483C"/>
    <w:rsid w:val="00C5551C"/>
    <w:rsid w:val="00C571E6"/>
    <w:rsid w:val="00C57FE3"/>
    <w:rsid w:val="00C6063A"/>
    <w:rsid w:val="00C60959"/>
    <w:rsid w:val="00C614D8"/>
    <w:rsid w:val="00C62724"/>
    <w:rsid w:val="00C62E1A"/>
    <w:rsid w:val="00C638F1"/>
    <w:rsid w:val="00C6588C"/>
    <w:rsid w:val="00C65AA3"/>
    <w:rsid w:val="00C67999"/>
    <w:rsid w:val="00C67B8C"/>
    <w:rsid w:val="00C7172E"/>
    <w:rsid w:val="00C74DBE"/>
    <w:rsid w:val="00C7722D"/>
    <w:rsid w:val="00C7788A"/>
    <w:rsid w:val="00C80C71"/>
    <w:rsid w:val="00C827D4"/>
    <w:rsid w:val="00C93383"/>
    <w:rsid w:val="00C9422B"/>
    <w:rsid w:val="00C94522"/>
    <w:rsid w:val="00C94B94"/>
    <w:rsid w:val="00C95EFA"/>
    <w:rsid w:val="00C97317"/>
    <w:rsid w:val="00C97499"/>
    <w:rsid w:val="00CA093C"/>
    <w:rsid w:val="00CA6A7F"/>
    <w:rsid w:val="00CA7515"/>
    <w:rsid w:val="00CB149C"/>
    <w:rsid w:val="00CB2E82"/>
    <w:rsid w:val="00CB30A7"/>
    <w:rsid w:val="00CB319D"/>
    <w:rsid w:val="00CB5332"/>
    <w:rsid w:val="00CB5728"/>
    <w:rsid w:val="00CB59FE"/>
    <w:rsid w:val="00CC034E"/>
    <w:rsid w:val="00CC1C27"/>
    <w:rsid w:val="00CC26EB"/>
    <w:rsid w:val="00CC44BC"/>
    <w:rsid w:val="00CC5384"/>
    <w:rsid w:val="00CC76E6"/>
    <w:rsid w:val="00CD2634"/>
    <w:rsid w:val="00CD39DA"/>
    <w:rsid w:val="00CE1607"/>
    <w:rsid w:val="00CE1CE0"/>
    <w:rsid w:val="00CE6533"/>
    <w:rsid w:val="00CE6536"/>
    <w:rsid w:val="00CE6549"/>
    <w:rsid w:val="00CE6DC5"/>
    <w:rsid w:val="00CE72C1"/>
    <w:rsid w:val="00CF15D7"/>
    <w:rsid w:val="00CF202E"/>
    <w:rsid w:val="00CF263C"/>
    <w:rsid w:val="00CF5106"/>
    <w:rsid w:val="00CF74FA"/>
    <w:rsid w:val="00D00115"/>
    <w:rsid w:val="00D0283D"/>
    <w:rsid w:val="00D04413"/>
    <w:rsid w:val="00D0458C"/>
    <w:rsid w:val="00D06766"/>
    <w:rsid w:val="00D06BA4"/>
    <w:rsid w:val="00D07B47"/>
    <w:rsid w:val="00D102EC"/>
    <w:rsid w:val="00D1040D"/>
    <w:rsid w:val="00D144BF"/>
    <w:rsid w:val="00D14FA2"/>
    <w:rsid w:val="00D15E63"/>
    <w:rsid w:val="00D17F14"/>
    <w:rsid w:val="00D21005"/>
    <w:rsid w:val="00D21904"/>
    <w:rsid w:val="00D239E9"/>
    <w:rsid w:val="00D2534A"/>
    <w:rsid w:val="00D2617F"/>
    <w:rsid w:val="00D261D1"/>
    <w:rsid w:val="00D274D4"/>
    <w:rsid w:val="00D274E7"/>
    <w:rsid w:val="00D312B2"/>
    <w:rsid w:val="00D3298D"/>
    <w:rsid w:val="00D32A7C"/>
    <w:rsid w:val="00D333EB"/>
    <w:rsid w:val="00D33DAE"/>
    <w:rsid w:val="00D37E07"/>
    <w:rsid w:val="00D40586"/>
    <w:rsid w:val="00D4440B"/>
    <w:rsid w:val="00D45BC9"/>
    <w:rsid w:val="00D46CD3"/>
    <w:rsid w:val="00D50966"/>
    <w:rsid w:val="00D51ED0"/>
    <w:rsid w:val="00D52DFE"/>
    <w:rsid w:val="00D55004"/>
    <w:rsid w:val="00D57212"/>
    <w:rsid w:val="00D60807"/>
    <w:rsid w:val="00D644A4"/>
    <w:rsid w:val="00D64F3B"/>
    <w:rsid w:val="00D655CB"/>
    <w:rsid w:val="00D65E9D"/>
    <w:rsid w:val="00D70758"/>
    <w:rsid w:val="00D711AB"/>
    <w:rsid w:val="00D72BB4"/>
    <w:rsid w:val="00D76D6D"/>
    <w:rsid w:val="00D77E0D"/>
    <w:rsid w:val="00D80AF0"/>
    <w:rsid w:val="00D82B4A"/>
    <w:rsid w:val="00D82D6D"/>
    <w:rsid w:val="00D834F5"/>
    <w:rsid w:val="00D843A5"/>
    <w:rsid w:val="00D87A19"/>
    <w:rsid w:val="00D92AC8"/>
    <w:rsid w:val="00D92CDC"/>
    <w:rsid w:val="00D931BA"/>
    <w:rsid w:val="00D95509"/>
    <w:rsid w:val="00DA1F70"/>
    <w:rsid w:val="00DA24A9"/>
    <w:rsid w:val="00DA2C38"/>
    <w:rsid w:val="00DA6F3F"/>
    <w:rsid w:val="00DB0A99"/>
    <w:rsid w:val="00DB24A4"/>
    <w:rsid w:val="00DB3A2C"/>
    <w:rsid w:val="00DB4217"/>
    <w:rsid w:val="00DC226E"/>
    <w:rsid w:val="00DC39A4"/>
    <w:rsid w:val="00DC4372"/>
    <w:rsid w:val="00DC5A91"/>
    <w:rsid w:val="00DC6CD0"/>
    <w:rsid w:val="00DD242B"/>
    <w:rsid w:val="00DD2F70"/>
    <w:rsid w:val="00DD419F"/>
    <w:rsid w:val="00DD41F5"/>
    <w:rsid w:val="00DD5EB8"/>
    <w:rsid w:val="00DD7DA5"/>
    <w:rsid w:val="00DE05A6"/>
    <w:rsid w:val="00DE4554"/>
    <w:rsid w:val="00DE5D84"/>
    <w:rsid w:val="00DE6BC1"/>
    <w:rsid w:val="00DE708C"/>
    <w:rsid w:val="00DF0DA9"/>
    <w:rsid w:val="00DF0E33"/>
    <w:rsid w:val="00DF6A31"/>
    <w:rsid w:val="00E0261D"/>
    <w:rsid w:val="00E02894"/>
    <w:rsid w:val="00E02D8C"/>
    <w:rsid w:val="00E03BA8"/>
    <w:rsid w:val="00E04A27"/>
    <w:rsid w:val="00E04E4F"/>
    <w:rsid w:val="00E129D0"/>
    <w:rsid w:val="00E136BC"/>
    <w:rsid w:val="00E2056B"/>
    <w:rsid w:val="00E21242"/>
    <w:rsid w:val="00E24325"/>
    <w:rsid w:val="00E26E3C"/>
    <w:rsid w:val="00E30038"/>
    <w:rsid w:val="00E33222"/>
    <w:rsid w:val="00E3389B"/>
    <w:rsid w:val="00E3486A"/>
    <w:rsid w:val="00E365D6"/>
    <w:rsid w:val="00E40E0D"/>
    <w:rsid w:val="00E411C4"/>
    <w:rsid w:val="00E42946"/>
    <w:rsid w:val="00E45700"/>
    <w:rsid w:val="00E45992"/>
    <w:rsid w:val="00E45AB2"/>
    <w:rsid w:val="00E45FE7"/>
    <w:rsid w:val="00E4695C"/>
    <w:rsid w:val="00E5039D"/>
    <w:rsid w:val="00E5288B"/>
    <w:rsid w:val="00E564C7"/>
    <w:rsid w:val="00E56E97"/>
    <w:rsid w:val="00E6141D"/>
    <w:rsid w:val="00E61B0B"/>
    <w:rsid w:val="00E61C04"/>
    <w:rsid w:val="00E651B9"/>
    <w:rsid w:val="00E66EF7"/>
    <w:rsid w:val="00E6767B"/>
    <w:rsid w:val="00E72226"/>
    <w:rsid w:val="00E74CBA"/>
    <w:rsid w:val="00E7586D"/>
    <w:rsid w:val="00E80163"/>
    <w:rsid w:val="00E81E36"/>
    <w:rsid w:val="00E861B3"/>
    <w:rsid w:val="00E87E51"/>
    <w:rsid w:val="00E9701C"/>
    <w:rsid w:val="00E97BF3"/>
    <w:rsid w:val="00EA160B"/>
    <w:rsid w:val="00EA17BD"/>
    <w:rsid w:val="00EA2CCF"/>
    <w:rsid w:val="00EA4863"/>
    <w:rsid w:val="00EA65B2"/>
    <w:rsid w:val="00EB0B87"/>
    <w:rsid w:val="00EB15E2"/>
    <w:rsid w:val="00EB212E"/>
    <w:rsid w:val="00EB2F27"/>
    <w:rsid w:val="00EB66BB"/>
    <w:rsid w:val="00EB70A4"/>
    <w:rsid w:val="00EB755F"/>
    <w:rsid w:val="00EC412D"/>
    <w:rsid w:val="00EC4882"/>
    <w:rsid w:val="00ED26E3"/>
    <w:rsid w:val="00ED2FA5"/>
    <w:rsid w:val="00ED3673"/>
    <w:rsid w:val="00ED5412"/>
    <w:rsid w:val="00ED5DD1"/>
    <w:rsid w:val="00ED7870"/>
    <w:rsid w:val="00ED7D67"/>
    <w:rsid w:val="00EE014D"/>
    <w:rsid w:val="00EE2413"/>
    <w:rsid w:val="00EE3B6A"/>
    <w:rsid w:val="00EE5B46"/>
    <w:rsid w:val="00EE640B"/>
    <w:rsid w:val="00EF44DC"/>
    <w:rsid w:val="00EF4804"/>
    <w:rsid w:val="00EF5A1B"/>
    <w:rsid w:val="00EF5F4D"/>
    <w:rsid w:val="00EF6AA4"/>
    <w:rsid w:val="00F02E0D"/>
    <w:rsid w:val="00F11B71"/>
    <w:rsid w:val="00F14834"/>
    <w:rsid w:val="00F150A3"/>
    <w:rsid w:val="00F161BE"/>
    <w:rsid w:val="00F23995"/>
    <w:rsid w:val="00F2422B"/>
    <w:rsid w:val="00F26107"/>
    <w:rsid w:val="00F262C9"/>
    <w:rsid w:val="00F30C52"/>
    <w:rsid w:val="00F3208D"/>
    <w:rsid w:val="00F328E1"/>
    <w:rsid w:val="00F332A1"/>
    <w:rsid w:val="00F352D2"/>
    <w:rsid w:val="00F41240"/>
    <w:rsid w:val="00F44044"/>
    <w:rsid w:val="00F448A3"/>
    <w:rsid w:val="00F453BA"/>
    <w:rsid w:val="00F46790"/>
    <w:rsid w:val="00F47B4A"/>
    <w:rsid w:val="00F505DB"/>
    <w:rsid w:val="00F51B83"/>
    <w:rsid w:val="00F53299"/>
    <w:rsid w:val="00F53F27"/>
    <w:rsid w:val="00F54D82"/>
    <w:rsid w:val="00F569C2"/>
    <w:rsid w:val="00F604E8"/>
    <w:rsid w:val="00F608E8"/>
    <w:rsid w:val="00F61CD9"/>
    <w:rsid w:val="00F64572"/>
    <w:rsid w:val="00F716C3"/>
    <w:rsid w:val="00F73403"/>
    <w:rsid w:val="00F73552"/>
    <w:rsid w:val="00F764AC"/>
    <w:rsid w:val="00F77C39"/>
    <w:rsid w:val="00F827E6"/>
    <w:rsid w:val="00F90470"/>
    <w:rsid w:val="00F90623"/>
    <w:rsid w:val="00F91BFF"/>
    <w:rsid w:val="00F941CE"/>
    <w:rsid w:val="00F95281"/>
    <w:rsid w:val="00F96E2F"/>
    <w:rsid w:val="00F9735F"/>
    <w:rsid w:val="00FA0637"/>
    <w:rsid w:val="00FA1983"/>
    <w:rsid w:val="00FA1D35"/>
    <w:rsid w:val="00FA2F2E"/>
    <w:rsid w:val="00FA5B53"/>
    <w:rsid w:val="00FB3400"/>
    <w:rsid w:val="00FB35C5"/>
    <w:rsid w:val="00FB6EA4"/>
    <w:rsid w:val="00FC27C0"/>
    <w:rsid w:val="00FC5662"/>
    <w:rsid w:val="00FD069E"/>
    <w:rsid w:val="00FD1DDA"/>
    <w:rsid w:val="00FD345D"/>
    <w:rsid w:val="00FD51EB"/>
    <w:rsid w:val="00FD7134"/>
    <w:rsid w:val="00FD75A9"/>
    <w:rsid w:val="00FE3D69"/>
    <w:rsid w:val="00FE4931"/>
    <w:rsid w:val="00FE6787"/>
    <w:rsid w:val="00FE6C79"/>
    <w:rsid w:val="00FE70C5"/>
    <w:rsid w:val="00FF23C4"/>
    <w:rsid w:val="00FF2A72"/>
    <w:rsid w:val="00FF59EF"/>
    <w:rsid w:val="00FF7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AA"/>
  </w:style>
  <w:style w:type="paragraph" w:styleId="Heading1">
    <w:name w:val="heading 1"/>
    <w:basedOn w:val="Normal"/>
    <w:next w:val="Normal"/>
    <w:link w:val="Heading1Char"/>
    <w:uiPriority w:val="9"/>
    <w:qFormat/>
    <w:rsid w:val="00880E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5045"/>
    <w:pPr>
      <w:keepNext/>
      <w:keepLines/>
      <w:spacing w:before="300" w:after="1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2059"/>
    <w:pPr>
      <w:keepNext/>
      <w:keepLines/>
      <w:spacing w:before="300" w:after="1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326D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F05DB"/>
    <w:pPr>
      <w:spacing w:after="100" w:line="240" w:lineRule="auto"/>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BC7"/>
    <w:pPr>
      <w:ind w:left="720"/>
      <w:contextualSpacing/>
    </w:pPr>
  </w:style>
  <w:style w:type="table" w:styleId="TableGrid">
    <w:name w:val="Table Grid"/>
    <w:basedOn w:val="TableNormal"/>
    <w:uiPriority w:val="59"/>
    <w:rsid w:val="001F26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20D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0D21"/>
  </w:style>
  <w:style w:type="paragraph" w:styleId="Footer">
    <w:name w:val="footer"/>
    <w:basedOn w:val="Normal"/>
    <w:link w:val="FooterChar"/>
    <w:uiPriority w:val="99"/>
    <w:unhideWhenUsed/>
    <w:rsid w:val="00C20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D21"/>
  </w:style>
  <w:style w:type="character" w:styleId="CommentReference">
    <w:name w:val="annotation reference"/>
    <w:basedOn w:val="DefaultParagraphFont"/>
    <w:uiPriority w:val="99"/>
    <w:semiHidden/>
    <w:unhideWhenUsed/>
    <w:rsid w:val="005F0699"/>
    <w:rPr>
      <w:sz w:val="16"/>
      <w:szCs w:val="16"/>
    </w:rPr>
  </w:style>
  <w:style w:type="paragraph" w:styleId="CommentText">
    <w:name w:val="annotation text"/>
    <w:basedOn w:val="Normal"/>
    <w:link w:val="CommentTextChar"/>
    <w:uiPriority w:val="99"/>
    <w:semiHidden/>
    <w:unhideWhenUsed/>
    <w:rsid w:val="005F0699"/>
    <w:pPr>
      <w:spacing w:line="240" w:lineRule="auto"/>
    </w:pPr>
    <w:rPr>
      <w:sz w:val="20"/>
      <w:szCs w:val="20"/>
    </w:rPr>
  </w:style>
  <w:style w:type="character" w:customStyle="1" w:styleId="CommentTextChar">
    <w:name w:val="Comment Text Char"/>
    <w:basedOn w:val="DefaultParagraphFont"/>
    <w:link w:val="CommentText"/>
    <w:uiPriority w:val="99"/>
    <w:semiHidden/>
    <w:rsid w:val="005F0699"/>
    <w:rPr>
      <w:sz w:val="20"/>
      <w:szCs w:val="20"/>
    </w:rPr>
  </w:style>
  <w:style w:type="paragraph" w:styleId="CommentSubject">
    <w:name w:val="annotation subject"/>
    <w:basedOn w:val="CommentText"/>
    <w:next w:val="CommentText"/>
    <w:link w:val="CommentSubjectChar"/>
    <w:uiPriority w:val="99"/>
    <w:semiHidden/>
    <w:unhideWhenUsed/>
    <w:rsid w:val="005F0699"/>
    <w:rPr>
      <w:b/>
      <w:bCs/>
    </w:rPr>
  </w:style>
  <w:style w:type="character" w:customStyle="1" w:styleId="CommentSubjectChar">
    <w:name w:val="Comment Subject Char"/>
    <w:basedOn w:val="CommentTextChar"/>
    <w:link w:val="CommentSubject"/>
    <w:uiPriority w:val="99"/>
    <w:semiHidden/>
    <w:rsid w:val="005F0699"/>
    <w:rPr>
      <w:b/>
      <w:bCs/>
    </w:rPr>
  </w:style>
  <w:style w:type="paragraph" w:styleId="BalloonText">
    <w:name w:val="Balloon Text"/>
    <w:basedOn w:val="Normal"/>
    <w:link w:val="BalloonTextChar"/>
    <w:uiPriority w:val="99"/>
    <w:semiHidden/>
    <w:unhideWhenUsed/>
    <w:rsid w:val="005F0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699"/>
    <w:rPr>
      <w:rFonts w:ascii="Tahoma" w:hAnsi="Tahoma" w:cs="Tahoma"/>
      <w:sz w:val="16"/>
      <w:szCs w:val="16"/>
    </w:rPr>
  </w:style>
  <w:style w:type="paragraph" w:styleId="FootnoteText">
    <w:name w:val="footnote text"/>
    <w:basedOn w:val="Normal"/>
    <w:link w:val="FootnoteTextChar"/>
    <w:uiPriority w:val="99"/>
    <w:unhideWhenUsed/>
    <w:rsid w:val="00003F07"/>
    <w:pPr>
      <w:spacing w:after="0" w:line="240" w:lineRule="auto"/>
    </w:pPr>
    <w:rPr>
      <w:sz w:val="20"/>
      <w:szCs w:val="20"/>
    </w:rPr>
  </w:style>
  <w:style w:type="character" w:customStyle="1" w:styleId="FootnoteTextChar">
    <w:name w:val="Footnote Text Char"/>
    <w:basedOn w:val="DefaultParagraphFont"/>
    <w:link w:val="FootnoteText"/>
    <w:uiPriority w:val="99"/>
    <w:rsid w:val="00003F07"/>
    <w:rPr>
      <w:sz w:val="20"/>
      <w:szCs w:val="20"/>
    </w:rPr>
  </w:style>
  <w:style w:type="character" w:styleId="FootnoteReference">
    <w:name w:val="footnote reference"/>
    <w:basedOn w:val="DefaultParagraphFont"/>
    <w:uiPriority w:val="99"/>
    <w:semiHidden/>
    <w:unhideWhenUsed/>
    <w:rsid w:val="00003F07"/>
    <w:rPr>
      <w:vertAlign w:val="superscript"/>
    </w:rPr>
  </w:style>
  <w:style w:type="character" w:styleId="Hyperlink">
    <w:name w:val="Hyperlink"/>
    <w:basedOn w:val="DefaultParagraphFont"/>
    <w:uiPriority w:val="99"/>
    <w:unhideWhenUsed/>
    <w:rsid w:val="00AB7204"/>
    <w:rPr>
      <w:color w:val="0000FF" w:themeColor="hyperlink"/>
      <w:u w:val="single"/>
    </w:rPr>
  </w:style>
  <w:style w:type="character" w:styleId="FollowedHyperlink">
    <w:name w:val="FollowedHyperlink"/>
    <w:basedOn w:val="DefaultParagraphFont"/>
    <w:uiPriority w:val="99"/>
    <w:semiHidden/>
    <w:unhideWhenUsed/>
    <w:rsid w:val="00AB7204"/>
    <w:rPr>
      <w:color w:val="800080" w:themeColor="followedHyperlink"/>
      <w:u w:val="single"/>
    </w:rPr>
  </w:style>
  <w:style w:type="paragraph" w:styleId="Title">
    <w:name w:val="Title"/>
    <w:basedOn w:val="Normal"/>
    <w:next w:val="Normal"/>
    <w:link w:val="TitleChar"/>
    <w:uiPriority w:val="10"/>
    <w:qFormat/>
    <w:rsid w:val="00002D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2D5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80E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F50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2059"/>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8F49BD"/>
    <w:rPr>
      <w:i/>
      <w:iCs/>
    </w:rPr>
  </w:style>
  <w:style w:type="character" w:styleId="HTMLCite">
    <w:name w:val="HTML Cite"/>
    <w:basedOn w:val="DefaultParagraphFont"/>
    <w:uiPriority w:val="99"/>
    <w:semiHidden/>
    <w:unhideWhenUsed/>
    <w:rsid w:val="00270B8D"/>
    <w:rPr>
      <w:i w:val="0"/>
      <w:iCs w:val="0"/>
      <w:color w:val="0E774A"/>
    </w:rPr>
  </w:style>
  <w:style w:type="character" w:customStyle="1" w:styleId="Heading4Char">
    <w:name w:val="Heading 4 Char"/>
    <w:basedOn w:val="DefaultParagraphFont"/>
    <w:link w:val="Heading4"/>
    <w:uiPriority w:val="9"/>
    <w:rsid w:val="001326DA"/>
    <w:rPr>
      <w:rFonts w:asciiTheme="majorHAnsi" w:eastAsiaTheme="majorEastAsia" w:hAnsiTheme="majorHAnsi" w:cstheme="majorBidi"/>
      <w:b/>
      <w:bCs/>
      <w:i/>
      <w:iCs/>
      <w:color w:val="4F81BD" w:themeColor="accent1"/>
    </w:rPr>
  </w:style>
  <w:style w:type="paragraph" w:styleId="Revision">
    <w:name w:val="Revision"/>
    <w:hidden/>
    <w:uiPriority w:val="99"/>
    <w:semiHidden/>
    <w:rsid w:val="00751851"/>
    <w:pPr>
      <w:spacing w:after="0" w:line="240" w:lineRule="auto"/>
    </w:pPr>
  </w:style>
  <w:style w:type="character" w:customStyle="1" w:styleId="vshid2">
    <w:name w:val="vshid2"/>
    <w:basedOn w:val="DefaultParagraphFont"/>
    <w:rsid w:val="00547406"/>
    <w:rPr>
      <w:vanish/>
      <w:webHidden w:val="0"/>
      <w:specVanish w:val="0"/>
    </w:rPr>
  </w:style>
  <w:style w:type="character" w:customStyle="1" w:styleId="Heading5Char">
    <w:name w:val="Heading 5 Char"/>
    <w:basedOn w:val="DefaultParagraphFont"/>
    <w:link w:val="Heading5"/>
    <w:uiPriority w:val="9"/>
    <w:rsid w:val="005F05DB"/>
    <w:rPr>
      <w:i/>
    </w:rPr>
  </w:style>
</w:styles>
</file>

<file path=word/webSettings.xml><?xml version="1.0" encoding="utf-8"?>
<w:webSettings xmlns:r="http://schemas.openxmlformats.org/officeDocument/2006/relationships" xmlns:w="http://schemas.openxmlformats.org/wordprocessingml/2006/main">
  <w:divs>
    <w:div w:id="288508945">
      <w:bodyDiv w:val="1"/>
      <w:marLeft w:val="0"/>
      <w:marRight w:val="0"/>
      <w:marTop w:val="0"/>
      <w:marBottom w:val="0"/>
      <w:divBdr>
        <w:top w:val="none" w:sz="0" w:space="0" w:color="auto"/>
        <w:left w:val="none" w:sz="0" w:space="0" w:color="auto"/>
        <w:bottom w:val="none" w:sz="0" w:space="0" w:color="auto"/>
        <w:right w:val="none" w:sz="0" w:space="0" w:color="auto"/>
      </w:divBdr>
    </w:div>
    <w:div w:id="119658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07/relationships/diagramDrawing" Target="diagrams/drawing1.xml"/><Relationship Id="rId26" Type="http://schemas.openxmlformats.org/officeDocument/2006/relationships/hyperlink" Target="http://www.dropoutprevention.org/modelprograms/show_program.php?pid=299" TargetMode="External"/><Relationship Id="rId39" Type="http://schemas.openxmlformats.org/officeDocument/2006/relationships/hyperlink" Target="http://ies.ed.gov/ncee/wwc/interventionreport.aspx?sid=248" TargetMode="External"/><Relationship Id="rId3" Type="http://schemas.openxmlformats.org/officeDocument/2006/relationships/styles" Target="styles.xml"/><Relationship Id="rId21" Type="http://schemas.openxmlformats.org/officeDocument/2006/relationships/hyperlink" Target="http://cdrp.ucsb.edu/pubs_reports.htm" TargetMode="External"/><Relationship Id="rId34" Type="http://schemas.openxmlformats.org/officeDocument/2006/relationships/hyperlink" Target="http://ies.ed.gov/ncee/wwc/interventionreport.aspx?sid=7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hyperlink" Target="http://www.dropoutprevention.org/effective-strategies/early-childhood-education" TargetMode="External"/><Relationship Id="rId33" Type="http://schemas.openxmlformats.org/officeDocument/2006/relationships/hyperlink" Target="http://ies.ed.gov/ncee/wwc/interventionreport.aspx?sid=22" TargetMode="External"/><Relationship Id="rId38" Type="http://schemas.openxmlformats.org/officeDocument/2006/relationships/hyperlink" Target="http://ies.ed.gov/ncee/wwc/glossary.aspx"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dropoutprevention.org/modelprograms/search-database" TargetMode="External"/><Relationship Id="rId29" Type="http://schemas.openxmlformats.org/officeDocument/2006/relationships/hyperlink" Target="http://www.childandfamilypolicy.duke.edu/.../familyimpact/.../BriefingReport_08_v2.pdf" TargetMode="External"/><Relationship Id="rId41" Type="http://schemas.openxmlformats.org/officeDocument/2006/relationships/hyperlink" Target="http://ies.ed.gov/ncee/wwc/interventionreport.aspx?sid=5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dropoutprevention.org/node/1043" TargetMode="External"/><Relationship Id="rId32" Type="http://schemas.openxmlformats.org/officeDocument/2006/relationships/hyperlink" Target="http://ies.ed.gov/ncee/wwc/interventionreport.aspx?sid=11" TargetMode="External"/><Relationship Id="rId37" Type="http://schemas.openxmlformats.org/officeDocument/2006/relationships/hyperlink" Target="http://ies.ed.gov/ncee/wwc/glossary.aspx" TargetMode="External"/><Relationship Id="rId40" Type="http://schemas.openxmlformats.org/officeDocument/2006/relationships/hyperlink" Target="http://ies.ed.gov/ncee/wwc/interventionreport.aspx?sid=329"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ies.ed.gov/ncee/wwc" TargetMode="External"/><Relationship Id="rId28" Type="http://schemas.openxmlformats.org/officeDocument/2006/relationships/hyperlink" Target="http://www.waisman.wisc.edu/cls/cbaexecsum4.html" TargetMode="External"/><Relationship Id="rId36" Type="http://schemas.openxmlformats.org/officeDocument/2006/relationships/hyperlink" Target="http://ies.ed.gov/ncee/wwc/interventionreport.aspx?sid=181" TargetMode="Externa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hyperlink" Target="http://ies.ed.gov/ncee/wwc/Topic.aspx?sid=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hyperlink" Target="http://www.cde.state.co.us/RtI/images/RtITriangle.png" TargetMode="External"/><Relationship Id="rId27" Type="http://schemas.openxmlformats.org/officeDocument/2006/relationships/hyperlink" Target="http://www.dropoutprevention.org/modelprograms/rating-system" TargetMode="External"/><Relationship Id="rId30" Type="http://schemas.openxmlformats.org/officeDocument/2006/relationships/hyperlink" Target="http://webcache.googleusercontent.com/search?q=cache:qqbA0VF7r7sJ:ies.ed.gov/ncee/wwc/documentsum.aspx%3Fsid%3D19+wwc+standards&amp;cd=1&amp;hl=en&amp;ct=clnk&amp;gl=us" TargetMode="External"/><Relationship Id="rId35" Type="http://schemas.openxmlformats.org/officeDocument/2006/relationships/hyperlink" Target="http://ies.ed.gov/ncee/wwc/interventionreport.aspx?sid=78%20%20" TargetMode="External"/><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738E75-C814-4F39-B390-8C4B2CB83044}"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en-US"/>
        </a:p>
      </dgm:t>
    </dgm:pt>
    <dgm:pt modelId="{32BCC8A2-7607-4D8B-8CFD-6F1C9D077BC1}">
      <dgm:prSet phldrT="[Text]"/>
      <dgm:spPr/>
      <dgm:t>
        <a:bodyPr/>
        <a:lstStyle/>
        <a:p>
          <a:r>
            <a:rPr lang="en-US"/>
            <a:t>School and Community Perspective</a:t>
          </a:r>
        </a:p>
      </dgm:t>
    </dgm:pt>
    <dgm:pt modelId="{12F8112C-9D61-406C-86E8-84DD53E8D3B6}" type="parTrans" cxnId="{DF183E7E-E6BF-4EF6-91B8-D752CBEC514F}">
      <dgm:prSet/>
      <dgm:spPr/>
      <dgm:t>
        <a:bodyPr/>
        <a:lstStyle/>
        <a:p>
          <a:endParaRPr lang="en-US"/>
        </a:p>
      </dgm:t>
    </dgm:pt>
    <dgm:pt modelId="{2739B072-9535-4A9E-844B-991E8D255FF3}" type="sibTrans" cxnId="{DF183E7E-E6BF-4EF6-91B8-D752CBEC514F}">
      <dgm:prSet/>
      <dgm:spPr/>
      <dgm:t>
        <a:bodyPr/>
        <a:lstStyle/>
        <a:p>
          <a:endParaRPr lang="en-US"/>
        </a:p>
      </dgm:t>
    </dgm:pt>
    <dgm:pt modelId="{DFAA3D60-9342-46A1-B695-A7BA2717294A}">
      <dgm:prSet phldrT="[Text]"/>
      <dgm:spPr/>
      <dgm:t>
        <a:bodyPr/>
        <a:lstStyle/>
        <a:p>
          <a:r>
            <a:rPr lang="en-US"/>
            <a:t>Systemic Renewal</a:t>
          </a:r>
        </a:p>
      </dgm:t>
    </dgm:pt>
    <dgm:pt modelId="{F71BF539-C57E-4BDB-B371-0B931AF36595}" type="parTrans" cxnId="{75F23CA1-F020-4522-BE13-CF5F2C584444}">
      <dgm:prSet/>
      <dgm:spPr/>
      <dgm:t>
        <a:bodyPr/>
        <a:lstStyle/>
        <a:p>
          <a:endParaRPr lang="en-US"/>
        </a:p>
      </dgm:t>
    </dgm:pt>
    <dgm:pt modelId="{52020E7C-80E7-4131-B0B8-14319BEA06CC}" type="sibTrans" cxnId="{75F23CA1-F020-4522-BE13-CF5F2C584444}">
      <dgm:prSet/>
      <dgm:spPr/>
      <dgm:t>
        <a:bodyPr/>
        <a:lstStyle/>
        <a:p>
          <a:endParaRPr lang="en-US"/>
        </a:p>
      </dgm:t>
    </dgm:pt>
    <dgm:pt modelId="{50A9CD44-F0BB-4FD6-AFB2-55A5B07A1167}">
      <dgm:prSet phldrT="[Text]"/>
      <dgm:spPr/>
      <dgm:t>
        <a:bodyPr/>
        <a:lstStyle/>
        <a:p>
          <a:r>
            <a:rPr lang="en-US"/>
            <a:t>Early Interventions</a:t>
          </a:r>
        </a:p>
      </dgm:t>
    </dgm:pt>
    <dgm:pt modelId="{AE64CD99-277F-444E-A1E3-38436CDCAEBB}" type="parTrans" cxnId="{26C936D1-7CD5-484B-AFD6-97CF5ED503A9}">
      <dgm:prSet/>
      <dgm:spPr/>
      <dgm:t>
        <a:bodyPr/>
        <a:lstStyle/>
        <a:p>
          <a:endParaRPr lang="en-US"/>
        </a:p>
      </dgm:t>
    </dgm:pt>
    <dgm:pt modelId="{ECA3EA8D-C49B-41DE-A41D-5F45230672A2}" type="sibTrans" cxnId="{26C936D1-7CD5-484B-AFD6-97CF5ED503A9}">
      <dgm:prSet/>
      <dgm:spPr/>
      <dgm:t>
        <a:bodyPr/>
        <a:lstStyle/>
        <a:p>
          <a:endParaRPr lang="en-US"/>
        </a:p>
      </dgm:t>
    </dgm:pt>
    <dgm:pt modelId="{8C7E24B1-FCC9-4276-91FD-6B720C6E2115}">
      <dgm:prSet phldrT="[Text]"/>
      <dgm:spPr/>
      <dgm:t>
        <a:bodyPr/>
        <a:lstStyle/>
        <a:p>
          <a:r>
            <a:rPr lang="en-US"/>
            <a:t>Family Engagement</a:t>
          </a:r>
        </a:p>
      </dgm:t>
    </dgm:pt>
    <dgm:pt modelId="{BFAA5602-75BB-45C6-9D1A-064D4307D738}" type="parTrans" cxnId="{66A85190-A54D-45F7-A780-867738560BA3}">
      <dgm:prSet/>
      <dgm:spPr/>
      <dgm:t>
        <a:bodyPr/>
        <a:lstStyle/>
        <a:p>
          <a:endParaRPr lang="en-US"/>
        </a:p>
      </dgm:t>
    </dgm:pt>
    <dgm:pt modelId="{0100C270-B0EB-4B72-8289-B32BB1FC25E9}" type="sibTrans" cxnId="{66A85190-A54D-45F7-A780-867738560BA3}">
      <dgm:prSet/>
      <dgm:spPr/>
      <dgm:t>
        <a:bodyPr/>
        <a:lstStyle/>
        <a:p>
          <a:endParaRPr lang="en-US"/>
        </a:p>
      </dgm:t>
    </dgm:pt>
    <dgm:pt modelId="{8C584983-D535-4626-AF21-477F305AABA8}">
      <dgm:prSet phldrT="[Text]"/>
      <dgm:spPr/>
      <dgm:t>
        <a:bodyPr/>
        <a:lstStyle/>
        <a:p>
          <a:r>
            <a:rPr lang="en-US"/>
            <a:t>Basic Core Strategies</a:t>
          </a:r>
        </a:p>
      </dgm:t>
    </dgm:pt>
    <dgm:pt modelId="{6BB6629A-8925-430F-9C34-AAAE76FD378F}" type="parTrans" cxnId="{5830F1D1-35F6-4A65-9439-15835CD360D0}">
      <dgm:prSet/>
      <dgm:spPr/>
      <dgm:t>
        <a:bodyPr/>
        <a:lstStyle/>
        <a:p>
          <a:endParaRPr lang="en-US"/>
        </a:p>
      </dgm:t>
    </dgm:pt>
    <dgm:pt modelId="{5C99A60C-9E01-4B94-B3E6-7ACAE4C68B98}" type="sibTrans" cxnId="{5830F1D1-35F6-4A65-9439-15835CD360D0}">
      <dgm:prSet/>
      <dgm:spPr/>
      <dgm:t>
        <a:bodyPr/>
        <a:lstStyle/>
        <a:p>
          <a:endParaRPr lang="en-US"/>
        </a:p>
      </dgm:t>
    </dgm:pt>
    <dgm:pt modelId="{144C6144-7256-44AC-B2E9-1C7504FF78A2}">
      <dgm:prSet phldrT="[Text]"/>
      <dgm:spPr/>
      <dgm:t>
        <a:bodyPr/>
        <a:lstStyle/>
        <a:p>
          <a:r>
            <a:rPr lang="en-US"/>
            <a:t>Mentoring/Tutoring</a:t>
          </a:r>
        </a:p>
      </dgm:t>
    </dgm:pt>
    <dgm:pt modelId="{0C3EBA46-4304-486D-B5F5-272BCD991953}" type="parTrans" cxnId="{3685F11F-884C-4C0B-9A19-4B8A13C45614}">
      <dgm:prSet/>
      <dgm:spPr/>
      <dgm:t>
        <a:bodyPr/>
        <a:lstStyle/>
        <a:p>
          <a:endParaRPr lang="en-US"/>
        </a:p>
      </dgm:t>
    </dgm:pt>
    <dgm:pt modelId="{5EEF9FAD-4333-432E-B8F6-D61A5936B509}" type="sibTrans" cxnId="{3685F11F-884C-4C0B-9A19-4B8A13C45614}">
      <dgm:prSet/>
      <dgm:spPr/>
      <dgm:t>
        <a:bodyPr/>
        <a:lstStyle/>
        <a:p>
          <a:endParaRPr lang="en-US"/>
        </a:p>
      </dgm:t>
    </dgm:pt>
    <dgm:pt modelId="{849844BB-7873-4EEE-AD7D-3AA2AE641038}">
      <dgm:prSet phldrT="[Text]"/>
      <dgm:spPr/>
      <dgm:t>
        <a:bodyPr/>
        <a:lstStyle/>
        <a:p>
          <a:r>
            <a:rPr lang="en-US"/>
            <a:t>Making the Most of Instruction</a:t>
          </a:r>
        </a:p>
      </dgm:t>
    </dgm:pt>
    <dgm:pt modelId="{99F8B612-6198-4128-95F6-471DE78FE25B}" type="parTrans" cxnId="{CDF522E6-1E2C-400E-B756-87AF76BB74AB}">
      <dgm:prSet/>
      <dgm:spPr/>
      <dgm:t>
        <a:bodyPr/>
        <a:lstStyle/>
        <a:p>
          <a:endParaRPr lang="en-US"/>
        </a:p>
      </dgm:t>
    </dgm:pt>
    <dgm:pt modelId="{20F55832-B41C-4061-BB5E-B7DB2C2E3822}" type="sibTrans" cxnId="{CDF522E6-1E2C-400E-B756-87AF76BB74AB}">
      <dgm:prSet/>
      <dgm:spPr/>
      <dgm:t>
        <a:bodyPr/>
        <a:lstStyle/>
        <a:p>
          <a:endParaRPr lang="en-US"/>
        </a:p>
      </dgm:t>
    </dgm:pt>
    <dgm:pt modelId="{80B77D58-F25F-4359-BD50-FE411C302DCE}">
      <dgm:prSet phldrT="[Text]" custT="1"/>
      <dgm:spPr/>
      <dgm:t>
        <a:bodyPr/>
        <a:lstStyle/>
        <a:p>
          <a:r>
            <a:rPr lang="en-US" sz="1100"/>
            <a:t>Professional Development</a:t>
          </a:r>
        </a:p>
      </dgm:t>
    </dgm:pt>
    <dgm:pt modelId="{63A9AAC9-16EA-42C4-94DB-E05E13B58362}" type="parTrans" cxnId="{85F477B2-FF76-4496-8080-913B4BDA3294}">
      <dgm:prSet/>
      <dgm:spPr/>
      <dgm:t>
        <a:bodyPr/>
        <a:lstStyle/>
        <a:p>
          <a:endParaRPr lang="en-US"/>
        </a:p>
      </dgm:t>
    </dgm:pt>
    <dgm:pt modelId="{599ED946-185A-4132-9C3A-A1B06C78D502}" type="sibTrans" cxnId="{85F477B2-FF76-4496-8080-913B4BDA3294}">
      <dgm:prSet/>
      <dgm:spPr/>
      <dgm:t>
        <a:bodyPr/>
        <a:lstStyle/>
        <a:p>
          <a:endParaRPr lang="en-US"/>
        </a:p>
      </dgm:t>
    </dgm:pt>
    <dgm:pt modelId="{63172C26-A8CF-4234-A702-C597C1D3D928}">
      <dgm:prSet phldrT="[Text]"/>
      <dgm:spPr/>
      <dgm:t>
        <a:bodyPr/>
        <a:lstStyle/>
        <a:p>
          <a:r>
            <a:rPr lang="en-US"/>
            <a:t>School–Community Collaboration</a:t>
          </a:r>
        </a:p>
      </dgm:t>
    </dgm:pt>
    <dgm:pt modelId="{914254CF-D494-4B18-AE69-FBEC54B2F476}" type="parTrans" cxnId="{ADD06713-30E5-4483-AE5B-2828114E4F04}">
      <dgm:prSet/>
      <dgm:spPr/>
      <dgm:t>
        <a:bodyPr/>
        <a:lstStyle/>
        <a:p>
          <a:endParaRPr lang="en-US"/>
        </a:p>
      </dgm:t>
    </dgm:pt>
    <dgm:pt modelId="{352A66DE-86ED-4FA1-9A55-24DB78DE989D}" type="sibTrans" cxnId="{ADD06713-30E5-4483-AE5B-2828114E4F04}">
      <dgm:prSet/>
      <dgm:spPr/>
      <dgm:t>
        <a:bodyPr/>
        <a:lstStyle/>
        <a:p>
          <a:endParaRPr lang="en-US"/>
        </a:p>
      </dgm:t>
    </dgm:pt>
    <dgm:pt modelId="{7A3EB64B-5073-40D4-8206-74FE946DE65F}">
      <dgm:prSet phldrT="[Text]"/>
      <dgm:spPr/>
      <dgm:t>
        <a:bodyPr/>
        <a:lstStyle/>
        <a:p>
          <a:r>
            <a:rPr lang="en-US"/>
            <a:t>Safe Learning Enviornments</a:t>
          </a:r>
        </a:p>
      </dgm:t>
    </dgm:pt>
    <dgm:pt modelId="{771652E5-7025-4074-B227-D49E2E3FAA71}" type="parTrans" cxnId="{4077EED7-B888-424D-BB9A-06A53A9D8E98}">
      <dgm:prSet/>
      <dgm:spPr/>
      <dgm:t>
        <a:bodyPr/>
        <a:lstStyle/>
        <a:p>
          <a:endParaRPr lang="en-US"/>
        </a:p>
      </dgm:t>
    </dgm:pt>
    <dgm:pt modelId="{95D790B6-97FE-40FA-B0CB-EC5A11A43865}" type="sibTrans" cxnId="{4077EED7-B888-424D-BB9A-06A53A9D8E98}">
      <dgm:prSet/>
      <dgm:spPr/>
      <dgm:t>
        <a:bodyPr/>
        <a:lstStyle/>
        <a:p>
          <a:endParaRPr lang="en-US"/>
        </a:p>
      </dgm:t>
    </dgm:pt>
    <dgm:pt modelId="{0B5AAF60-1A87-4EA0-93EA-2938B0DC49C7}">
      <dgm:prSet phldrT="[Text]"/>
      <dgm:spPr/>
      <dgm:t>
        <a:bodyPr/>
        <a:lstStyle/>
        <a:p>
          <a:r>
            <a:rPr lang="en-US"/>
            <a:t>Early Childhood Education</a:t>
          </a:r>
        </a:p>
      </dgm:t>
    </dgm:pt>
    <dgm:pt modelId="{6F316DC8-C82B-4661-A8FD-CB47EB1B0FB4}" type="parTrans" cxnId="{1B30B821-BE30-432F-B540-34251C798EE5}">
      <dgm:prSet/>
      <dgm:spPr/>
      <dgm:t>
        <a:bodyPr/>
        <a:lstStyle/>
        <a:p>
          <a:endParaRPr lang="en-US"/>
        </a:p>
      </dgm:t>
    </dgm:pt>
    <dgm:pt modelId="{31357D5C-0354-405D-9031-873BCF7E2EB2}" type="sibTrans" cxnId="{1B30B821-BE30-432F-B540-34251C798EE5}">
      <dgm:prSet/>
      <dgm:spPr/>
      <dgm:t>
        <a:bodyPr/>
        <a:lstStyle/>
        <a:p>
          <a:endParaRPr lang="en-US"/>
        </a:p>
      </dgm:t>
    </dgm:pt>
    <dgm:pt modelId="{A10C8D02-0614-4557-97BC-11ED2502457F}">
      <dgm:prSet phldrT="[Text]"/>
      <dgm:spPr/>
      <dgm:t>
        <a:bodyPr/>
        <a:lstStyle/>
        <a:p>
          <a:r>
            <a:rPr lang="en-US"/>
            <a:t>Early Literacy Development</a:t>
          </a:r>
        </a:p>
      </dgm:t>
    </dgm:pt>
    <dgm:pt modelId="{8D845903-16DE-4263-8482-BAE8654A0182}" type="parTrans" cxnId="{FE9E3B92-5154-478B-93ED-D72D499D955E}">
      <dgm:prSet/>
      <dgm:spPr/>
      <dgm:t>
        <a:bodyPr/>
        <a:lstStyle/>
        <a:p>
          <a:endParaRPr lang="en-US"/>
        </a:p>
      </dgm:t>
    </dgm:pt>
    <dgm:pt modelId="{33043A8F-BA5C-4691-A085-DFD4E1C5D689}" type="sibTrans" cxnId="{FE9E3B92-5154-478B-93ED-D72D499D955E}">
      <dgm:prSet/>
      <dgm:spPr/>
      <dgm:t>
        <a:bodyPr/>
        <a:lstStyle/>
        <a:p>
          <a:endParaRPr lang="en-US"/>
        </a:p>
      </dgm:t>
    </dgm:pt>
    <dgm:pt modelId="{4296C99C-5CE7-4C12-A72F-96F890411C33}">
      <dgm:prSet phldrT="[Text]"/>
      <dgm:spPr/>
      <dgm:t>
        <a:bodyPr/>
        <a:lstStyle/>
        <a:p>
          <a:r>
            <a:rPr lang="en-US"/>
            <a:t>Service-Learning</a:t>
          </a:r>
        </a:p>
      </dgm:t>
    </dgm:pt>
    <dgm:pt modelId="{79A41608-EA9A-4077-A93D-418D0CBFE9AC}" type="parTrans" cxnId="{C1BF4003-D348-4292-96E9-9300BF45D9EE}">
      <dgm:prSet/>
      <dgm:spPr/>
      <dgm:t>
        <a:bodyPr/>
        <a:lstStyle/>
        <a:p>
          <a:endParaRPr lang="en-US"/>
        </a:p>
      </dgm:t>
    </dgm:pt>
    <dgm:pt modelId="{120A678E-EC92-433B-A098-AC99B46D579B}" type="sibTrans" cxnId="{C1BF4003-D348-4292-96E9-9300BF45D9EE}">
      <dgm:prSet/>
      <dgm:spPr/>
      <dgm:t>
        <a:bodyPr/>
        <a:lstStyle/>
        <a:p>
          <a:endParaRPr lang="en-US"/>
        </a:p>
      </dgm:t>
    </dgm:pt>
    <dgm:pt modelId="{5E6F3023-1896-47FC-9F08-D686CE728177}">
      <dgm:prSet phldrT="[Text]"/>
      <dgm:spPr/>
      <dgm:t>
        <a:bodyPr/>
        <a:lstStyle/>
        <a:p>
          <a:r>
            <a:rPr lang="en-US"/>
            <a:t>Alternative Schooling</a:t>
          </a:r>
        </a:p>
      </dgm:t>
    </dgm:pt>
    <dgm:pt modelId="{167A963C-C960-40DC-82AB-7A2893625ECF}" type="parTrans" cxnId="{D0AAF06F-126B-40BE-B89B-1E4505ACF827}">
      <dgm:prSet/>
      <dgm:spPr/>
      <dgm:t>
        <a:bodyPr/>
        <a:lstStyle/>
        <a:p>
          <a:endParaRPr lang="en-US"/>
        </a:p>
      </dgm:t>
    </dgm:pt>
    <dgm:pt modelId="{23E46A7B-615B-42CE-968A-1B4A00ACCC97}" type="sibTrans" cxnId="{D0AAF06F-126B-40BE-B89B-1E4505ACF827}">
      <dgm:prSet/>
      <dgm:spPr/>
      <dgm:t>
        <a:bodyPr/>
        <a:lstStyle/>
        <a:p>
          <a:endParaRPr lang="en-US"/>
        </a:p>
      </dgm:t>
    </dgm:pt>
    <dgm:pt modelId="{5FFD7745-583B-4EDF-A273-AFE290025D5D}">
      <dgm:prSet phldrT="[Text]"/>
      <dgm:spPr/>
      <dgm:t>
        <a:bodyPr/>
        <a:lstStyle/>
        <a:p>
          <a:r>
            <a:rPr lang="en-US"/>
            <a:t>After-school Opportunities</a:t>
          </a:r>
        </a:p>
      </dgm:t>
    </dgm:pt>
    <dgm:pt modelId="{D8CE7A0F-DA8B-4ED2-B95B-2C3FA3A08B73}" type="parTrans" cxnId="{CDCB4466-D658-489A-8C33-4E134EF48179}">
      <dgm:prSet/>
      <dgm:spPr/>
      <dgm:t>
        <a:bodyPr/>
        <a:lstStyle/>
        <a:p>
          <a:endParaRPr lang="en-US"/>
        </a:p>
      </dgm:t>
    </dgm:pt>
    <dgm:pt modelId="{A00C15F2-4153-48F8-BEF8-F617C34463DC}" type="sibTrans" cxnId="{CDCB4466-D658-489A-8C33-4E134EF48179}">
      <dgm:prSet/>
      <dgm:spPr/>
      <dgm:t>
        <a:bodyPr/>
        <a:lstStyle/>
        <a:p>
          <a:endParaRPr lang="en-US"/>
        </a:p>
      </dgm:t>
    </dgm:pt>
    <dgm:pt modelId="{E79CF864-6E77-4C7D-BF09-ED2C35D3124D}">
      <dgm:prSet phldrT="[Text]" custT="1"/>
      <dgm:spPr/>
      <dgm:t>
        <a:bodyPr/>
        <a:lstStyle/>
        <a:p>
          <a:r>
            <a:rPr lang="en-US" sz="1100"/>
            <a:t>Active Learning</a:t>
          </a:r>
        </a:p>
      </dgm:t>
    </dgm:pt>
    <dgm:pt modelId="{1AEC769C-273E-4E2B-8BA2-5D0DCD1D1B13}" type="parTrans" cxnId="{54B34FB1-C7B8-42A5-878F-8A4145A14B09}">
      <dgm:prSet/>
      <dgm:spPr/>
      <dgm:t>
        <a:bodyPr/>
        <a:lstStyle/>
        <a:p>
          <a:endParaRPr lang="en-US"/>
        </a:p>
      </dgm:t>
    </dgm:pt>
    <dgm:pt modelId="{C45C5FD6-0C9B-40C9-AE1A-C843459A6F64}" type="sibTrans" cxnId="{54B34FB1-C7B8-42A5-878F-8A4145A14B09}">
      <dgm:prSet/>
      <dgm:spPr/>
      <dgm:t>
        <a:bodyPr/>
        <a:lstStyle/>
        <a:p>
          <a:endParaRPr lang="en-US"/>
        </a:p>
      </dgm:t>
    </dgm:pt>
    <dgm:pt modelId="{5140845C-5B91-4971-95BB-7FDEB9607CFA}">
      <dgm:prSet phldrT="[Text]" custT="1"/>
      <dgm:spPr/>
      <dgm:t>
        <a:bodyPr/>
        <a:lstStyle/>
        <a:p>
          <a:r>
            <a:rPr lang="en-US" sz="1100"/>
            <a:t>Educational Technology</a:t>
          </a:r>
        </a:p>
      </dgm:t>
    </dgm:pt>
    <dgm:pt modelId="{BD544FFD-EDFF-4570-9F23-BB14969AB224}" type="parTrans" cxnId="{CEF42226-30CE-4041-9013-248EE88A2F0B}">
      <dgm:prSet/>
      <dgm:spPr/>
      <dgm:t>
        <a:bodyPr/>
        <a:lstStyle/>
        <a:p>
          <a:endParaRPr lang="en-US"/>
        </a:p>
      </dgm:t>
    </dgm:pt>
    <dgm:pt modelId="{FE184F09-5F24-4148-94E1-6E50A62246F6}" type="sibTrans" cxnId="{CEF42226-30CE-4041-9013-248EE88A2F0B}">
      <dgm:prSet/>
      <dgm:spPr/>
      <dgm:t>
        <a:bodyPr/>
        <a:lstStyle/>
        <a:p>
          <a:endParaRPr lang="en-US"/>
        </a:p>
      </dgm:t>
    </dgm:pt>
    <dgm:pt modelId="{6BF23854-1466-4161-8D3B-824E0B64FAB4}">
      <dgm:prSet phldrT="[Text]" custT="1"/>
      <dgm:spPr/>
      <dgm:t>
        <a:bodyPr/>
        <a:lstStyle/>
        <a:p>
          <a:r>
            <a:rPr lang="en-US" sz="1100"/>
            <a:t>Individualized Instruction</a:t>
          </a:r>
        </a:p>
      </dgm:t>
    </dgm:pt>
    <dgm:pt modelId="{60CCBF0E-D68A-4C04-8D5A-76CC075B392E}" type="parTrans" cxnId="{55A135DC-5F99-4950-8908-D4045CBDC2B7}">
      <dgm:prSet/>
      <dgm:spPr/>
      <dgm:t>
        <a:bodyPr/>
        <a:lstStyle/>
        <a:p>
          <a:endParaRPr lang="en-US"/>
        </a:p>
      </dgm:t>
    </dgm:pt>
    <dgm:pt modelId="{FF0EC993-F3BF-4F3F-A771-CF3AD06B36B4}" type="sibTrans" cxnId="{55A135DC-5F99-4950-8908-D4045CBDC2B7}">
      <dgm:prSet/>
      <dgm:spPr/>
      <dgm:t>
        <a:bodyPr/>
        <a:lstStyle/>
        <a:p>
          <a:endParaRPr lang="en-US"/>
        </a:p>
      </dgm:t>
    </dgm:pt>
    <dgm:pt modelId="{E66DD346-879D-479D-A386-1749DE5E0708}">
      <dgm:prSet phldrT="[Text]" custT="1"/>
      <dgm:spPr/>
      <dgm:t>
        <a:bodyPr/>
        <a:lstStyle/>
        <a:p>
          <a:r>
            <a:rPr lang="en-US" sz="1100"/>
            <a:t>Career &amp; Technology Education</a:t>
          </a:r>
        </a:p>
      </dgm:t>
    </dgm:pt>
    <dgm:pt modelId="{A15004A7-031B-4F9B-B32C-1B623BEEA6FD}" type="parTrans" cxnId="{13DE753E-9ACE-4C55-BEC6-EAF3084A8FCB}">
      <dgm:prSet/>
      <dgm:spPr/>
      <dgm:t>
        <a:bodyPr/>
        <a:lstStyle/>
        <a:p>
          <a:endParaRPr lang="en-US"/>
        </a:p>
      </dgm:t>
    </dgm:pt>
    <dgm:pt modelId="{7F5F4C7E-84AA-4A00-8EFE-F236527C7AFA}" type="sibTrans" cxnId="{13DE753E-9ACE-4C55-BEC6-EAF3084A8FCB}">
      <dgm:prSet/>
      <dgm:spPr/>
      <dgm:t>
        <a:bodyPr/>
        <a:lstStyle/>
        <a:p>
          <a:endParaRPr lang="en-US"/>
        </a:p>
      </dgm:t>
    </dgm:pt>
    <dgm:pt modelId="{5310912C-1503-4E8A-8FE2-11BC5AD19C66}" type="pres">
      <dgm:prSet presAssocID="{01738E75-C814-4F39-B390-8C4B2CB83044}" presName="cycleMatrixDiagram" presStyleCnt="0">
        <dgm:presLayoutVars>
          <dgm:chMax val="1"/>
          <dgm:dir/>
          <dgm:animLvl val="lvl"/>
          <dgm:resizeHandles val="exact"/>
        </dgm:presLayoutVars>
      </dgm:prSet>
      <dgm:spPr/>
      <dgm:t>
        <a:bodyPr/>
        <a:lstStyle/>
        <a:p>
          <a:endParaRPr lang="en-US"/>
        </a:p>
      </dgm:t>
    </dgm:pt>
    <dgm:pt modelId="{F438F7CC-A411-470B-A005-FC236EB3AB55}" type="pres">
      <dgm:prSet presAssocID="{01738E75-C814-4F39-B390-8C4B2CB83044}" presName="children" presStyleCnt="0"/>
      <dgm:spPr/>
    </dgm:pt>
    <dgm:pt modelId="{7EE656D3-9E49-4F21-B235-915FA5E763E0}" type="pres">
      <dgm:prSet presAssocID="{01738E75-C814-4F39-B390-8C4B2CB83044}" presName="child1group" presStyleCnt="0"/>
      <dgm:spPr/>
    </dgm:pt>
    <dgm:pt modelId="{2E4332FE-14A4-4615-82B0-71C460E07D4D}" type="pres">
      <dgm:prSet presAssocID="{01738E75-C814-4F39-B390-8C4B2CB83044}" presName="child1" presStyleLbl="bgAcc1" presStyleIdx="0" presStyleCnt="4" custScaleX="123438"/>
      <dgm:spPr/>
      <dgm:t>
        <a:bodyPr/>
        <a:lstStyle/>
        <a:p>
          <a:endParaRPr lang="en-US"/>
        </a:p>
      </dgm:t>
    </dgm:pt>
    <dgm:pt modelId="{16CDA665-3325-449E-8FB9-1171B3B2C959}" type="pres">
      <dgm:prSet presAssocID="{01738E75-C814-4F39-B390-8C4B2CB83044}" presName="child1Text" presStyleLbl="bgAcc1" presStyleIdx="0" presStyleCnt="4">
        <dgm:presLayoutVars>
          <dgm:bulletEnabled val="1"/>
        </dgm:presLayoutVars>
      </dgm:prSet>
      <dgm:spPr/>
      <dgm:t>
        <a:bodyPr/>
        <a:lstStyle/>
        <a:p>
          <a:endParaRPr lang="en-US"/>
        </a:p>
      </dgm:t>
    </dgm:pt>
    <dgm:pt modelId="{B9BB0573-D68D-43C2-986B-CE2266CD4D10}" type="pres">
      <dgm:prSet presAssocID="{01738E75-C814-4F39-B390-8C4B2CB83044}" presName="child2group" presStyleCnt="0"/>
      <dgm:spPr/>
    </dgm:pt>
    <dgm:pt modelId="{BD714B1C-6EE1-4D4D-B50D-73658456D1BE}" type="pres">
      <dgm:prSet presAssocID="{01738E75-C814-4F39-B390-8C4B2CB83044}" presName="child2" presStyleLbl="bgAcc1" presStyleIdx="1" presStyleCnt="4"/>
      <dgm:spPr/>
      <dgm:t>
        <a:bodyPr/>
        <a:lstStyle/>
        <a:p>
          <a:endParaRPr lang="en-US"/>
        </a:p>
      </dgm:t>
    </dgm:pt>
    <dgm:pt modelId="{DD2AFC37-F66E-4BD0-86EC-65836F5C6BD1}" type="pres">
      <dgm:prSet presAssocID="{01738E75-C814-4F39-B390-8C4B2CB83044}" presName="child2Text" presStyleLbl="bgAcc1" presStyleIdx="1" presStyleCnt="4">
        <dgm:presLayoutVars>
          <dgm:bulletEnabled val="1"/>
        </dgm:presLayoutVars>
      </dgm:prSet>
      <dgm:spPr/>
      <dgm:t>
        <a:bodyPr/>
        <a:lstStyle/>
        <a:p>
          <a:endParaRPr lang="en-US"/>
        </a:p>
      </dgm:t>
    </dgm:pt>
    <dgm:pt modelId="{B0E086F2-3599-43DA-8BBE-4666F317E21E}" type="pres">
      <dgm:prSet presAssocID="{01738E75-C814-4F39-B390-8C4B2CB83044}" presName="child3group" presStyleCnt="0"/>
      <dgm:spPr/>
    </dgm:pt>
    <dgm:pt modelId="{ECF10580-40AC-4B2E-AF56-F0D52E6875E3}" type="pres">
      <dgm:prSet presAssocID="{01738E75-C814-4F39-B390-8C4B2CB83044}" presName="child3" presStyleLbl="bgAcc1" presStyleIdx="2" presStyleCnt="4"/>
      <dgm:spPr/>
      <dgm:t>
        <a:bodyPr/>
        <a:lstStyle/>
        <a:p>
          <a:endParaRPr lang="en-US"/>
        </a:p>
      </dgm:t>
    </dgm:pt>
    <dgm:pt modelId="{6D45C0DB-FA65-4884-9543-AC19053C4EA5}" type="pres">
      <dgm:prSet presAssocID="{01738E75-C814-4F39-B390-8C4B2CB83044}" presName="child3Text" presStyleLbl="bgAcc1" presStyleIdx="2" presStyleCnt="4">
        <dgm:presLayoutVars>
          <dgm:bulletEnabled val="1"/>
        </dgm:presLayoutVars>
      </dgm:prSet>
      <dgm:spPr/>
      <dgm:t>
        <a:bodyPr/>
        <a:lstStyle/>
        <a:p>
          <a:endParaRPr lang="en-US"/>
        </a:p>
      </dgm:t>
    </dgm:pt>
    <dgm:pt modelId="{6CB55922-FBE8-41CD-A499-B6BA5097C75D}" type="pres">
      <dgm:prSet presAssocID="{01738E75-C814-4F39-B390-8C4B2CB83044}" presName="child4group" presStyleCnt="0"/>
      <dgm:spPr/>
    </dgm:pt>
    <dgm:pt modelId="{E4333908-F83F-496D-B5D2-26E2CD2D4C84}" type="pres">
      <dgm:prSet presAssocID="{01738E75-C814-4F39-B390-8C4B2CB83044}" presName="child4" presStyleLbl="bgAcc1" presStyleIdx="3" presStyleCnt="4" custScaleX="123438" custLinFactNeighborX="-10956" custLinFactNeighborY="0"/>
      <dgm:spPr/>
      <dgm:t>
        <a:bodyPr/>
        <a:lstStyle/>
        <a:p>
          <a:endParaRPr lang="en-US"/>
        </a:p>
      </dgm:t>
    </dgm:pt>
    <dgm:pt modelId="{14B8B252-9ECF-470E-B896-F0FDD3CDFEEC}" type="pres">
      <dgm:prSet presAssocID="{01738E75-C814-4F39-B390-8C4B2CB83044}" presName="child4Text" presStyleLbl="bgAcc1" presStyleIdx="3" presStyleCnt="4">
        <dgm:presLayoutVars>
          <dgm:bulletEnabled val="1"/>
        </dgm:presLayoutVars>
      </dgm:prSet>
      <dgm:spPr/>
      <dgm:t>
        <a:bodyPr/>
        <a:lstStyle/>
        <a:p>
          <a:endParaRPr lang="en-US"/>
        </a:p>
      </dgm:t>
    </dgm:pt>
    <dgm:pt modelId="{095E5563-3E2D-45D0-BC48-31FA5FA1A34C}" type="pres">
      <dgm:prSet presAssocID="{01738E75-C814-4F39-B390-8C4B2CB83044}" presName="childPlaceholder" presStyleCnt="0"/>
      <dgm:spPr/>
    </dgm:pt>
    <dgm:pt modelId="{6F805BB2-9205-4285-BE7B-4E42628DF261}" type="pres">
      <dgm:prSet presAssocID="{01738E75-C814-4F39-B390-8C4B2CB83044}" presName="circle" presStyleCnt="0"/>
      <dgm:spPr/>
    </dgm:pt>
    <dgm:pt modelId="{7ED1F6DD-B322-440E-8186-918A96F810E3}" type="pres">
      <dgm:prSet presAssocID="{01738E75-C814-4F39-B390-8C4B2CB83044}" presName="quadrant1" presStyleLbl="node1" presStyleIdx="0" presStyleCnt="4">
        <dgm:presLayoutVars>
          <dgm:chMax val="1"/>
          <dgm:bulletEnabled val="1"/>
        </dgm:presLayoutVars>
      </dgm:prSet>
      <dgm:spPr/>
      <dgm:t>
        <a:bodyPr/>
        <a:lstStyle/>
        <a:p>
          <a:endParaRPr lang="en-US"/>
        </a:p>
      </dgm:t>
    </dgm:pt>
    <dgm:pt modelId="{DBAC6F6A-B871-427D-9639-4A997F4D52B2}" type="pres">
      <dgm:prSet presAssocID="{01738E75-C814-4F39-B390-8C4B2CB83044}" presName="quadrant2" presStyleLbl="node1" presStyleIdx="1" presStyleCnt="4">
        <dgm:presLayoutVars>
          <dgm:chMax val="1"/>
          <dgm:bulletEnabled val="1"/>
        </dgm:presLayoutVars>
      </dgm:prSet>
      <dgm:spPr/>
      <dgm:t>
        <a:bodyPr/>
        <a:lstStyle/>
        <a:p>
          <a:endParaRPr lang="en-US"/>
        </a:p>
      </dgm:t>
    </dgm:pt>
    <dgm:pt modelId="{74E09AC0-687E-43D9-A53A-A7517E69E3D1}" type="pres">
      <dgm:prSet presAssocID="{01738E75-C814-4F39-B390-8C4B2CB83044}" presName="quadrant3" presStyleLbl="node1" presStyleIdx="2" presStyleCnt="4" custScaleY="90806" custLinFactNeighborX="971" custLinFactNeighborY="-7285">
        <dgm:presLayoutVars>
          <dgm:chMax val="1"/>
          <dgm:bulletEnabled val="1"/>
        </dgm:presLayoutVars>
      </dgm:prSet>
      <dgm:spPr/>
      <dgm:t>
        <a:bodyPr/>
        <a:lstStyle/>
        <a:p>
          <a:endParaRPr lang="en-US"/>
        </a:p>
      </dgm:t>
    </dgm:pt>
    <dgm:pt modelId="{B33C3896-DA96-4626-8092-BE7BF99119A1}" type="pres">
      <dgm:prSet presAssocID="{01738E75-C814-4F39-B390-8C4B2CB83044}" presName="quadrant4" presStyleLbl="node1" presStyleIdx="3" presStyleCnt="4" custScaleY="91776" custLinFactNeighborX="486" custLinFactNeighborY="-7285">
        <dgm:presLayoutVars>
          <dgm:chMax val="1"/>
          <dgm:bulletEnabled val="1"/>
        </dgm:presLayoutVars>
      </dgm:prSet>
      <dgm:spPr/>
      <dgm:t>
        <a:bodyPr/>
        <a:lstStyle/>
        <a:p>
          <a:endParaRPr lang="en-US"/>
        </a:p>
      </dgm:t>
    </dgm:pt>
    <dgm:pt modelId="{8977E10C-D45E-4581-9831-2F223E932562}" type="pres">
      <dgm:prSet presAssocID="{01738E75-C814-4F39-B390-8C4B2CB83044}" presName="quadrantPlaceholder" presStyleCnt="0"/>
      <dgm:spPr/>
    </dgm:pt>
    <dgm:pt modelId="{A5EB94DB-583E-449C-B34A-0C1A204E5C15}" type="pres">
      <dgm:prSet presAssocID="{01738E75-C814-4F39-B390-8C4B2CB83044}" presName="center1" presStyleLbl="fgShp" presStyleIdx="0" presStyleCnt="2"/>
      <dgm:spPr/>
    </dgm:pt>
    <dgm:pt modelId="{F6F2D077-B5C3-4E6F-8ACC-3228DFD23B85}" type="pres">
      <dgm:prSet presAssocID="{01738E75-C814-4F39-B390-8C4B2CB83044}" presName="center2" presStyleLbl="fgShp" presStyleIdx="1" presStyleCnt="2"/>
      <dgm:spPr/>
    </dgm:pt>
  </dgm:ptLst>
  <dgm:cxnLst>
    <dgm:cxn modelId="{13DE753E-9ACE-4C55-BEC6-EAF3084A8FCB}" srcId="{849844BB-7873-4EEE-AD7D-3AA2AE641038}" destId="{E66DD346-879D-479D-A386-1749DE5E0708}" srcOrd="4" destOrd="0" parTransId="{A15004A7-031B-4F9B-B32C-1B623BEEA6FD}" sibTransId="{7F5F4C7E-84AA-4A00-8EFE-F236527C7AFA}"/>
    <dgm:cxn modelId="{C1BF4003-D348-4292-96E9-9300BF45D9EE}" srcId="{8C584983-D535-4626-AF21-477F305AABA8}" destId="{4296C99C-5CE7-4C12-A72F-96F890411C33}" srcOrd="1" destOrd="0" parTransId="{79A41608-EA9A-4077-A93D-418D0CBFE9AC}" sibTransId="{120A678E-EC92-433B-A098-AC99B46D579B}"/>
    <dgm:cxn modelId="{FE9E3B92-5154-478B-93ED-D72D499D955E}" srcId="{50A9CD44-F0BB-4FD6-AFB2-55A5B07A1167}" destId="{A10C8D02-0614-4557-97BC-11ED2502457F}" srcOrd="2" destOrd="0" parTransId="{8D845903-16DE-4263-8482-BAE8654A0182}" sibTransId="{33043A8F-BA5C-4691-A085-DFD4E1C5D689}"/>
    <dgm:cxn modelId="{4AAB9636-F03A-4F19-8B84-96C980AD01D8}" type="presOf" srcId="{8C7E24B1-FCC9-4276-91FD-6B720C6E2115}" destId="{DD2AFC37-F66E-4BD0-86EC-65836F5C6BD1}" srcOrd="1" destOrd="0" presId="urn:microsoft.com/office/officeart/2005/8/layout/cycle4"/>
    <dgm:cxn modelId="{7620FA32-ECCF-46B8-BEC3-C1B914B0F51E}" type="presOf" srcId="{5140845C-5B91-4971-95BB-7FDEB9607CFA}" destId="{E4333908-F83F-496D-B5D2-26E2CD2D4C84}" srcOrd="0" destOrd="2" presId="urn:microsoft.com/office/officeart/2005/8/layout/cycle4"/>
    <dgm:cxn modelId="{1DEB7877-0AB1-4852-80F1-BBC1466816CA}" type="presOf" srcId="{4296C99C-5CE7-4C12-A72F-96F890411C33}" destId="{ECF10580-40AC-4B2E-AF56-F0D52E6875E3}" srcOrd="0" destOrd="1" presId="urn:microsoft.com/office/officeart/2005/8/layout/cycle4"/>
    <dgm:cxn modelId="{D0AAF06F-126B-40BE-B89B-1E4505ACF827}" srcId="{8C584983-D535-4626-AF21-477F305AABA8}" destId="{5E6F3023-1896-47FC-9F08-D686CE728177}" srcOrd="2" destOrd="0" parTransId="{167A963C-C960-40DC-82AB-7A2893625ECF}" sibTransId="{23E46A7B-615B-42CE-968A-1B4A00ACCC97}"/>
    <dgm:cxn modelId="{1A5BABDA-C90A-42F0-892D-BE4DF9082FC6}" type="presOf" srcId="{5E6F3023-1896-47FC-9F08-D686CE728177}" destId="{ECF10580-40AC-4B2E-AF56-F0D52E6875E3}" srcOrd="0" destOrd="2" presId="urn:microsoft.com/office/officeart/2005/8/layout/cycle4"/>
    <dgm:cxn modelId="{CEF42226-30CE-4041-9013-248EE88A2F0B}" srcId="{849844BB-7873-4EEE-AD7D-3AA2AE641038}" destId="{5140845C-5B91-4971-95BB-7FDEB9607CFA}" srcOrd="2" destOrd="0" parTransId="{BD544FFD-EDFF-4570-9F23-BB14969AB224}" sibTransId="{FE184F09-5F24-4148-94E1-6E50A62246F6}"/>
    <dgm:cxn modelId="{D7CFC3C1-66A6-44D8-A5EF-40880BC2A5AA}" type="presOf" srcId="{01738E75-C814-4F39-B390-8C4B2CB83044}" destId="{5310912C-1503-4E8A-8FE2-11BC5AD19C66}" srcOrd="0" destOrd="0" presId="urn:microsoft.com/office/officeart/2005/8/layout/cycle4"/>
    <dgm:cxn modelId="{76ED1C6B-CBE9-409F-9163-477633E6DBF4}" type="presOf" srcId="{849844BB-7873-4EEE-AD7D-3AA2AE641038}" destId="{B33C3896-DA96-4626-8092-BE7BF99119A1}" srcOrd="0" destOrd="0" presId="urn:microsoft.com/office/officeart/2005/8/layout/cycle4"/>
    <dgm:cxn modelId="{55A135DC-5F99-4950-8908-D4045CBDC2B7}" srcId="{849844BB-7873-4EEE-AD7D-3AA2AE641038}" destId="{6BF23854-1466-4161-8D3B-824E0B64FAB4}" srcOrd="3" destOrd="0" parTransId="{60CCBF0E-D68A-4C04-8D5A-76CC075B392E}" sibTransId="{FF0EC993-F3BF-4F3F-A771-CF3AD06B36B4}"/>
    <dgm:cxn modelId="{D21CF7A3-730F-4274-8BC4-93C2B943C254}" type="presOf" srcId="{80B77D58-F25F-4359-BD50-FE411C302DCE}" destId="{14B8B252-9ECF-470E-B896-F0FDD3CDFEEC}" srcOrd="1" destOrd="0" presId="urn:microsoft.com/office/officeart/2005/8/layout/cycle4"/>
    <dgm:cxn modelId="{1B30B821-BE30-432F-B540-34251C798EE5}" srcId="{50A9CD44-F0BB-4FD6-AFB2-55A5B07A1167}" destId="{0B5AAF60-1A87-4EA0-93EA-2938B0DC49C7}" srcOrd="1" destOrd="0" parTransId="{6F316DC8-C82B-4661-A8FD-CB47EB1B0FB4}" sibTransId="{31357D5C-0354-405D-9031-873BCF7E2EB2}"/>
    <dgm:cxn modelId="{C2024ED7-DB8D-4C13-838C-2C5E41A0B421}" type="presOf" srcId="{63172C26-A8CF-4234-A702-C597C1D3D928}" destId="{16CDA665-3325-449E-8FB9-1171B3B2C959}" srcOrd="1" destOrd="1" presId="urn:microsoft.com/office/officeart/2005/8/layout/cycle4"/>
    <dgm:cxn modelId="{7EF19487-4EF3-4C39-92B0-2FF23B947B4B}" type="presOf" srcId="{63172C26-A8CF-4234-A702-C597C1D3D928}" destId="{2E4332FE-14A4-4615-82B0-71C460E07D4D}" srcOrd="0" destOrd="1" presId="urn:microsoft.com/office/officeart/2005/8/layout/cycle4"/>
    <dgm:cxn modelId="{B7B0E658-DB8A-4C7D-BE4F-1684D9B8F482}" type="presOf" srcId="{E79CF864-6E77-4C7D-BF09-ED2C35D3124D}" destId="{E4333908-F83F-496D-B5D2-26E2CD2D4C84}" srcOrd="0" destOrd="1" presId="urn:microsoft.com/office/officeart/2005/8/layout/cycle4"/>
    <dgm:cxn modelId="{BBE8CD9A-0E62-44B7-A23F-4D7FE017D015}" type="presOf" srcId="{6BF23854-1466-4161-8D3B-824E0B64FAB4}" destId="{E4333908-F83F-496D-B5D2-26E2CD2D4C84}" srcOrd="0" destOrd="3" presId="urn:microsoft.com/office/officeart/2005/8/layout/cycle4"/>
    <dgm:cxn modelId="{85F477B2-FF76-4496-8080-913B4BDA3294}" srcId="{849844BB-7873-4EEE-AD7D-3AA2AE641038}" destId="{80B77D58-F25F-4359-BD50-FE411C302DCE}" srcOrd="0" destOrd="0" parTransId="{63A9AAC9-16EA-42C4-94DB-E05E13B58362}" sibTransId="{599ED946-185A-4132-9C3A-A1B06C78D502}"/>
    <dgm:cxn modelId="{D748A84E-F618-41B3-97E9-D08B9344603E}" type="presOf" srcId="{144C6144-7256-44AC-B2E9-1C7504FF78A2}" destId="{ECF10580-40AC-4B2E-AF56-F0D52E6875E3}" srcOrd="0" destOrd="0" presId="urn:microsoft.com/office/officeart/2005/8/layout/cycle4"/>
    <dgm:cxn modelId="{CDF522E6-1E2C-400E-B756-87AF76BB74AB}" srcId="{01738E75-C814-4F39-B390-8C4B2CB83044}" destId="{849844BB-7873-4EEE-AD7D-3AA2AE641038}" srcOrd="3" destOrd="0" parTransId="{99F8B612-6198-4128-95F6-471DE78FE25B}" sibTransId="{20F55832-B41C-4061-BB5E-B7DB2C2E3822}"/>
    <dgm:cxn modelId="{663F664D-4E87-4E16-9568-ECA6893737A2}" type="presOf" srcId="{5FFD7745-583B-4EDF-A273-AFE290025D5D}" destId="{ECF10580-40AC-4B2E-AF56-F0D52E6875E3}" srcOrd="0" destOrd="3" presId="urn:microsoft.com/office/officeart/2005/8/layout/cycle4"/>
    <dgm:cxn modelId="{54B34FB1-C7B8-42A5-878F-8A4145A14B09}" srcId="{849844BB-7873-4EEE-AD7D-3AA2AE641038}" destId="{E79CF864-6E77-4C7D-BF09-ED2C35D3124D}" srcOrd="1" destOrd="0" parTransId="{1AEC769C-273E-4E2B-8BA2-5D0DCD1D1B13}" sibTransId="{C45C5FD6-0C9B-40C9-AE1A-C843459A6F64}"/>
    <dgm:cxn modelId="{0ED5572D-4471-4FAC-B428-A99445640022}" type="presOf" srcId="{144C6144-7256-44AC-B2E9-1C7504FF78A2}" destId="{6D45C0DB-FA65-4884-9543-AC19053C4EA5}" srcOrd="1" destOrd="0" presId="urn:microsoft.com/office/officeart/2005/8/layout/cycle4"/>
    <dgm:cxn modelId="{5830F1D1-35F6-4A65-9439-15835CD360D0}" srcId="{01738E75-C814-4F39-B390-8C4B2CB83044}" destId="{8C584983-D535-4626-AF21-477F305AABA8}" srcOrd="2" destOrd="0" parTransId="{6BB6629A-8925-430F-9C34-AAAE76FD378F}" sibTransId="{5C99A60C-9E01-4B94-B3E6-7ACAE4C68B98}"/>
    <dgm:cxn modelId="{1F5B7BC1-84F6-4745-9C15-553BE23E0656}" type="presOf" srcId="{E66DD346-879D-479D-A386-1749DE5E0708}" destId="{14B8B252-9ECF-470E-B896-F0FDD3CDFEEC}" srcOrd="1" destOrd="4" presId="urn:microsoft.com/office/officeart/2005/8/layout/cycle4"/>
    <dgm:cxn modelId="{26C936D1-7CD5-484B-AFD6-97CF5ED503A9}" srcId="{01738E75-C814-4F39-B390-8C4B2CB83044}" destId="{50A9CD44-F0BB-4FD6-AFB2-55A5B07A1167}" srcOrd="1" destOrd="0" parTransId="{AE64CD99-277F-444E-A1E3-38436CDCAEBB}" sibTransId="{ECA3EA8D-C49B-41DE-A41D-5F45230672A2}"/>
    <dgm:cxn modelId="{4077EED7-B888-424D-BB9A-06A53A9D8E98}" srcId="{32BCC8A2-7607-4D8B-8CFD-6F1C9D077BC1}" destId="{7A3EB64B-5073-40D4-8206-74FE946DE65F}" srcOrd="2" destOrd="0" parTransId="{771652E5-7025-4074-B227-D49E2E3FAA71}" sibTransId="{95D790B6-97FE-40FA-B0CB-EC5A11A43865}"/>
    <dgm:cxn modelId="{B34F7A40-A51A-42ED-8BEF-7D6BE4BE156B}" type="presOf" srcId="{4296C99C-5CE7-4C12-A72F-96F890411C33}" destId="{6D45C0DB-FA65-4884-9543-AC19053C4EA5}" srcOrd="1" destOrd="1" presId="urn:microsoft.com/office/officeart/2005/8/layout/cycle4"/>
    <dgm:cxn modelId="{76FFDC14-4990-4A40-8931-ABAA8FFD281A}" type="presOf" srcId="{DFAA3D60-9342-46A1-B695-A7BA2717294A}" destId="{16CDA665-3325-449E-8FB9-1171B3B2C959}" srcOrd="1" destOrd="0" presId="urn:microsoft.com/office/officeart/2005/8/layout/cycle4"/>
    <dgm:cxn modelId="{3685F11F-884C-4C0B-9A19-4B8A13C45614}" srcId="{8C584983-D535-4626-AF21-477F305AABA8}" destId="{144C6144-7256-44AC-B2E9-1C7504FF78A2}" srcOrd="0" destOrd="0" parTransId="{0C3EBA46-4304-486D-B5F5-272BCD991953}" sibTransId="{5EEF9FAD-4333-432E-B8F6-D61A5936B509}"/>
    <dgm:cxn modelId="{9310B5EB-234E-4FAC-9388-2D10FB06D06C}" type="presOf" srcId="{E66DD346-879D-479D-A386-1749DE5E0708}" destId="{E4333908-F83F-496D-B5D2-26E2CD2D4C84}" srcOrd="0" destOrd="4" presId="urn:microsoft.com/office/officeart/2005/8/layout/cycle4"/>
    <dgm:cxn modelId="{4A1F0D47-7879-4CC2-88C9-C0151A52D276}" type="presOf" srcId="{32BCC8A2-7607-4D8B-8CFD-6F1C9D077BC1}" destId="{7ED1F6DD-B322-440E-8186-918A96F810E3}" srcOrd="0" destOrd="0" presId="urn:microsoft.com/office/officeart/2005/8/layout/cycle4"/>
    <dgm:cxn modelId="{75F23CA1-F020-4522-BE13-CF5F2C584444}" srcId="{32BCC8A2-7607-4D8B-8CFD-6F1C9D077BC1}" destId="{DFAA3D60-9342-46A1-B695-A7BA2717294A}" srcOrd="0" destOrd="0" parTransId="{F71BF539-C57E-4BDB-B371-0B931AF36595}" sibTransId="{52020E7C-80E7-4131-B0B8-14319BEA06CC}"/>
    <dgm:cxn modelId="{B5BF2ADA-8E60-4A8A-B030-085A75698829}" type="presOf" srcId="{8C7E24B1-FCC9-4276-91FD-6B720C6E2115}" destId="{BD714B1C-6EE1-4D4D-B50D-73658456D1BE}" srcOrd="0" destOrd="0" presId="urn:microsoft.com/office/officeart/2005/8/layout/cycle4"/>
    <dgm:cxn modelId="{65984C84-56C5-4833-8B33-7694C69F17E0}" type="presOf" srcId="{E79CF864-6E77-4C7D-BF09-ED2C35D3124D}" destId="{14B8B252-9ECF-470E-B896-F0FDD3CDFEEC}" srcOrd="1" destOrd="1" presId="urn:microsoft.com/office/officeart/2005/8/layout/cycle4"/>
    <dgm:cxn modelId="{79894976-7A79-4A68-9B26-DA58483EB4C8}" type="presOf" srcId="{DFAA3D60-9342-46A1-B695-A7BA2717294A}" destId="{2E4332FE-14A4-4615-82B0-71C460E07D4D}" srcOrd="0" destOrd="0" presId="urn:microsoft.com/office/officeart/2005/8/layout/cycle4"/>
    <dgm:cxn modelId="{1417BBF6-AB4E-4434-B8AB-0E34EE6EB9E6}" type="presOf" srcId="{8C584983-D535-4626-AF21-477F305AABA8}" destId="{74E09AC0-687E-43D9-A53A-A7517E69E3D1}" srcOrd="0" destOrd="0" presId="urn:microsoft.com/office/officeart/2005/8/layout/cycle4"/>
    <dgm:cxn modelId="{DF183E7E-E6BF-4EF6-91B8-D752CBEC514F}" srcId="{01738E75-C814-4F39-B390-8C4B2CB83044}" destId="{32BCC8A2-7607-4D8B-8CFD-6F1C9D077BC1}" srcOrd="0" destOrd="0" parTransId="{12F8112C-9D61-406C-86E8-84DD53E8D3B6}" sibTransId="{2739B072-9535-4A9E-844B-991E8D255FF3}"/>
    <dgm:cxn modelId="{00AC58CA-D86D-40DD-A469-30E6CAE6FD8E}" type="presOf" srcId="{5140845C-5B91-4971-95BB-7FDEB9607CFA}" destId="{14B8B252-9ECF-470E-B896-F0FDD3CDFEEC}" srcOrd="1" destOrd="2" presId="urn:microsoft.com/office/officeart/2005/8/layout/cycle4"/>
    <dgm:cxn modelId="{702ACDB9-772D-46E7-A4B9-0BFF28D4D68D}" type="presOf" srcId="{80B77D58-F25F-4359-BD50-FE411C302DCE}" destId="{E4333908-F83F-496D-B5D2-26E2CD2D4C84}" srcOrd="0" destOrd="0" presId="urn:microsoft.com/office/officeart/2005/8/layout/cycle4"/>
    <dgm:cxn modelId="{9BB71232-6CE8-40B1-BC73-8394F9263759}" type="presOf" srcId="{A10C8D02-0614-4557-97BC-11ED2502457F}" destId="{DD2AFC37-F66E-4BD0-86EC-65836F5C6BD1}" srcOrd="1" destOrd="2" presId="urn:microsoft.com/office/officeart/2005/8/layout/cycle4"/>
    <dgm:cxn modelId="{ADD06713-30E5-4483-AE5B-2828114E4F04}" srcId="{32BCC8A2-7607-4D8B-8CFD-6F1C9D077BC1}" destId="{63172C26-A8CF-4234-A702-C597C1D3D928}" srcOrd="1" destOrd="0" parTransId="{914254CF-D494-4B18-AE69-FBEC54B2F476}" sibTransId="{352A66DE-86ED-4FA1-9A55-24DB78DE989D}"/>
    <dgm:cxn modelId="{467AEFB3-D044-433B-A248-0CDBCD966F5B}" type="presOf" srcId="{6BF23854-1466-4161-8D3B-824E0B64FAB4}" destId="{14B8B252-9ECF-470E-B896-F0FDD3CDFEEC}" srcOrd="1" destOrd="3" presId="urn:microsoft.com/office/officeart/2005/8/layout/cycle4"/>
    <dgm:cxn modelId="{B8E7122C-B364-4CD8-A214-83A8B2A83224}" type="presOf" srcId="{5E6F3023-1896-47FC-9F08-D686CE728177}" destId="{6D45C0DB-FA65-4884-9543-AC19053C4EA5}" srcOrd="1" destOrd="2" presId="urn:microsoft.com/office/officeart/2005/8/layout/cycle4"/>
    <dgm:cxn modelId="{DC8CEA42-366B-422A-85D9-1213A9762541}" type="presOf" srcId="{0B5AAF60-1A87-4EA0-93EA-2938B0DC49C7}" destId="{BD714B1C-6EE1-4D4D-B50D-73658456D1BE}" srcOrd="0" destOrd="1" presId="urn:microsoft.com/office/officeart/2005/8/layout/cycle4"/>
    <dgm:cxn modelId="{8D9E075D-DFB2-4FFC-8F8E-632C6E477DA9}" type="presOf" srcId="{7A3EB64B-5073-40D4-8206-74FE946DE65F}" destId="{16CDA665-3325-449E-8FB9-1171B3B2C959}" srcOrd="1" destOrd="2" presId="urn:microsoft.com/office/officeart/2005/8/layout/cycle4"/>
    <dgm:cxn modelId="{BE6834DD-2814-419F-B72E-8D37ADDA8F23}" type="presOf" srcId="{5FFD7745-583B-4EDF-A273-AFE290025D5D}" destId="{6D45C0DB-FA65-4884-9543-AC19053C4EA5}" srcOrd="1" destOrd="3" presId="urn:microsoft.com/office/officeart/2005/8/layout/cycle4"/>
    <dgm:cxn modelId="{88A77763-A2E6-444A-9E5B-5B680FBED4CB}" type="presOf" srcId="{50A9CD44-F0BB-4FD6-AFB2-55A5B07A1167}" destId="{DBAC6F6A-B871-427D-9639-4A997F4D52B2}" srcOrd="0" destOrd="0" presId="urn:microsoft.com/office/officeart/2005/8/layout/cycle4"/>
    <dgm:cxn modelId="{699471F0-BD01-4578-B961-9B18D23F46AA}" type="presOf" srcId="{7A3EB64B-5073-40D4-8206-74FE946DE65F}" destId="{2E4332FE-14A4-4615-82B0-71C460E07D4D}" srcOrd="0" destOrd="2" presId="urn:microsoft.com/office/officeart/2005/8/layout/cycle4"/>
    <dgm:cxn modelId="{66A85190-A54D-45F7-A780-867738560BA3}" srcId="{50A9CD44-F0BB-4FD6-AFB2-55A5B07A1167}" destId="{8C7E24B1-FCC9-4276-91FD-6B720C6E2115}" srcOrd="0" destOrd="0" parTransId="{BFAA5602-75BB-45C6-9D1A-064D4307D738}" sibTransId="{0100C270-B0EB-4B72-8289-B32BB1FC25E9}"/>
    <dgm:cxn modelId="{FE0B0488-57CD-4C91-9A2B-3F0AAC567A49}" type="presOf" srcId="{0B5AAF60-1A87-4EA0-93EA-2938B0DC49C7}" destId="{DD2AFC37-F66E-4BD0-86EC-65836F5C6BD1}" srcOrd="1" destOrd="1" presId="urn:microsoft.com/office/officeart/2005/8/layout/cycle4"/>
    <dgm:cxn modelId="{CDCB4466-D658-489A-8C33-4E134EF48179}" srcId="{8C584983-D535-4626-AF21-477F305AABA8}" destId="{5FFD7745-583B-4EDF-A273-AFE290025D5D}" srcOrd="3" destOrd="0" parTransId="{D8CE7A0F-DA8B-4ED2-B95B-2C3FA3A08B73}" sibTransId="{A00C15F2-4153-48F8-BEF8-F617C34463DC}"/>
    <dgm:cxn modelId="{799E4DE4-C81B-4076-AC50-344F95F61D35}" type="presOf" srcId="{A10C8D02-0614-4557-97BC-11ED2502457F}" destId="{BD714B1C-6EE1-4D4D-B50D-73658456D1BE}" srcOrd="0" destOrd="2" presId="urn:microsoft.com/office/officeart/2005/8/layout/cycle4"/>
    <dgm:cxn modelId="{38654034-68AD-4A27-B5EC-617642C7D138}" type="presParOf" srcId="{5310912C-1503-4E8A-8FE2-11BC5AD19C66}" destId="{F438F7CC-A411-470B-A005-FC236EB3AB55}" srcOrd="0" destOrd="0" presId="urn:microsoft.com/office/officeart/2005/8/layout/cycle4"/>
    <dgm:cxn modelId="{B57FBFA7-00A0-4BDF-BDA2-9C6908ED068B}" type="presParOf" srcId="{F438F7CC-A411-470B-A005-FC236EB3AB55}" destId="{7EE656D3-9E49-4F21-B235-915FA5E763E0}" srcOrd="0" destOrd="0" presId="urn:microsoft.com/office/officeart/2005/8/layout/cycle4"/>
    <dgm:cxn modelId="{83771836-F334-444F-BC19-C299A0522FBE}" type="presParOf" srcId="{7EE656D3-9E49-4F21-B235-915FA5E763E0}" destId="{2E4332FE-14A4-4615-82B0-71C460E07D4D}" srcOrd="0" destOrd="0" presId="urn:microsoft.com/office/officeart/2005/8/layout/cycle4"/>
    <dgm:cxn modelId="{5C6955F5-C0BD-48D3-8922-0761C1DE30A7}" type="presParOf" srcId="{7EE656D3-9E49-4F21-B235-915FA5E763E0}" destId="{16CDA665-3325-449E-8FB9-1171B3B2C959}" srcOrd="1" destOrd="0" presId="urn:microsoft.com/office/officeart/2005/8/layout/cycle4"/>
    <dgm:cxn modelId="{8E035F88-C6E1-4A80-B74A-9B6199000895}" type="presParOf" srcId="{F438F7CC-A411-470B-A005-FC236EB3AB55}" destId="{B9BB0573-D68D-43C2-986B-CE2266CD4D10}" srcOrd="1" destOrd="0" presId="urn:microsoft.com/office/officeart/2005/8/layout/cycle4"/>
    <dgm:cxn modelId="{CCCC1BD9-FC35-4B85-B2AC-C78D8EB16863}" type="presParOf" srcId="{B9BB0573-D68D-43C2-986B-CE2266CD4D10}" destId="{BD714B1C-6EE1-4D4D-B50D-73658456D1BE}" srcOrd="0" destOrd="0" presId="urn:microsoft.com/office/officeart/2005/8/layout/cycle4"/>
    <dgm:cxn modelId="{35CF87FB-5392-479E-8201-60262E55887F}" type="presParOf" srcId="{B9BB0573-D68D-43C2-986B-CE2266CD4D10}" destId="{DD2AFC37-F66E-4BD0-86EC-65836F5C6BD1}" srcOrd="1" destOrd="0" presId="urn:microsoft.com/office/officeart/2005/8/layout/cycle4"/>
    <dgm:cxn modelId="{C761B2D8-0CBB-4B9F-B8C7-B62C191BFA95}" type="presParOf" srcId="{F438F7CC-A411-470B-A005-FC236EB3AB55}" destId="{B0E086F2-3599-43DA-8BBE-4666F317E21E}" srcOrd="2" destOrd="0" presId="urn:microsoft.com/office/officeart/2005/8/layout/cycle4"/>
    <dgm:cxn modelId="{CCA23E14-0433-4675-B747-1CAAA39511B6}" type="presParOf" srcId="{B0E086F2-3599-43DA-8BBE-4666F317E21E}" destId="{ECF10580-40AC-4B2E-AF56-F0D52E6875E3}" srcOrd="0" destOrd="0" presId="urn:microsoft.com/office/officeart/2005/8/layout/cycle4"/>
    <dgm:cxn modelId="{BE7013FD-BD5C-4C2E-8193-FBD8F618293B}" type="presParOf" srcId="{B0E086F2-3599-43DA-8BBE-4666F317E21E}" destId="{6D45C0DB-FA65-4884-9543-AC19053C4EA5}" srcOrd="1" destOrd="0" presId="urn:microsoft.com/office/officeart/2005/8/layout/cycle4"/>
    <dgm:cxn modelId="{5A35F776-38A7-4285-AB34-C19B38B3CA97}" type="presParOf" srcId="{F438F7CC-A411-470B-A005-FC236EB3AB55}" destId="{6CB55922-FBE8-41CD-A499-B6BA5097C75D}" srcOrd="3" destOrd="0" presId="urn:microsoft.com/office/officeart/2005/8/layout/cycle4"/>
    <dgm:cxn modelId="{05DF454C-8CE4-4821-BF26-078641285751}" type="presParOf" srcId="{6CB55922-FBE8-41CD-A499-B6BA5097C75D}" destId="{E4333908-F83F-496D-B5D2-26E2CD2D4C84}" srcOrd="0" destOrd="0" presId="urn:microsoft.com/office/officeart/2005/8/layout/cycle4"/>
    <dgm:cxn modelId="{7A7AAE7E-B2A8-4A35-AC76-03511726656D}" type="presParOf" srcId="{6CB55922-FBE8-41CD-A499-B6BA5097C75D}" destId="{14B8B252-9ECF-470E-B896-F0FDD3CDFEEC}" srcOrd="1" destOrd="0" presId="urn:microsoft.com/office/officeart/2005/8/layout/cycle4"/>
    <dgm:cxn modelId="{AD02CAF9-D7E1-43F1-8C27-6632F328056B}" type="presParOf" srcId="{F438F7CC-A411-470B-A005-FC236EB3AB55}" destId="{095E5563-3E2D-45D0-BC48-31FA5FA1A34C}" srcOrd="4" destOrd="0" presId="urn:microsoft.com/office/officeart/2005/8/layout/cycle4"/>
    <dgm:cxn modelId="{B3DB86D6-A2A4-48A2-ACE2-25DFA96910EF}" type="presParOf" srcId="{5310912C-1503-4E8A-8FE2-11BC5AD19C66}" destId="{6F805BB2-9205-4285-BE7B-4E42628DF261}" srcOrd="1" destOrd="0" presId="urn:microsoft.com/office/officeart/2005/8/layout/cycle4"/>
    <dgm:cxn modelId="{D744E351-9295-46F4-84EF-7F326E5E7C32}" type="presParOf" srcId="{6F805BB2-9205-4285-BE7B-4E42628DF261}" destId="{7ED1F6DD-B322-440E-8186-918A96F810E3}" srcOrd="0" destOrd="0" presId="urn:microsoft.com/office/officeart/2005/8/layout/cycle4"/>
    <dgm:cxn modelId="{09E415E3-244E-4558-8133-189BFD634112}" type="presParOf" srcId="{6F805BB2-9205-4285-BE7B-4E42628DF261}" destId="{DBAC6F6A-B871-427D-9639-4A997F4D52B2}" srcOrd="1" destOrd="0" presId="urn:microsoft.com/office/officeart/2005/8/layout/cycle4"/>
    <dgm:cxn modelId="{B579E295-D0BF-408E-8856-F5DF88F46736}" type="presParOf" srcId="{6F805BB2-9205-4285-BE7B-4E42628DF261}" destId="{74E09AC0-687E-43D9-A53A-A7517E69E3D1}" srcOrd="2" destOrd="0" presId="urn:microsoft.com/office/officeart/2005/8/layout/cycle4"/>
    <dgm:cxn modelId="{46C63BE8-F02D-49CD-BD92-0C61F73B4A10}" type="presParOf" srcId="{6F805BB2-9205-4285-BE7B-4E42628DF261}" destId="{B33C3896-DA96-4626-8092-BE7BF99119A1}" srcOrd="3" destOrd="0" presId="urn:microsoft.com/office/officeart/2005/8/layout/cycle4"/>
    <dgm:cxn modelId="{9A19B1F5-DAA2-4490-BFDA-78E1076B9677}" type="presParOf" srcId="{6F805BB2-9205-4285-BE7B-4E42628DF261}" destId="{8977E10C-D45E-4581-9831-2F223E932562}" srcOrd="4" destOrd="0" presId="urn:microsoft.com/office/officeart/2005/8/layout/cycle4"/>
    <dgm:cxn modelId="{9FC9455E-E0E3-4684-92E4-5DF94773126C}" type="presParOf" srcId="{5310912C-1503-4E8A-8FE2-11BC5AD19C66}" destId="{A5EB94DB-583E-449C-B34A-0C1A204E5C15}" srcOrd="2" destOrd="0" presId="urn:microsoft.com/office/officeart/2005/8/layout/cycle4"/>
    <dgm:cxn modelId="{C2D4B8EC-7860-4C78-8409-A05F314AC112}" type="presParOf" srcId="{5310912C-1503-4E8A-8FE2-11BC5AD19C66}" destId="{F6F2D077-B5C3-4E6F-8ACC-3228DFD23B85}" srcOrd="3" destOrd="0" presId="urn:microsoft.com/office/officeart/2005/8/layout/cycle4"/>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CF10580-40AC-4B2E-AF56-F0D52E6875E3}">
      <dsp:nvSpPr>
        <dsp:cNvPr id="0" name=""/>
        <dsp:cNvSpPr/>
      </dsp:nvSpPr>
      <dsp:spPr>
        <a:xfrm>
          <a:off x="3858461" y="3080039"/>
          <a:ext cx="2237558" cy="14494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en-US" sz="1100" kern="1200"/>
            <a:t>Mentoring/Tutoring</a:t>
          </a:r>
        </a:p>
        <a:p>
          <a:pPr marL="57150" lvl="1" indent="-57150" algn="l" defTabSz="488950">
            <a:lnSpc>
              <a:spcPct val="90000"/>
            </a:lnSpc>
            <a:spcBef>
              <a:spcPct val="0"/>
            </a:spcBef>
            <a:spcAft>
              <a:spcPct val="15000"/>
            </a:spcAft>
            <a:buChar char="••"/>
          </a:pPr>
          <a:r>
            <a:rPr lang="en-US" sz="1100" kern="1200"/>
            <a:t>Service-Learning</a:t>
          </a:r>
        </a:p>
        <a:p>
          <a:pPr marL="57150" lvl="1" indent="-57150" algn="l" defTabSz="488950">
            <a:lnSpc>
              <a:spcPct val="90000"/>
            </a:lnSpc>
            <a:spcBef>
              <a:spcPct val="0"/>
            </a:spcBef>
            <a:spcAft>
              <a:spcPct val="15000"/>
            </a:spcAft>
            <a:buChar char="••"/>
          </a:pPr>
          <a:r>
            <a:rPr lang="en-US" sz="1100" kern="1200"/>
            <a:t>Alternative Schooling</a:t>
          </a:r>
        </a:p>
        <a:p>
          <a:pPr marL="57150" lvl="1" indent="-57150" algn="l" defTabSz="488950">
            <a:lnSpc>
              <a:spcPct val="90000"/>
            </a:lnSpc>
            <a:spcBef>
              <a:spcPct val="0"/>
            </a:spcBef>
            <a:spcAft>
              <a:spcPct val="15000"/>
            </a:spcAft>
            <a:buChar char="••"/>
          </a:pPr>
          <a:r>
            <a:rPr lang="en-US" sz="1100" kern="1200"/>
            <a:t>After-school Opportunities</a:t>
          </a:r>
        </a:p>
      </dsp:txBody>
      <dsp:txXfrm>
        <a:off x="4529728" y="3442397"/>
        <a:ext cx="1566290" cy="1087072"/>
      </dsp:txXfrm>
    </dsp:sp>
    <dsp:sp modelId="{E4333908-F83F-496D-B5D2-26E2CD2D4C84}">
      <dsp:nvSpPr>
        <dsp:cNvPr id="0" name=""/>
        <dsp:cNvSpPr/>
      </dsp:nvSpPr>
      <dsp:spPr>
        <a:xfrm>
          <a:off x="-54511" y="3080039"/>
          <a:ext cx="2761997" cy="14494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US" sz="1100" kern="1200"/>
            <a:t>Professional Development</a:t>
          </a:r>
        </a:p>
        <a:p>
          <a:pPr marL="57150" lvl="1" indent="-57150" algn="l" defTabSz="488950">
            <a:lnSpc>
              <a:spcPct val="90000"/>
            </a:lnSpc>
            <a:spcBef>
              <a:spcPct val="0"/>
            </a:spcBef>
            <a:spcAft>
              <a:spcPct val="15000"/>
            </a:spcAft>
            <a:buChar char="••"/>
          </a:pPr>
          <a:r>
            <a:rPr lang="en-US" sz="1100" kern="1200"/>
            <a:t>Active Learning</a:t>
          </a:r>
        </a:p>
        <a:p>
          <a:pPr marL="57150" lvl="1" indent="-57150" algn="l" defTabSz="488950">
            <a:lnSpc>
              <a:spcPct val="90000"/>
            </a:lnSpc>
            <a:spcBef>
              <a:spcPct val="0"/>
            </a:spcBef>
            <a:spcAft>
              <a:spcPct val="15000"/>
            </a:spcAft>
            <a:buChar char="••"/>
          </a:pPr>
          <a:r>
            <a:rPr lang="en-US" sz="1100" kern="1200"/>
            <a:t>Educational Technology</a:t>
          </a:r>
        </a:p>
        <a:p>
          <a:pPr marL="57150" lvl="1" indent="-57150" algn="l" defTabSz="488950">
            <a:lnSpc>
              <a:spcPct val="90000"/>
            </a:lnSpc>
            <a:spcBef>
              <a:spcPct val="0"/>
            </a:spcBef>
            <a:spcAft>
              <a:spcPct val="15000"/>
            </a:spcAft>
            <a:buChar char="••"/>
          </a:pPr>
          <a:r>
            <a:rPr lang="en-US" sz="1100" kern="1200"/>
            <a:t>Individualized Instruction</a:t>
          </a:r>
        </a:p>
        <a:p>
          <a:pPr marL="57150" lvl="1" indent="-57150" algn="l" defTabSz="488950">
            <a:lnSpc>
              <a:spcPct val="90000"/>
            </a:lnSpc>
            <a:spcBef>
              <a:spcPct val="0"/>
            </a:spcBef>
            <a:spcAft>
              <a:spcPct val="15000"/>
            </a:spcAft>
            <a:buChar char="••"/>
          </a:pPr>
          <a:r>
            <a:rPr lang="en-US" sz="1100" kern="1200"/>
            <a:t>Career &amp; Technology Education</a:t>
          </a:r>
        </a:p>
      </dsp:txBody>
      <dsp:txXfrm>
        <a:off x="-54511" y="3442397"/>
        <a:ext cx="1933397" cy="1087072"/>
      </dsp:txXfrm>
    </dsp:sp>
    <dsp:sp modelId="{BD714B1C-6EE1-4D4D-B50D-73658456D1BE}">
      <dsp:nvSpPr>
        <dsp:cNvPr id="0" name=""/>
        <dsp:cNvSpPr/>
      </dsp:nvSpPr>
      <dsp:spPr>
        <a:xfrm>
          <a:off x="3858461" y="0"/>
          <a:ext cx="2237558" cy="14494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en-US" sz="1100" kern="1200"/>
            <a:t>Family Engagement</a:t>
          </a:r>
        </a:p>
        <a:p>
          <a:pPr marL="57150" lvl="1" indent="-57150" algn="l" defTabSz="488950">
            <a:lnSpc>
              <a:spcPct val="90000"/>
            </a:lnSpc>
            <a:spcBef>
              <a:spcPct val="0"/>
            </a:spcBef>
            <a:spcAft>
              <a:spcPct val="15000"/>
            </a:spcAft>
            <a:buChar char="••"/>
          </a:pPr>
          <a:r>
            <a:rPr lang="en-US" sz="1100" kern="1200"/>
            <a:t>Early Childhood Education</a:t>
          </a:r>
        </a:p>
        <a:p>
          <a:pPr marL="57150" lvl="1" indent="-57150" algn="l" defTabSz="488950">
            <a:lnSpc>
              <a:spcPct val="90000"/>
            </a:lnSpc>
            <a:spcBef>
              <a:spcPct val="0"/>
            </a:spcBef>
            <a:spcAft>
              <a:spcPct val="15000"/>
            </a:spcAft>
            <a:buChar char="••"/>
          </a:pPr>
          <a:r>
            <a:rPr lang="en-US" sz="1100" kern="1200"/>
            <a:t>Early Literacy Development</a:t>
          </a:r>
        </a:p>
      </dsp:txBody>
      <dsp:txXfrm>
        <a:off x="4529728" y="0"/>
        <a:ext cx="1566290" cy="1087072"/>
      </dsp:txXfrm>
    </dsp:sp>
    <dsp:sp modelId="{2E4332FE-14A4-4615-82B0-71C460E07D4D}">
      <dsp:nvSpPr>
        <dsp:cNvPr id="0" name=""/>
        <dsp:cNvSpPr/>
      </dsp:nvSpPr>
      <dsp:spPr>
        <a:xfrm>
          <a:off x="-54511" y="0"/>
          <a:ext cx="2761997" cy="14494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en-US" sz="1100" kern="1200"/>
            <a:t>Systemic Renewal</a:t>
          </a:r>
        </a:p>
        <a:p>
          <a:pPr marL="57150" lvl="1" indent="-57150" algn="l" defTabSz="488950">
            <a:lnSpc>
              <a:spcPct val="90000"/>
            </a:lnSpc>
            <a:spcBef>
              <a:spcPct val="0"/>
            </a:spcBef>
            <a:spcAft>
              <a:spcPct val="15000"/>
            </a:spcAft>
            <a:buChar char="••"/>
          </a:pPr>
          <a:r>
            <a:rPr lang="en-US" sz="1100" kern="1200"/>
            <a:t>School–Community Collaboration</a:t>
          </a:r>
        </a:p>
        <a:p>
          <a:pPr marL="57150" lvl="1" indent="-57150" algn="l" defTabSz="488950">
            <a:lnSpc>
              <a:spcPct val="90000"/>
            </a:lnSpc>
            <a:spcBef>
              <a:spcPct val="0"/>
            </a:spcBef>
            <a:spcAft>
              <a:spcPct val="15000"/>
            </a:spcAft>
            <a:buChar char="••"/>
          </a:pPr>
          <a:r>
            <a:rPr lang="en-US" sz="1100" kern="1200"/>
            <a:t>Safe Learning Enviornments</a:t>
          </a:r>
        </a:p>
      </dsp:txBody>
      <dsp:txXfrm>
        <a:off x="-54511" y="0"/>
        <a:ext cx="1933397" cy="1087072"/>
      </dsp:txXfrm>
    </dsp:sp>
    <dsp:sp modelId="{7ED1F6DD-B322-440E-8186-918A96F810E3}">
      <dsp:nvSpPr>
        <dsp:cNvPr id="0" name=""/>
        <dsp:cNvSpPr/>
      </dsp:nvSpPr>
      <dsp:spPr>
        <a:xfrm>
          <a:off x="1014198" y="258179"/>
          <a:ext cx="1961260" cy="1961260"/>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t>School and Community Perspective</a:t>
          </a:r>
        </a:p>
      </dsp:txBody>
      <dsp:txXfrm>
        <a:off x="1014198" y="258179"/>
        <a:ext cx="1961260" cy="1961260"/>
      </dsp:txXfrm>
    </dsp:sp>
    <dsp:sp modelId="{DBAC6F6A-B871-427D-9639-4A997F4D52B2}">
      <dsp:nvSpPr>
        <dsp:cNvPr id="0" name=""/>
        <dsp:cNvSpPr/>
      </dsp:nvSpPr>
      <dsp:spPr>
        <a:xfrm rot="5400000">
          <a:off x="3066048" y="258179"/>
          <a:ext cx="1961260" cy="1961260"/>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t>Early Interventions</a:t>
          </a:r>
        </a:p>
      </dsp:txBody>
      <dsp:txXfrm rot="5400000">
        <a:off x="3066048" y="258179"/>
        <a:ext cx="1961260" cy="1961260"/>
      </dsp:txXfrm>
    </dsp:sp>
    <dsp:sp modelId="{74E09AC0-687E-43D9-A53A-A7517E69E3D1}">
      <dsp:nvSpPr>
        <dsp:cNvPr id="0" name=""/>
        <dsp:cNvSpPr/>
      </dsp:nvSpPr>
      <dsp:spPr>
        <a:xfrm rot="10800000">
          <a:off x="3085092" y="2257311"/>
          <a:ext cx="1961260" cy="1780942"/>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t>Basic Core Strategies</a:t>
          </a:r>
        </a:p>
      </dsp:txBody>
      <dsp:txXfrm rot="10800000">
        <a:off x="3085092" y="2257311"/>
        <a:ext cx="1961260" cy="1780942"/>
      </dsp:txXfrm>
    </dsp:sp>
    <dsp:sp modelId="{B33C3896-DA96-4626-8092-BE7BF99119A1}">
      <dsp:nvSpPr>
        <dsp:cNvPr id="0" name=""/>
        <dsp:cNvSpPr/>
      </dsp:nvSpPr>
      <dsp:spPr>
        <a:xfrm rot="16200000">
          <a:off x="1104377" y="2167151"/>
          <a:ext cx="1799966" cy="1961260"/>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t>Making the Most of Instruction</a:t>
          </a:r>
        </a:p>
      </dsp:txBody>
      <dsp:txXfrm rot="16200000">
        <a:off x="1104377" y="2167151"/>
        <a:ext cx="1799966" cy="1961260"/>
      </dsp:txXfrm>
    </dsp:sp>
    <dsp:sp modelId="{A5EB94DB-583E-449C-B34A-0C1A204E5C15}">
      <dsp:nvSpPr>
        <dsp:cNvPr id="0" name=""/>
        <dsp:cNvSpPr/>
      </dsp:nvSpPr>
      <dsp:spPr>
        <a:xfrm>
          <a:off x="2682176" y="1857082"/>
          <a:ext cx="677155" cy="588831"/>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6F2D077-B5C3-4E6F-8ACC-3228DFD23B85}">
      <dsp:nvSpPr>
        <dsp:cNvPr id="0" name=""/>
        <dsp:cNvSpPr/>
      </dsp:nvSpPr>
      <dsp:spPr>
        <a:xfrm rot="10800000">
          <a:off x="2682176" y="2083556"/>
          <a:ext cx="677155" cy="588831"/>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13FC8-5770-4ACE-9637-D64BD54A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9003</Words>
  <Characters>51320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McREL</Company>
  <LinksUpToDate>false</LinksUpToDate>
  <CharactersWithSpaces>60203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Apthorp</dc:creator>
  <cp:lastModifiedBy>tcherasaro</cp:lastModifiedBy>
  <cp:revision>4</cp:revision>
  <cp:lastPrinted>2011-11-18T14:42:00Z</cp:lastPrinted>
  <dcterms:created xsi:type="dcterms:W3CDTF">2011-12-30T19:03:00Z</dcterms:created>
  <dcterms:modified xsi:type="dcterms:W3CDTF">2011-12-30T19:07:00Z</dcterms:modified>
</cp:coreProperties>
</file>