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62" w:rsidRDefault="006E6762" w:rsidP="007B02FC">
      <w:pPr>
        <w:pStyle w:val="Heading1"/>
        <w:rPr>
          <w:rFonts w:ascii="Museo 500" w:hAnsi="Museo 500"/>
          <w:sz w:val="36"/>
        </w:rPr>
      </w:pPr>
      <w:r>
        <w:t>Security Monitoring Policy</w:t>
      </w:r>
    </w:p>
    <w:p w:rsidR="003E192C" w:rsidRPr="003E192C" w:rsidRDefault="003E192C" w:rsidP="007B02FC">
      <w:pPr>
        <w:pStyle w:val="Heading2"/>
      </w:pPr>
      <w:r w:rsidRPr="003E192C">
        <w:t>Overview</w:t>
      </w:r>
    </w:p>
    <w:p w:rsidR="003E192C" w:rsidRPr="003E192C" w:rsidRDefault="00357EC6" w:rsidP="007B02FC">
      <w:pPr>
        <w:pStyle w:val="PolicyText1"/>
      </w:pPr>
      <w:r>
        <w:t>A regular monitoring program is key to managing risk in an organization.  Security monitoring oc</w:t>
      </w:r>
      <w:r w:rsidR="00D93757">
        <w:t xml:space="preserve">curs on both physical </w:t>
      </w:r>
      <w:r>
        <w:t>areas as well as logical components in many different information system areas.  Information s</w:t>
      </w:r>
      <w:r w:rsidRPr="000A23AD">
        <w:t>ecurity monitoring confirm</w:t>
      </w:r>
      <w:r>
        <w:t>s</w:t>
      </w:r>
      <w:r w:rsidRPr="000A23AD">
        <w:t xml:space="preserve"> that </w:t>
      </w:r>
      <w:r>
        <w:t>appropriate mechanisms</w:t>
      </w:r>
      <w:r w:rsidRPr="000A23AD">
        <w:t xml:space="preserve"> and controls are in place</w:t>
      </w:r>
      <w:r>
        <w:t xml:space="preserve"> to secure systems and applications</w:t>
      </w:r>
      <w:r w:rsidRPr="000A23AD">
        <w:t xml:space="preserve">, </w:t>
      </w:r>
      <w:r>
        <w:t xml:space="preserve">that they are </w:t>
      </w:r>
      <w:r w:rsidRPr="000A23AD">
        <w:t xml:space="preserve">effective, and </w:t>
      </w:r>
      <w:proofErr w:type="gramStart"/>
      <w:r w:rsidRPr="000A23AD">
        <w:t>are not being bypassed</w:t>
      </w:r>
      <w:proofErr w:type="gramEnd"/>
      <w:r>
        <w:t xml:space="preserve"> in any way</w:t>
      </w:r>
      <w:r w:rsidRPr="000A23AD">
        <w:t xml:space="preserve">. </w:t>
      </w:r>
      <w:r>
        <w:t xml:space="preserve"> </w:t>
      </w:r>
    </w:p>
    <w:p w:rsidR="003E192C" w:rsidRPr="003E192C" w:rsidRDefault="003E192C" w:rsidP="007B02FC">
      <w:pPr>
        <w:pStyle w:val="Heading2"/>
      </w:pPr>
      <w:r w:rsidRPr="003E192C">
        <w:t>Purpose</w:t>
      </w:r>
    </w:p>
    <w:p w:rsidR="003E192C" w:rsidRPr="003E192C" w:rsidRDefault="00357EC6" w:rsidP="007B02FC">
      <w:pPr>
        <w:pStyle w:val="PolicyText1"/>
      </w:pPr>
      <w:r w:rsidRPr="000A23AD">
        <w:t xml:space="preserve">One of the benefits of security monitoring is the early identification of wrongdoing or new security vulnerabilities.  </w:t>
      </w:r>
      <w:r>
        <w:t>E</w:t>
      </w:r>
      <w:r w:rsidRPr="000A23AD">
        <w:t>arly identification can help block wrong</w:t>
      </w:r>
      <w:r>
        <w:t>doing or vulnerabilities before harm can be done.</w:t>
      </w:r>
      <w:r w:rsidRPr="000A23AD">
        <w:t xml:space="preserve">  Other benefits include audit compliance, service level monitoring, performance measuring, limiting liability, and capacity planning.</w:t>
      </w:r>
      <w:r w:rsidR="006E6762">
        <w:t xml:space="preserve">  This policy establishes [LEP]</w:t>
      </w:r>
      <w:r>
        <w:t xml:space="preserve"> security</w:t>
      </w:r>
      <w:bookmarkStart w:id="0" w:name="_GoBack"/>
      <w:bookmarkEnd w:id="0"/>
      <w:r>
        <w:t xml:space="preserve"> monitoring processes and procedures.</w:t>
      </w:r>
    </w:p>
    <w:p w:rsidR="003E192C" w:rsidRPr="003E192C" w:rsidRDefault="003E192C" w:rsidP="007B02FC">
      <w:pPr>
        <w:pStyle w:val="Heading2"/>
      </w:pPr>
      <w:r w:rsidRPr="003E192C">
        <w:t>Scope</w:t>
      </w:r>
    </w:p>
    <w:p w:rsidR="00357EC6" w:rsidRDefault="00357EC6" w:rsidP="007B02FC">
      <w:pPr>
        <w:pStyle w:val="PolicyText1"/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</w:pPr>
      <w:r w:rsidRPr="006F54A4">
        <w:t xml:space="preserve">This policy applies to </w:t>
      </w:r>
      <w:r>
        <w:t>support staff charged with security responsibility</w:t>
      </w:r>
      <w:r w:rsidRPr="000A23AD">
        <w:t xml:space="preserve"> for installation </w:t>
      </w:r>
      <w:r>
        <w:t xml:space="preserve">and operation </w:t>
      </w:r>
      <w:r w:rsidRPr="000A23AD">
        <w:t xml:space="preserve">of </w:t>
      </w:r>
      <w:r>
        <w:t xml:space="preserve">application and computing </w:t>
      </w:r>
      <w:r w:rsidRPr="000A23AD">
        <w:t>resources</w:t>
      </w:r>
      <w:r>
        <w:t>.</w:t>
      </w:r>
      <w:r w:rsidRPr="003E192C">
        <w:rPr>
          <w:rFonts w:ascii="Museo 500" w:eastAsiaTheme="majorEastAsia" w:hAnsi="Museo 500" w:cstheme="majorBidi"/>
          <w:b/>
          <w:bCs/>
          <w:color w:val="365F91" w:themeColor="accent1" w:themeShade="BF"/>
          <w:sz w:val="36"/>
          <w:szCs w:val="28"/>
        </w:rPr>
        <w:t xml:space="preserve"> </w:t>
      </w:r>
    </w:p>
    <w:p w:rsidR="007B6985" w:rsidRDefault="003E192C" w:rsidP="007B02FC">
      <w:pPr>
        <w:pStyle w:val="Heading2"/>
      </w:pPr>
      <w:r w:rsidRPr="003E192C">
        <w:t>Policy</w:t>
      </w:r>
    </w:p>
    <w:p w:rsidR="007B6985" w:rsidRPr="000A23AD" w:rsidRDefault="007B6985" w:rsidP="007B02FC">
      <w:pPr>
        <w:pStyle w:val="PolicyText1"/>
      </w:pPr>
      <w:r w:rsidRPr="000A23AD">
        <w:t xml:space="preserve">Automated tools provide real time notification of detected wrongdoing and vulnerability exploitation.  Where possible, </w:t>
      </w:r>
      <w:r w:rsidR="001B6205">
        <w:t xml:space="preserve">staff shall develop </w:t>
      </w:r>
      <w:r w:rsidRPr="000A23AD">
        <w:t>security baseline</w:t>
      </w:r>
      <w:r w:rsidR="001B6205">
        <w:t>s</w:t>
      </w:r>
      <w:r w:rsidRPr="000A23AD">
        <w:t xml:space="preserve"> and tools </w:t>
      </w:r>
      <w:r>
        <w:t xml:space="preserve">to </w:t>
      </w:r>
      <w:r w:rsidRPr="000A23AD">
        <w:t xml:space="preserve">report exceptions. </w:t>
      </w:r>
      <w:r>
        <w:t xml:space="preserve"> </w:t>
      </w:r>
      <w:r w:rsidR="001B6205">
        <w:t>Baselines and t</w:t>
      </w:r>
      <w:r w:rsidRPr="000A23AD">
        <w:t xml:space="preserve">ools </w:t>
      </w:r>
      <w:proofErr w:type="gramStart"/>
      <w:r>
        <w:t>shall</w:t>
      </w:r>
      <w:r w:rsidRPr="000A23AD">
        <w:t xml:space="preserve"> be deployed</w:t>
      </w:r>
      <w:proofErr w:type="gramEnd"/>
      <w:r w:rsidRPr="000A23AD">
        <w:t xml:space="preserve"> to monitor:</w:t>
      </w:r>
    </w:p>
    <w:p w:rsidR="001B6205" w:rsidRPr="000A23AD" w:rsidRDefault="007B6985" w:rsidP="007B02FC">
      <w:pPr>
        <w:pStyle w:val="PolicyText1"/>
        <w:numPr>
          <w:ilvl w:val="0"/>
          <w:numId w:val="32"/>
        </w:numPr>
      </w:pPr>
      <w:r w:rsidRPr="000A23AD">
        <w:t>Internet traffic</w:t>
      </w:r>
    </w:p>
    <w:p w:rsidR="001B6205" w:rsidRPr="000A23AD" w:rsidRDefault="007B6985" w:rsidP="007B02FC">
      <w:pPr>
        <w:pStyle w:val="PolicyText1"/>
        <w:numPr>
          <w:ilvl w:val="0"/>
          <w:numId w:val="32"/>
        </w:numPr>
      </w:pPr>
      <w:r w:rsidRPr="000A23AD">
        <w:t>Electronic mail traffic</w:t>
      </w:r>
    </w:p>
    <w:p w:rsidR="001B6205" w:rsidRPr="000A23AD" w:rsidRDefault="007B6985" w:rsidP="007B02FC">
      <w:pPr>
        <w:pStyle w:val="PolicyText1"/>
        <w:numPr>
          <w:ilvl w:val="0"/>
          <w:numId w:val="32"/>
        </w:numPr>
      </w:pPr>
      <w:r w:rsidRPr="000A23AD">
        <w:t>LAN traffic, protocols, and device inventory</w:t>
      </w:r>
    </w:p>
    <w:p w:rsidR="006E6762" w:rsidRPr="006E6762" w:rsidRDefault="007B6985" w:rsidP="007B02FC">
      <w:pPr>
        <w:pStyle w:val="PolicyText1"/>
        <w:numPr>
          <w:ilvl w:val="0"/>
          <w:numId w:val="32"/>
        </w:numPr>
      </w:pPr>
      <w:r w:rsidRPr="000A23AD">
        <w:t>Operating system security parameters</w:t>
      </w:r>
    </w:p>
    <w:p w:rsidR="007B6985" w:rsidRPr="000A23AD" w:rsidRDefault="007B6985" w:rsidP="007B02FC">
      <w:pPr>
        <w:pStyle w:val="PolicyText1"/>
      </w:pPr>
      <w:r w:rsidRPr="000A23AD">
        <w:t xml:space="preserve">The following files </w:t>
      </w:r>
      <w:proofErr w:type="gramStart"/>
      <w:r>
        <w:t>shall</w:t>
      </w:r>
      <w:r w:rsidRPr="000A23AD">
        <w:t xml:space="preserve"> be checked</w:t>
      </w:r>
      <w:proofErr w:type="gramEnd"/>
      <w:r w:rsidRPr="000A23AD">
        <w:t xml:space="preserve"> for signs of wrongdoing and vulnerability exploitation at a frequency determined by </w:t>
      </w:r>
      <w:r>
        <w:t xml:space="preserve">the </w:t>
      </w:r>
      <w:r w:rsidR="006E6762">
        <w:t>[Insert Appropriate Role]</w:t>
      </w:r>
      <w:r w:rsidR="001B6205">
        <w:t xml:space="preserve"> or their designee</w:t>
      </w:r>
      <w:r w:rsidRPr="000A23AD">
        <w:t>: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Automated intrusion detection system logs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Firewall logs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User account logs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Network scanning logs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System error logs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Application logs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Data backup and recovery logs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lastRenderedPageBreak/>
        <w:t>Help desk trouble tickets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 xml:space="preserve">Telephone activity </w:t>
      </w:r>
      <w:r>
        <w:t>(e.g. call detail reports)</w:t>
      </w:r>
    </w:p>
    <w:p w:rsidR="007B6985" w:rsidRPr="000A23AD" w:rsidRDefault="007B6985" w:rsidP="007B02FC">
      <w:pPr>
        <w:pStyle w:val="PolicyText1"/>
        <w:numPr>
          <w:ilvl w:val="0"/>
          <w:numId w:val="33"/>
        </w:numPr>
      </w:pPr>
      <w:r w:rsidRPr="000A23AD">
        <w:t>Network printer and fax logs</w:t>
      </w:r>
    </w:p>
    <w:p w:rsidR="007B6985" w:rsidRPr="000A23AD" w:rsidRDefault="007B6985" w:rsidP="007B02FC">
      <w:pPr>
        <w:pStyle w:val="PolicyText1"/>
      </w:pPr>
      <w:r>
        <w:t>A</w:t>
      </w:r>
      <w:r w:rsidR="001B6205">
        <w:t>n</w:t>
      </w:r>
      <w:r>
        <w:t xml:space="preserve"> evaluation of </w:t>
      </w:r>
      <w:r w:rsidR="001B6205">
        <w:t xml:space="preserve">the efficacy of the current program and practices </w:t>
      </w:r>
      <w:proofErr w:type="gramStart"/>
      <w:r w:rsidR="001B6205">
        <w:t xml:space="preserve">shall be conducted and documented by the </w:t>
      </w:r>
      <w:r w:rsidR="006E6762">
        <w:t>[Insert Appropriate Role]</w:t>
      </w:r>
      <w:r w:rsidR="001B6205">
        <w:t xml:space="preserve"> </w:t>
      </w:r>
      <w:r>
        <w:t>on an annual basis</w:t>
      </w:r>
      <w:proofErr w:type="gramEnd"/>
      <w:r>
        <w:t xml:space="preserve">.  Such evaluations shall </w:t>
      </w:r>
      <w:r w:rsidR="001B6205">
        <w:t xml:space="preserve">minimally </w:t>
      </w:r>
      <w:r>
        <w:t xml:space="preserve">include review </w:t>
      </w:r>
      <w:proofErr w:type="gramStart"/>
      <w:r>
        <w:t>of</w:t>
      </w:r>
      <w:proofErr w:type="gramEnd"/>
      <w:r w:rsidRPr="000A23AD">
        <w:t>:</w:t>
      </w:r>
    </w:p>
    <w:p w:rsidR="007B6985" w:rsidRPr="000A23AD" w:rsidRDefault="007B6985" w:rsidP="007B02FC">
      <w:pPr>
        <w:pStyle w:val="PolicyText1"/>
        <w:numPr>
          <w:ilvl w:val="0"/>
          <w:numId w:val="34"/>
        </w:numPr>
      </w:pPr>
      <w:r w:rsidRPr="000A23AD">
        <w:t>Password strength</w:t>
      </w:r>
    </w:p>
    <w:p w:rsidR="007B6985" w:rsidRPr="000A23AD" w:rsidRDefault="007B6985" w:rsidP="007B02FC">
      <w:pPr>
        <w:pStyle w:val="PolicyText1"/>
        <w:numPr>
          <w:ilvl w:val="0"/>
          <w:numId w:val="34"/>
        </w:numPr>
      </w:pPr>
      <w:r w:rsidRPr="000A23AD">
        <w:t>Unauthorized network devices</w:t>
      </w:r>
    </w:p>
    <w:p w:rsidR="007B6985" w:rsidRPr="000A23AD" w:rsidRDefault="007B6985" w:rsidP="007B02FC">
      <w:pPr>
        <w:pStyle w:val="PolicyText1"/>
        <w:numPr>
          <w:ilvl w:val="0"/>
          <w:numId w:val="34"/>
        </w:numPr>
      </w:pPr>
      <w:r w:rsidRPr="000A23AD">
        <w:t>Unauthorized personal web servers</w:t>
      </w:r>
      <w:r w:rsidR="001B6205">
        <w:t xml:space="preserve"> or </w:t>
      </w:r>
      <w:r w:rsidR="006E6762">
        <w:t>devices</w:t>
      </w:r>
    </w:p>
    <w:p w:rsidR="007B6985" w:rsidRPr="000A23AD" w:rsidRDefault="007B6985" w:rsidP="007B02FC">
      <w:pPr>
        <w:pStyle w:val="PolicyText1"/>
        <w:numPr>
          <w:ilvl w:val="0"/>
          <w:numId w:val="34"/>
        </w:numPr>
      </w:pPr>
      <w:r w:rsidRPr="000A23AD">
        <w:t>Unsecured sharing of devices</w:t>
      </w:r>
    </w:p>
    <w:p w:rsidR="007B6985" w:rsidRPr="000A23AD" w:rsidRDefault="007B6985" w:rsidP="007B02FC">
      <w:pPr>
        <w:pStyle w:val="PolicyText1"/>
        <w:numPr>
          <w:ilvl w:val="0"/>
          <w:numId w:val="34"/>
        </w:numPr>
      </w:pPr>
      <w:r w:rsidRPr="000A23AD">
        <w:t>Unauthorized remote connectivity</w:t>
      </w:r>
    </w:p>
    <w:p w:rsidR="007B6985" w:rsidRDefault="007B6985" w:rsidP="007B02FC">
      <w:pPr>
        <w:pStyle w:val="PolicyText1"/>
        <w:numPr>
          <w:ilvl w:val="0"/>
          <w:numId w:val="34"/>
        </w:numPr>
      </w:pPr>
      <w:r>
        <w:t>Unauthorized operating systems</w:t>
      </w:r>
    </w:p>
    <w:p w:rsidR="007B6985" w:rsidRPr="000A23AD" w:rsidRDefault="007B6985" w:rsidP="007B02FC">
      <w:pPr>
        <w:pStyle w:val="PolicyText1"/>
        <w:numPr>
          <w:ilvl w:val="0"/>
          <w:numId w:val="34"/>
        </w:numPr>
      </w:pPr>
      <w:r>
        <w:t>Unauthorized s</w:t>
      </w:r>
      <w:r w:rsidRPr="000A23AD">
        <w:t xml:space="preserve">oftware </w:t>
      </w:r>
      <w:r>
        <w:t>l</w:t>
      </w:r>
      <w:r w:rsidRPr="000A23AD">
        <w:t>icenses</w:t>
      </w:r>
    </w:p>
    <w:p w:rsidR="003E192C" w:rsidRPr="003E192C" w:rsidRDefault="007B6985" w:rsidP="007B02FC">
      <w:pPr>
        <w:pStyle w:val="PolicyText1"/>
      </w:pPr>
      <w:r w:rsidRPr="000A23AD">
        <w:t xml:space="preserve">Any security issues discovered </w:t>
      </w:r>
      <w:proofErr w:type="gramStart"/>
      <w:r w:rsidRPr="000A23AD">
        <w:t>will be reported</w:t>
      </w:r>
      <w:proofErr w:type="gramEnd"/>
      <w:r w:rsidRPr="000A23AD">
        <w:t xml:space="preserve"> to </w:t>
      </w:r>
      <w:r>
        <w:t xml:space="preserve">the </w:t>
      </w:r>
      <w:r w:rsidR="006E6762">
        <w:t>[Insert Appropriate Role]</w:t>
      </w:r>
      <w:r w:rsidR="001B6205">
        <w:t xml:space="preserve"> </w:t>
      </w:r>
      <w:r w:rsidRPr="000A23AD">
        <w:t>for follow-up investigation</w:t>
      </w:r>
      <w:r w:rsidR="001B6205">
        <w:t xml:space="preserve"> and remediation</w:t>
      </w:r>
      <w:r w:rsidRPr="000A23AD">
        <w:t>.</w:t>
      </w:r>
      <w:r w:rsidR="001B6205">
        <w:t xml:space="preserve"> As part of the review, p</w:t>
      </w:r>
      <w:r w:rsidRPr="00C33E95">
        <w:t xml:space="preserve">rocedures shall be developed to </w:t>
      </w:r>
      <w:r w:rsidR="001B6205">
        <w:t xml:space="preserve">review </w:t>
      </w:r>
      <w:r w:rsidRPr="00C33E95">
        <w:t>and recor</w:t>
      </w:r>
      <w:r>
        <w:t xml:space="preserve">d growth and traffic patterns, bandwidth issues, etc.  Appropriate reporting shall be in place to allow </w:t>
      </w:r>
      <w:r w:rsidR="006E6762">
        <w:t>[Insert Appropriate Department]</w:t>
      </w:r>
      <w:r w:rsidR="001B6205">
        <w:t xml:space="preserve"> </w:t>
      </w:r>
      <w:r>
        <w:t>to anticipate performance issues and delays and react in a timely and proactive manner</w:t>
      </w:r>
      <w:r w:rsidR="007B02FC">
        <w:t>.</w:t>
      </w:r>
    </w:p>
    <w:p w:rsidR="003E192C" w:rsidRPr="003E192C" w:rsidRDefault="003E192C" w:rsidP="007B02FC">
      <w:pPr>
        <w:pStyle w:val="Heading2"/>
      </w:pPr>
      <w:r w:rsidRPr="003E192C">
        <w:t>Audit Controls and Management</w:t>
      </w:r>
    </w:p>
    <w:p w:rsidR="00B6345D" w:rsidRDefault="00B6345D" w:rsidP="007B02FC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6E6762">
        <w:t>[LEP]</w:t>
      </w:r>
      <w:r w:rsidRPr="003E192C">
        <w:t>.</w:t>
      </w:r>
      <w:r>
        <w:t xml:space="preserve">  Satisfactory examples of evidence and compliance include:</w:t>
      </w:r>
    </w:p>
    <w:p w:rsidR="00B6345D" w:rsidRPr="00866CBF" w:rsidRDefault="00B6345D" w:rsidP="007B02FC">
      <w:pPr>
        <w:pStyle w:val="PolicyText1"/>
        <w:numPr>
          <w:ilvl w:val="0"/>
          <w:numId w:val="35"/>
        </w:numPr>
      </w:pPr>
      <w:r w:rsidRPr="00866CBF">
        <w:t>Spot user ch</w:t>
      </w:r>
      <w:r w:rsidR="00E76732">
        <w:t>ecks for appropriate security monitoring logs</w:t>
      </w:r>
    </w:p>
    <w:p w:rsidR="00E76732" w:rsidRPr="00E76732" w:rsidRDefault="00E76732" w:rsidP="007B02FC">
      <w:pPr>
        <w:pStyle w:val="PolicyText1"/>
        <w:numPr>
          <w:ilvl w:val="0"/>
          <w:numId w:val="35"/>
        </w:numPr>
      </w:pPr>
      <w:r>
        <w:t xml:space="preserve">Archival </w:t>
      </w:r>
      <w:r w:rsidR="006E6762">
        <w:t>documentation of annual reviews</w:t>
      </w:r>
    </w:p>
    <w:p w:rsidR="00B6345D" w:rsidRPr="00866CBF" w:rsidRDefault="00E76732" w:rsidP="007B02FC">
      <w:pPr>
        <w:pStyle w:val="PolicyText1"/>
        <w:numPr>
          <w:ilvl w:val="0"/>
          <w:numId w:val="35"/>
        </w:numPr>
      </w:pPr>
      <w:r>
        <w:t>Historical communications on reviews and cont</w:t>
      </w:r>
      <w:r w:rsidR="006E6762">
        <w:t>inuous improvement enhancements</w:t>
      </w:r>
    </w:p>
    <w:p w:rsidR="003E192C" w:rsidRPr="003E192C" w:rsidRDefault="003E192C" w:rsidP="007B02FC">
      <w:pPr>
        <w:pStyle w:val="Heading2"/>
      </w:pPr>
      <w:r w:rsidRPr="003E192C">
        <w:t xml:space="preserve">Enforcement  </w:t>
      </w:r>
    </w:p>
    <w:p w:rsidR="003E192C" w:rsidRPr="003E192C" w:rsidRDefault="003E192C" w:rsidP="007B02FC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7B02FC">
      <w:pPr>
        <w:pStyle w:val="Heading2"/>
      </w:pPr>
      <w:r w:rsidRPr="003E192C">
        <w:t>Distribution</w:t>
      </w:r>
    </w:p>
    <w:p w:rsidR="003E192C" w:rsidRPr="003E192C" w:rsidRDefault="003E192C" w:rsidP="007B02FC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6E6762">
        <w:t xml:space="preserve">[LEP] </w:t>
      </w:r>
      <w:r w:rsidRPr="003E192C">
        <w:t>staff</w:t>
      </w:r>
      <w:r w:rsidR="00E76732">
        <w:t xml:space="preserve"> conducting security audits and reviews</w:t>
      </w:r>
      <w:r w:rsidRPr="003E192C">
        <w:t>.</w:t>
      </w:r>
    </w:p>
    <w:p w:rsidR="003E192C" w:rsidRPr="003E192C" w:rsidRDefault="003E192C" w:rsidP="007B02FC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7B02FC"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7B02FC"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7B02FC"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7B02FC"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7B02FC">
            <w:r w:rsidRPr="003E192C">
              <w:lastRenderedPageBreak/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E76732" w:rsidP="007B02FC">
            <w:r>
              <w:t>12/15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7B02FC"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7B02FC"/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7B02FC"/>
        </w:tc>
        <w:tc>
          <w:tcPr>
            <w:tcW w:w="1401" w:type="dxa"/>
            <w:shd w:val="clear" w:color="auto" w:fill="auto"/>
          </w:tcPr>
          <w:p w:rsidR="003E192C" w:rsidRPr="003E192C" w:rsidRDefault="003E192C" w:rsidP="007B02FC"/>
        </w:tc>
        <w:tc>
          <w:tcPr>
            <w:tcW w:w="4104" w:type="dxa"/>
            <w:shd w:val="clear" w:color="auto" w:fill="auto"/>
          </w:tcPr>
          <w:p w:rsidR="003E192C" w:rsidRPr="003E192C" w:rsidRDefault="003E192C" w:rsidP="007B02FC"/>
        </w:tc>
        <w:tc>
          <w:tcPr>
            <w:tcW w:w="2214" w:type="dxa"/>
            <w:shd w:val="clear" w:color="auto" w:fill="auto"/>
          </w:tcPr>
          <w:p w:rsidR="003E192C" w:rsidRPr="003E192C" w:rsidRDefault="003E192C" w:rsidP="007B02FC"/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7B02FC"/>
        </w:tc>
        <w:tc>
          <w:tcPr>
            <w:tcW w:w="1401" w:type="dxa"/>
            <w:shd w:val="clear" w:color="auto" w:fill="auto"/>
          </w:tcPr>
          <w:p w:rsidR="003E192C" w:rsidRPr="003E192C" w:rsidRDefault="003E192C" w:rsidP="007B02FC"/>
        </w:tc>
        <w:tc>
          <w:tcPr>
            <w:tcW w:w="4104" w:type="dxa"/>
            <w:shd w:val="clear" w:color="auto" w:fill="auto"/>
          </w:tcPr>
          <w:p w:rsidR="003E192C" w:rsidRPr="003E192C" w:rsidRDefault="003E192C" w:rsidP="007B02FC"/>
        </w:tc>
        <w:tc>
          <w:tcPr>
            <w:tcW w:w="2214" w:type="dxa"/>
            <w:shd w:val="clear" w:color="auto" w:fill="auto"/>
          </w:tcPr>
          <w:p w:rsidR="003E192C" w:rsidRPr="003E192C" w:rsidRDefault="003E192C" w:rsidP="007B02FC"/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01" w:rsidRDefault="00F03501" w:rsidP="00333141">
      <w:pPr>
        <w:spacing w:after="0" w:line="240" w:lineRule="auto"/>
      </w:pPr>
      <w:r>
        <w:separator/>
      </w:r>
    </w:p>
  </w:endnote>
  <w:endnote w:type="continuationSeparator" w:id="0">
    <w:p w:rsidR="00F03501" w:rsidRDefault="00F03501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6E6762" w:rsidP="00333141">
    <w:pPr>
      <w:pStyle w:val="Footer"/>
    </w:pPr>
    <w:r>
      <w:tab/>
    </w:r>
    <w:r>
      <w:tab/>
    </w:r>
    <w:r w:rsidR="007B02FC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01" w:rsidRDefault="00F03501" w:rsidP="00333141">
      <w:pPr>
        <w:spacing w:after="0" w:line="240" w:lineRule="auto"/>
      </w:pPr>
      <w:r>
        <w:separator/>
      </w:r>
    </w:p>
  </w:footnote>
  <w:footnote w:type="continuationSeparator" w:id="0">
    <w:p w:rsidR="00F03501" w:rsidRDefault="00F03501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AF" w:rsidRDefault="00F035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7580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D93757">
      <w:tc>
        <w:tcPr>
          <w:tcW w:w="4701" w:type="pct"/>
        </w:tcPr>
        <w:p w:rsidR="00333141" w:rsidRPr="0030192B" w:rsidRDefault="00F03501" w:rsidP="006727F0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B02FC">
                <w:t>Security Monitoring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D93757">
            <w:rPr>
              <w:b/>
              <w:noProof/>
              <w:color w:val="595959" w:themeColor="text1" w:themeTint="A6"/>
              <w:szCs w:val="20"/>
            </w:rPr>
            <w:t>1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F035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7581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5AF" w:rsidRDefault="00F035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7579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462"/>
    <w:multiLevelType w:val="multilevel"/>
    <w:tmpl w:val="61E4F4B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79C0"/>
    <w:multiLevelType w:val="hybridMultilevel"/>
    <w:tmpl w:val="2B92D12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0652"/>
    <w:multiLevelType w:val="multilevel"/>
    <w:tmpl w:val="4300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F3570"/>
    <w:multiLevelType w:val="hybridMultilevel"/>
    <w:tmpl w:val="89D6589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827DE"/>
    <w:multiLevelType w:val="hybridMultilevel"/>
    <w:tmpl w:val="3292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83427C"/>
    <w:multiLevelType w:val="hybridMultilevel"/>
    <w:tmpl w:val="C590B73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2E4382"/>
    <w:multiLevelType w:val="hybridMultilevel"/>
    <w:tmpl w:val="202C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17E"/>
    <w:multiLevelType w:val="hybridMultilevel"/>
    <w:tmpl w:val="DF9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3740D7"/>
    <w:multiLevelType w:val="hybridMultilevel"/>
    <w:tmpl w:val="8FE4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75ABE"/>
    <w:multiLevelType w:val="hybridMultilevel"/>
    <w:tmpl w:val="08DA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8"/>
  </w:num>
  <w:num w:numId="4">
    <w:abstractNumId w:val="23"/>
  </w:num>
  <w:num w:numId="5">
    <w:abstractNumId w:val="13"/>
  </w:num>
  <w:num w:numId="6">
    <w:abstractNumId w:val="11"/>
  </w:num>
  <w:num w:numId="7">
    <w:abstractNumId w:val="9"/>
  </w:num>
  <w:num w:numId="8">
    <w:abstractNumId w:val="15"/>
  </w:num>
  <w:num w:numId="9">
    <w:abstractNumId w:val="35"/>
  </w:num>
  <w:num w:numId="10">
    <w:abstractNumId w:val="26"/>
  </w:num>
  <w:num w:numId="11">
    <w:abstractNumId w:val="7"/>
  </w:num>
  <w:num w:numId="12">
    <w:abstractNumId w:val="14"/>
  </w:num>
  <w:num w:numId="13">
    <w:abstractNumId w:val="20"/>
  </w:num>
  <w:num w:numId="14">
    <w:abstractNumId w:val="30"/>
  </w:num>
  <w:num w:numId="15">
    <w:abstractNumId w:val="10"/>
  </w:num>
  <w:num w:numId="16">
    <w:abstractNumId w:val="3"/>
  </w:num>
  <w:num w:numId="17">
    <w:abstractNumId w:val="5"/>
  </w:num>
  <w:num w:numId="18">
    <w:abstractNumId w:val="17"/>
  </w:num>
  <w:num w:numId="19">
    <w:abstractNumId w:val="22"/>
  </w:num>
  <w:num w:numId="20">
    <w:abstractNumId w:val="21"/>
  </w:num>
  <w:num w:numId="21">
    <w:abstractNumId w:val="24"/>
  </w:num>
  <w:num w:numId="22">
    <w:abstractNumId w:val="4"/>
  </w:num>
  <w:num w:numId="23">
    <w:abstractNumId w:val="16"/>
  </w:num>
  <w:num w:numId="24">
    <w:abstractNumId w:val="8"/>
  </w:num>
  <w:num w:numId="25">
    <w:abstractNumId w:val="28"/>
  </w:num>
  <w:num w:numId="26">
    <w:abstractNumId w:val="29"/>
  </w:num>
  <w:num w:numId="27">
    <w:abstractNumId w:val="32"/>
  </w:num>
  <w:num w:numId="28">
    <w:abstractNumId w:val="27"/>
  </w:num>
  <w:num w:numId="29">
    <w:abstractNumId w:val="1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 w:numId="34">
    <w:abstractNumId w:val="19"/>
  </w:num>
  <w:num w:numId="35">
    <w:abstractNumId w:val="3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140385"/>
    <w:rsid w:val="001B6205"/>
    <w:rsid w:val="00230AC4"/>
    <w:rsid w:val="002B41BB"/>
    <w:rsid w:val="00333141"/>
    <w:rsid w:val="00347EBF"/>
    <w:rsid w:val="00357EC6"/>
    <w:rsid w:val="003E192C"/>
    <w:rsid w:val="006727F0"/>
    <w:rsid w:val="006E6762"/>
    <w:rsid w:val="007B02FC"/>
    <w:rsid w:val="007B6985"/>
    <w:rsid w:val="007D7067"/>
    <w:rsid w:val="00A755FE"/>
    <w:rsid w:val="00AD3622"/>
    <w:rsid w:val="00AF3C6F"/>
    <w:rsid w:val="00B50C2A"/>
    <w:rsid w:val="00B6345D"/>
    <w:rsid w:val="00D93757"/>
    <w:rsid w:val="00DD0F14"/>
    <w:rsid w:val="00E005AF"/>
    <w:rsid w:val="00E02EBB"/>
    <w:rsid w:val="00E55E1C"/>
    <w:rsid w:val="00E76732"/>
    <w:rsid w:val="00F03501"/>
    <w:rsid w:val="00F20FEC"/>
    <w:rsid w:val="00F72E40"/>
    <w:rsid w:val="00F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75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3757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D93757"/>
    <w:pPr>
      <w:keepNext/>
      <w:keepLines/>
      <w:numPr>
        <w:numId w:val="36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D93757"/>
    <w:pPr>
      <w:keepNext/>
      <w:keepLines/>
      <w:numPr>
        <w:numId w:val="18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D937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3757"/>
  </w:style>
  <w:style w:type="paragraph" w:styleId="Header">
    <w:name w:val="header"/>
    <w:basedOn w:val="Normal"/>
    <w:link w:val="HeaderChar"/>
    <w:uiPriority w:val="99"/>
    <w:unhideWhenUsed/>
    <w:rsid w:val="00D9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757"/>
  </w:style>
  <w:style w:type="paragraph" w:styleId="Footer">
    <w:name w:val="footer"/>
    <w:basedOn w:val="Normal"/>
    <w:link w:val="FooterChar"/>
    <w:uiPriority w:val="99"/>
    <w:unhideWhenUsed/>
    <w:rsid w:val="00D93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757"/>
  </w:style>
  <w:style w:type="paragraph" w:styleId="BalloonText">
    <w:name w:val="Balloon Text"/>
    <w:basedOn w:val="Normal"/>
    <w:link w:val="BalloonTextChar"/>
    <w:uiPriority w:val="99"/>
    <w:semiHidden/>
    <w:unhideWhenUsed/>
    <w:rsid w:val="00D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7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757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D9375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D93757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39"/>
    <w:rsid w:val="00D9375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3757"/>
    <w:pPr>
      <w:ind w:left="720"/>
      <w:contextualSpacing/>
    </w:pPr>
  </w:style>
  <w:style w:type="paragraph" w:customStyle="1" w:styleId="PolicyText1">
    <w:name w:val="PolicyText1"/>
    <w:basedOn w:val="Normal"/>
    <w:qFormat/>
    <w:rsid w:val="00D93757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D93757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33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Monitoring Policy</dc:title>
  <dc:creator>Pat Bush</dc:creator>
  <cp:lastModifiedBy>Stacey, Jill</cp:lastModifiedBy>
  <cp:revision>10</cp:revision>
  <dcterms:created xsi:type="dcterms:W3CDTF">2017-01-16T19:25:00Z</dcterms:created>
  <dcterms:modified xsi:type="dcterms:W3CDTF">2017-02-28T16:08:00Z</dcterms:modified>
</cp:coreProperties>
</file>