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67E5F" w14:textId="77777777" w:rsidR="006D746B" w:rsidRDefault="006D746B" w:rsidP="008829C2">
      <w:pPr>
        <w:pStyle w:val="Heading1"/>
        <w:rPr>
          <w:rFonts w:ascii="Museo 500" w:hAnsi="Museo 500"/>
          <w:sz w:val="36"/>
        </w:rPr>
      </w:pPr>
      <w:r>
        <w:t>Hardware and Software Maintenance Policy</w:t>
      </w:r>
    </w:p>
    <w:p w14:paraId="29DAE0D9" w14:textId="0B1837C7" w:rsidR="003E192C" w:rsidRDefault="003E192C" w:rsidP="009E3BF5">
      <w:pPr>
        <w:pStyle w:val="Heading2"/>
      </w:pPr>
      <w:r w:rsidRPr="003E192C">
        <w:t>Overview</w:t>
      </w:r>
    </w:p>
    <w:p w14:paraId="4CF0B29B" w14:textId="217B84A2" w:rsidR="006D419A" w:rsidRPr="000576EE" w:rsidRDefault="006D419A" w:rsidP="008829C2">
      <w:pPr>
        <w:pStyle w:val="PolicyText1"/>
      </w:pPr>
      <w:r w:rsidRPr="006B63D0">
        <w:t xml:space="preserve">Maintenance of hardware and software </w:t>
      </w:r>
      <w:r w:rsidR="00792980">
        <w:t xml:space="preserve">assets </w:t>
      </w:r>
      <w:r w:rsidRPr="006B63D0">
        <w:t xml:space="preserve">is part of </w:t>
      </w:r>
      <w:r w:rsidR="00792980">
        <w:t>a comprehensive</w:t>
      </w:r>
      <w:r w:rsidRPr="006B63D0">
        <w:t xml:space="preserve"> </w:t>
      </w:r>
      <w:r w:rsidR="00792980">
        <w:t xml:space="preserve">management </w:t>
      </w:r>
      <w:r w:rsidRPr="006B63D0">
        <w:t xml:space="preserve">process to </w:t>
      </w:r>
      <w:r w:rsidR="00792980">
        <w:t xml:space="preserve">minimize disruptions, optimize costs, provide asset </w:t>
      </w:r>
      <w:r w:rsidR="008829C2">
        <w:t>stewardship,</w:t>
      </w:r>
      <w:r w:rsidR="00792980">
        <w:t xml:space="preserve"> and bring best practice to the organization</w:t>
      </w:r>
      <w:r w:rsidRPr="006B63D0">
        <w:t>.</w:t>
      </w:r>
      <w:r w:rsidR="00BB7109">
        <w:t xml:space="preserve">  Effective maintenance and support of assets provides longer life, higher employee productivity, and increased user satisfaction.</w:t>
      </w:r>
    </w:p>
    <w:p w14:paraId="4900D2FA" w14:textId="6CA23515" w:rsidR="006D419A" w:rsidRDefault="003E192C" w:rsidP="009E3BF5">
      <w:pPr>
        <w:pStyle w:val="Heading2"/>
      </w:pPr>
      <w:r w:rsidRPr="003E192C">
        <w:t>Purpose</w:t>
      </w:r>
    </w:p>
    <w:p w14:paraId="5FACDD3D" w14:textId="6E360775" w:rsidR="009E3BF5" w:rsidRPr="009E3BF5" w:rsidRDefault="006D419A" w:rsidP="009E3BF5">
      <w:pPr>
        <w:pStyle w:val="PolicyText1"/>
        <w:rPr>
          <w:rFonts w:ascii="Museo 500" w:eastAsiaTheme="majorEastAsia" w:hAnsi="Museo 500" w:cstheme="majorBidi"/>
          <w:b/>
          <w:bCs/>
          <w:color w:val="365F91" w:themeColor="accent1" w:themeShade="BF"/>
          <w:sz w:val="36"/>
          <w:szCs w:val="28"/>
        </w:rPr>
      </w:pPr>
      <w:r w:rsidRPr="006B63D0">
        <w:t xml:space="preserve">The formal process of maintaining hardware and software ensures that a clearly defined set of procedures </w:t>
      </w:r>
      <w:proofErr w:type="gramStart"/>
      <w:r w:rsidRPr="006B63D0">
        <w:t>is used</w:t>
      </w:r>
      <w:proofErr w:type="gramEnd"/>
      <w:r w:rsidRPr="006B63D0">
        <w:t xml:space="preserve"> to </w:t>
      </w:r>
      <w:r w:rsidR="00BB7109">
        <w:t xml:space="preserve">manage </w:t>
      </w:r>
      <w:r w:rsidR="00946784">
        <w:t xml:space="preserve">system </w:t>
      </w:r>
      <w:r w:rsidR="00BB7109">
        <w:t>resources</w:t>
      </w:r>
      <w:r w:rsidRPr="006B63D0">
        <w:t>.</w:t>
      </w:r>
      <w:r w:rsidR="00BB7109">
        <w:t xml:space="preserve">  </w:t>
      </w:r>
      <w:r w:rsidR="001B046F">
        <w:t>[LEP]</w:t>
      </w:r>
      <w:r w:rsidR="00107483">
        <w:t xml:space="preserve"> has a substantial investment in hardware, software, network devices, and peripherals.  Proper maintenance and support of these assets increases usability and lowers the total cost of ownership to the organization.  </w:t>
      </w:r>
      <w:r w:rsidR="00BB7109">
        <w:t xml:space="preserve">This policy </w:t>
      </w:r>
      <w:proofErr w:type="gramStart"/>
      <w:r w:rsidR="00BB7109">
        <w:t>is designed</w:t>
      </w:r>
      <w:proofErr w:type="gramEnd"/>
      <w:r w:rsidR="00BB7109">
        <w:t xml:space="preserve"> to support preventative</w:t>
      </w:r>
      <w:r w:rsidR="006D746B">
        <w:t xml:space="preserve"> and ongoing maintenance of [LEP] </w:t>
      </w:r>
      <w:r w:rsidR="00BB7109">
        <w:t>computer and software assets.</w:t>
      </w:r>
    </w:p>
    <w:p w14:paraId="3FAAA586" w14:textId="05B06666" w:rsidR="003E192C" w:rsidRPr="009E3BF5" w:rsidRDefault="003E192C" w:rsidP="009E3BF5">
      <w:pPr>
        <w:pStyle w:val="Heading2"/>
      </w:pPr>
      <w:r w:rsidRPr="009E3BF5">
        <w:rPr>
          <w:rStyle w:val="Heading2Char"/>
          <w:b/>
          <w:bCs/>
        </w:rPr>
        <w:t>Scope</w:t>
      </w:r>
    </w:p>
    <w:p w14:paraId="109CE451" w14:textId="77777777" w:rsidR="003E192C" w:rsidRPr="003E192C" w:rsidRDefault="003E192C" w:rsidP="009E3BF5">
      <w:pPr>
        <w:pStyle w:val="PolicyText1"/>
      </w:pPr>
      <w:r w:rsidRPr="003E192C">
        <w:t xml:space="preserve">This policy applies to all </w:t>
      </w:r>
      <w:r w:rsidR="006D746B">
        <w:t xml:space="preserve">[LEP] </w:t>
      </w:r>
      <w:r w:rsidRPr="003E192C">
        <w:t>staff that support</w:t>
      </w:r>
      <w:r w:rsidR="00BB7109">
        <w:t xml:space="preserve"> and maintain computer hardware and software for the organization</w:t>
      </w:r>
      <w:r w:rsidRPr="003E192C">
        <w:t>.</w:t>
      </w:r>
    </w:p>
    <w:p w14:paraId="50240EAD" w14:textId="77777777" w:rsidR="009E3BF5" w:rsidRDefault="003E192C" w:rsidP="009E3BF5">
      <w:pPr>
        <w:pStyle w:val="Heading2"/>
      </w:pPr>
      <w:r w:rsidRPr="009E3BF5">
        <w:t>Policy</w:t>
      </w:r>
    </w:p>
    <w:p w14:paraId="6DEFBAB5" w14:textId="6994C77B" w:rsidR="00D46507" w:rsidRPr="001B046F" w:rsidRDefault="00D46507" w:rsidP="001B046F">
      <w:pPr>
        <w:pStyle w:val="Heading3"/>
        <w:numPr>
          <w:ilvl w:val="0"/>
          <w:numId w:val="42"/>
        </w:numPr>
        <w:rPr>
          <w:rStyle w:val="Heading3Char"/>
          <w:b/>
          <w:bCs/>
        </w:rPr>
      </w:pPr>
      <w:r w:rsidRPr="001B046F">
        <w:rPr>
          <w:rStyle w:val="Heading3Char"/>
          <w:b/>
          <w:bCs/>
        </w:rPr>
        <w:t>General</w:t>
      </w:r>
    </w:p>
    <w:p w14:paraId="20DAB64E" w14:textId="1C13E252" w:rsidR="006D419A" w:rsidRPr="006B63D0" w:rsidRDefault="00107483" w:rsidP="009E3BF5">
      <w:pPr>
        <w:pStyle w:val="PolicyText2"/>
      </w:pPr>
      <w:r>
        <w:t>H</w:t>
      </w:r>
      <w:r w:rsidR="006D419A" w:rsidRPr="006B63D0">
        <w:t xml:space="preserve">ardware and software maintenance and support arrangements </w:t>
      </w:r>
      <w:r>
        <w:t xml:space="preserve">shall be required </w:t>
      </w:r>
      <w:r w:rsidR="006D419A" w:rsidRPr="006B63D0">
        <w:t>for all standard and non-standard</w:t>
      </w:r>
      <w:r>
        <w:t xml:space="preserve"> desktop</w:t>
      </w:r>
      <w:r w:rsidR="006D419A" w:rsidRPr="006B63D0">
        <w:t xml:space="preserve">, </w:t>
      </w:r>
      <w:r>
        <w:t xml:space="preserve">servers, </w:t>
      </w:r>
      <w:r w:rsidR="006D419A" w:rsidRPr="006B63D0">
        <w:t>ne</w:t>
      </w:r>
      <w:r>
        <w:t>twork infrastructure equipment</w:t>
      </w:r>
      <w:r w:rsidR="006D419A" w:rsidRPr="006B63D0">
        <w:t>, peripheral</w:t>
      </w:r>
      <w:r w:rsidR="006D419A">
        <w:t xml:space="preserve">s, and related software.  </w:t>
      </w:r>
      <w:r>
        <w:t>This shall include</w:t>
      </w:r>
      <w:r w:rsidR="006D419A" w:rsidRPr="006B63D0">
        <w:t xml:space="preserve"> applications and systems that are subject to their own </w:t>
      </w:r>
      <w:r>
        <w:t xml:space="preserve">proprietary </w:t>
      </w:r>
      <w:r w:rsidR="006D419A" w:rsidRPr="006B63D0">
        <w:t>maintenance and upgrade policies.</w:t>
      </w:r>
      <w:r w:rsidR="006D419A">
        <w:t xml:space="preserve">  </w:t>
      </w:r>
      <w:r>
        <w:t xml:space="preserve">Service, maintenance and support </w:t>
      </w:r>
      <w:proofErr w:type="gramStart"/>
      <w:r>
        <w:t>shall be properly staff</w:t>
      </w:r>
      <w:r w:rsidR="001B046F">
        <w:t>ed and managed through a</w:t>
      </w:r>
      <w:r>
        <w:t xml:space="preserve"> </w:t>
      </w:r>
      <w:commentRangeStart w:id="0"/>
      <w:r>
        <w:t xml:space="preserve">ticket management system </w:t>
      </w:r>
      <w:commentRangeEnd w:id="0"/>
      <w:r w:rsidR="001B046F">
        <w:rPr>
          <w:rStyle w:val="CommentReference"/>
          <w:rFonts w:asciiTheme="minorHAnsi" w:hAnsiTheme="minorHAnsi" w:cstheme="minorBidi"/>
        </w:rPr>
        <w:commentReference w:id="0"/>
      </w:r>
      <w:r>
        <w:t>and help desk</w:t>
      </w:r>
      <w:proofErr w:type="gramEnd"/>
      <w:r>
        <w:t>.</w:t>
      </w:r>
    </w:p>
    <w:p w14:paraId="01908E41" w14:textId="77777777" w:rsidR="006D419A" w:rsidRPr="001B046F" w:rsidRDefault="00946784" w:rsidP="001B046F">
      <w:pPr>
        <w:pStyle w:val="Heading3"/>
        <w:rPr>
          <w:rStyle w:val="IntenseReference"/>
          <w:b/>
          <w:bCs/>
          <w:smallCaps w:val="0"/>
          <w:spacing w:val="0"/>
          <w:sz w:val="20"/>
          <w:szCs w:val="20"/>
          <w:u w:val="none"/>
        </w:rPr>
      </w:pPr>
      <w:r w:rsidRPr="001B046F">
        <w:rPr>
          <w:rStyle w:val="IntenseReference"/>
          <w:b/>
          <w:bCs/>
          <w:smallCaps w:val="0"/>
          <w:spacing w:val="0"/>
          <w:sz w:val="20"/>
          <w:szCs w:val="20"/>
          <w:u w:val="none"/>
        </w:rPr>
        <w:t xml:space="preserve">B. </w:t>
      </w:r>
      <w:r w:rsidR="00D46507" w:rsidRPr="001B046F">
        <w:rPr>
          <w:rStyle w:val="Heading2Char"/>
          <w:b/>
          <w:sz w:val="20"/>
          <w:szCs w:val="20"/>
        </w:rPr>
        <w:t xml:space="preserve">Computer and Network </w:t>
      </w:r>
      <w:r w:rsidR="006D419A" w:rsidRPr="001B046F">
        <w:rPr>
          <w:rStyle w:val="Heading2Char"/>
          <w:b/>
          <w:sz w:val="20"/>
          <w:szCs w:val="20"/>
        </w:rPr>
        <w:t>Hardware</w:t>
      </w:r>
    </w:p>
    <w:p w14:paraId="21AE04C5" w14:textId="77777777" w:rsidR="006D419A" w:rsidRPr="006B63D0" w:rsidRDefault="006D746B" w:rsidP="009E3BF5">
      <w:pPr>
        <w:pStyle w:val="PolicyText2"/>
      </w:pPr>
      <w:r>
        <w:t xml:space="preserve">[LEP] </w:t>
      </w:r>
      <w:r w:rsidR="00107483">
        <w:t xml:space="preserve">management and the </w:t>
      </w:r>
      <w:r>
        <w:t xml:space="preserve">[LEP] </w:t>
      </w:r>
      <w:commentRangeStart w:id="1"/>
      <w:r w:rsidR="00107483">
        <w:t>Helpdesk</w:t>
      </w:r>
      <w:commentRangeEnd w:id="1"/>
      <w:r>
        <w:rPr>
          <w:rStyle w:val="CommentReference"/>
        </w:rPr>
        <w:commentReference w:id="1"/>
      </w:r>
      <w:r w:rsidR="00107483">
        <w:t xml:space="preserve"> shall</w:t>
      </w:r>
      <w:r w:rsidR="00CA293B">
        <w:t xml:space="preserve"> ensure</w:t>
      </w:r>
      <w:r w:rsidR="00107483">
        <w:t xml:space="preserve">: </w:t>
      </w:r>
      <w:r w:rsidR="006D419A">
        <w:t xml:space="preserve"> </w:t>
      </w:r>
    </w:p>
    <w:p w14:paraId="2BF9B30A" w14:textId="38AC72BA" w:rsidR="006D419A" w:rsidRPr="006B63D0" w:rsidRDefault="00CA293B" w:rsidP="009E3BF5">
      <w:pPr>
        <w:pStyle w:val="PolicyText2"/>
        <w:numPr>
          <w:ilvl w:val="0"/>
          <w:numId w:val="34"/>
        </w:numPr>
      </w:pPr>
      <w:r>
        <w:t>A</w:t>
      </w:r>
      <w:r w:rsidR="00107483">
        <w:t xml:space="preserve">ll infrastructure desktop, </w:t>
      </w:r>
      <w:r w:rsidR="006D419A" w:rsidRPr="006B63D0">
        <w:t>servers</w:t>
      </w:r>
      <w:r w:rsidR="00107483">
        <w:t>, peripherals</w:t>
      </w:r>
      <w:r w:rsidR="006D419A" w:rsidRPr="006B63D0">
        <w:t xml:space="preserve"> and network </w:t>
      </w:r>
      <w:r w:rsidR="00107483">
        <w:t xml:space="preserve">hardware (switches, routers, firewalls) </w:t>
      </w:r>
      <w:r w:rsidR="006D419A" w:rsidRPr="006B63D0">
        <w:t xml:space="preserve">are covered by on-site warranty agreements </w:t>
      </w:r>
      <w:r w:rsidR="00107483">
        <w:t xml:space="preserve">with appropriate response times </w:t>
      </w:r>
      <w:r w:rsidR="006D419A" w:rsidRPr="006B63D0">
        <w:t xml:space="preserve">to meet business </w:t>
      </w:r>
      <w:r w:rsidR="00107483">
        <w:t xml:space="preserve">continuity </w:t>
      </w:r>
      <w:r w:rsidR="006D419A" w:rsidRPr="006B63D0">
        <w:t>needs</w:t>
      </w:r>
    </w:p>
    <w:p w14:paraId="0F0E0F0C" w14:textId="4ABA0CEE" w:rsidR="009E3BF5" w:rsidRDefault="00CA293B" w:rsidP="009E3BF5">
      <w:pPr>
        <w:pStyle w:val="PolicyText2"/>
        <w:numPr>
          <w:ilvl w:val="0"/>
          <w:numId w:val="34"/>
        </w:numPr>
      </w:pPr>
      <w:r>
        <w:t>D</w:t>
      </w:r>
      <w:r w:rsidR="00107483">
        <w:t xml:space="preserve">efective </w:t>
      </w:r>
      <w:r w:rsidR="006D419A" w:rsidRPr="006B63D0">
        <w:t xml:space="preserve">items under warranty </w:t>
      </w:r>
      <w:r>
        <w:t xml:space="preserve">are </w:t>
      </w:r>
      <w:r w:rsidR="006D419A" w:rsidRPr="006B63D0">
        <w:t>repaired</w:t>
      </w:r>
      <w:r>
        <w:t xml:space="preserve"> in a timely fashion</w:t>
      </w:r>
    </w:p>
    <w:p w14:paraId="7B8DDCE9" w14:textId="5E8EEB9D" w:rsidR="006D419A" w:rsidRPr="00C11B3B" w:rsidRDefault="00CA293B" w:rsidP="009E3BF5">
      <w:pPr>
        <w:pStyle w:val="PolicyText2"/>
        <w:numPr>
          <w:ilvl w:val="0"/>
          <w:numId w:val="34"/>
        </w:numPr>
      </w:pPr>
      <w:r w:rsidRPr="00C11B3B">
        <w:t>R</w:t>
      </w:r>
      <w:r w:rsidR="006D419A" w:rsidRPr="00C11B3B">
        <w:t>epairs</w:t>
      </w:r>
      <w:r w:rsidR="00107483" w:rsidRPr="00C11B3B">
        <w:t xml:space="preserve"> or surplus of</w:t>
      </w:r>
      <w:r w:rsidR="006D419A" w:rsidRPr="00C11B3B">
        <w:t xml:space="preserve"> equipment not covered </w:t>
      </w:r>
      <w:r w:rsidR="00107483" w:rsidRPr="00C11B3B">
        <w:t xml:space="preserve">under current </w:t>
      </w:r>
      <w:r w:rsidR="006D419A" w:rsidRPr="00C11B3B">
        <w:t>warranty</w:t>
      </w:r>
      <w:r w:rsidRPr="00C11B3B">
        <w:t xml:space="preserve"> meet</w:t>
      </w:r>
      <w:r w:rsidR="001B046F">
        <w:t xml:space="preserve"> all state and [LEP]</w:t>
      </w:r>
      <w:r w:rsidRPr="00C11B3B">
        <w:t xml:space="preserve"> protocols and procedures</w:t>
      </w:r>
    </w:p>
    <w:p w14:paraId="0C60C342" w14:textId="77777777" w:rsidR="006D419A" w:rsidRPr="006B63D0" w:rsidRDefault="006D419A" w:rsidP="009E3BF5">
      <w:pPr>
        <w:pStyle w:val="PolicyText2"/>
      </w:pPr>
      <w:r w:rsidRPr="006B63D0">
        <w:t xml:space="preserve">The </w:t>
      </w:r>
      <w:r w:rsidR="006D746B">
        <w:t>[LEP] [Insert Appropriate Department]</w:t>
      </w:r>
      <w:r w:rsidRPr="006B63D0">
        <w:t xml:space="preserve"> </w:t>
      </w:r>
      <w:r w:rsidR="00CA293B">
        <w:t xml:space="preserve">under the direction of </w:t>
      </w:r>
      <w:r w:rsidR="006D746B">
        <w:t>[Insert Appropriate Role]</w:t>
      </w:r>
      <w:r w:rsidR="00CA293B">
        <w:t xml:space="preserve"> </w:t>
      </w:r>
      <w:r w:rsidR="00107483">
        <w:t xml:space="preserve">shall centrally </w:t>
      </w:r>
      <w:r w:rsidRPr="006B63D0">
        <w:t xml:space="preserve">procure and install </w:t>
      </w:r>
      <w:r w:rsidR="00CA293B">
        <w:t xml:space="preserve">all </w:t>
      </w:r>
      <w:r w:rsidRPr="006B63D0">
        <w:t xml:space="preserve">network and </w:t>
      </w:r>
      <w:r w:rsidR="00107483">
        <w:t xml:space="preserve">departmental </w:t>
      </w:r>
      <w:r w:rsidRPr="006B63D0">
        <w:t xml:space="preserve">computer hardware including </w:t>
      </w:r>
      <w:r w:rsidR="00CA293B">
        <w:t xml:space="preserve">but not limited to </w:t>
      </w:r>
      <w:r w:rsidR="00107483">
        <w:t xml:space="preserve">desktops, </w:t>
      </w:r>
      <w:r w:rsidR="00CA293B">
        <w:t xml:space="preserve">servers, audio-visual, security, </w:t>
      </w:r>
      <w:r w:rsidR="00107483">
        <w:t xml:space="preserve">laptops, </w:t>
      </w:r>
      <w:r w:rsidRPr="006B63D0">
        <w:t xml:space="preserve">printers, scanners, monitors, keyboards, </w:t>
      </w:r>
      <w:r w:rsidR="00CA293B">
        <w:t xml:space="preserve">and </w:t>
      </w:r>
      <w:r w:rsidRPr="006B63D0">
        <w:t>mice</w:t>
      </w:r>
      <w:r w:rsidR="00CA293B">
        <w:t xml:space="preserve">.  </w:t>
      </w:r>
      <w:r w:rsidRPr="006B63D0">
        <w:t xml:space="preserve">This </w:t>
      </w:r>
      <w:r w:rsidR="00CA293B">
        <w:t>shall ensure</w:t>
      </w:r>
      <w:r w:rsidRPr="006B63D0">
        <w:t>:</w:t>
      </w:r>
    </w:p>
    <w:p w14:paraId="772F665B" w14:textId="185115D4" w:rsidR="006D419A" w:rsidRDefault="006D419A" w:rsidP="009E3BF5">
      <w:pPr>
        <w:pStyle w:val="PolicyText2"/>
        <w:numPr>
          <w:ilvl w:val="0"/>
          <w:numId w:val="35"/>
        </w:numPr>
      </w:pPr>
      <w:r w:rsidRPr="006B63D0">
        <w:t xml:space="preserve">The equipment is compatible with existing </w:t>
      </w:r>
      <w:r w:rsidR="006D746B">
        <w:t xml:space="preserve">[LEP] </w:t>
      </w:r>
      <w:r w:rsidR="00CA293B">
        <w:t>hardware standards and software</w:t>
      </w:r>
    </w:p>
    <w:p w14:paraId="7076B7C7" w14:textId="79BF1EE2" w:rsidR="00CA293B" w:rsidRPr="006B63D0" w:rsidRDefault="00CA293B" w:rsidP="009E3BF5">
      <w:pPr>
        <w:pStyle w:val="PolicyText2"/>
        <w:numPr>
          <w:ilvl w:val="0"/>
          <w:numId w:val="35"/>
        </w:numPr>
      </w:pPr>
      <w:r>
        <w:t>Hardware and software standards are enforced</w:t>
      </w:r>
    </w:p>
    <w:p w14:paraId="15753DEA" w14:textId="3410BF23" w:rsidR="006D419A" w:rsidRPr="006B63D0" w:rsidRDefault="00CA293B" w:rsidP="009E3BF5">
      <w:pPr>
        <w:pStyle w:val="PolicyText2"/>
        <w:numPr>
          <w:ilvl w:val="0"/>
          <w:numId w:val="35"/>
        </w:numPr>
      </w:pPr>
      <w:r>
        <w:lastRenderedPageBreak/>
        <w:t>Centralized</w:t>
      </w:r>
      <w:r w:rsidR="006D419A" w:rsidRPr="006B63D0">
        <w:t xml:space="preserve"> purchasing </w:t>
      </w:r>
      <w:r>
        <w:t xml:space="preserve">supplies the </w:t>
      </w:r>
      <w:r w:rsidR="006D419A" w:rsidRPr="006B63D0">
        <w:t xml:space="preserve">best price </w:t>
      </w:r>
      <w:r>
        <w:t>for goods</w:t>
      </w:r>
    </w:p>
    <w:p w14:paraId="4DD4EDC8" w14:textId="01815F16" w:rsidR="006D419A" w:rsidRDefault="006D419A" w:rsidP="009E3BF5">
      <w:pPr>
        <w:pStyle w:val="PolicyText2"/>
        <w:numPr>
          <w:ilvl w:val="0"/>
          <w:numId w:val="35"/>
        </w:numPr>
      </w:pPr>
      <w:r w:rsidRPr="006B63D0">
        <w:t xml:space="preserve">Equipment is </w:t>
      </w:r>
      <w:r w:rsidR="00CA293B">
        <w:t xml:space="preserve">covered </w:t>
      </w:r>
      <w:r w:rsidRPr="006B63D0">
        <w:t xml:space="preserve">under </w:t>
      </w:r>
      <w:r w:rsidR="00CA293B">
        <w:t xml:space="preserve">appropriate </w:t>
      </w:r>
      <w:r w:rsidRPr="006B63D0">
        <w:t>warranty and maintenance support agreements</w:t>
      </w:r>
    </w:p>
    <w:p w14:paraId="7CB2FF33" w14:textId="5B297966" w:rsidR="00CA293B" w:rsidRPr="006B63D0" w:rsidRDefault="00CA293B" w:rsidP="009E3BF5">
      <w:pPr>
        <w:pStyle w:val="PolicyText2"/>
        <w:numPr>
          <w:ilvl w:val="0"/>
          <w:numId w:val="35"/>
        </w:numPr>
      </w:pPr>
      <w:r>
        <w:t>Configuration management and security policy implementation are consistent and minimize organizational risks</w:t>
      </w:r>
    </w:p>
    <w:p w14:paraId="79F536CB" w14:textId="612336EA" w:rsidR="006D419A" w:rsidRPr="00C11B3B" w:rsidRDefault="006D419A" w:rsidP="009E3BF5">
      <w:pPr>
        <w:pStyle w:val="PolicyText2"/>
        <w:numPr>
          <w:ilvl w:val="0"/>
          <w:numId w:val="35"/>
        </w:numPr>
      </w:pPr>
      <w:r w:rsidRPr="00C11B3B">
        <w:t xml:space="preserve">The equipment is properly configured and has </w:t>
      </w:r>
      <w:r w:rsidR="00CA293B" w:rsidRPr="00C11B3B">
        <w:t xml:space="preserve">appropriate </w:t>
      </w:r>
      <w:r w:rsidRPr="00C11B3B">
        <w:t>security controls</w:t>
      </w:r>
      <w:r w:rsidR="00CA293B" w:rsidRPr="00C11B3B">
        <w:t>/software</w:t>
      </w:r>
    </w:p>
    <w:p w14:paraId="4F43FFE8" w14:textId="56FF83A6" w:rsidR="006D419A" w:rsidRPr="001B046F" w:rsidRDefault="001B046F" w:rsidP="001B046F">
      <w:pPr>
        <w:pStyle w:val="Heading3"/>
        <w:rPr>
          <w:rStyle w:val="IntenseReference"/>
          <w:b/>
          <w:bCs/>
          <w:smallCaps w:val="0"/>
          <w:spacing w:val="0"/>
          <w:sz w:val="24"/>
          <w:szCs w:val="26"/>
          <w:u w:val="none"/>
        </w:rPr>
      </w:pPr>
      <w:r>
        <w:rPr>
          <w:rStyle w:val="IntenseReference"/>
          <w:b/>
          <w:bCs/>
          <w:smallCaps w:val="0"/>
          <w:spacing w:val="0"/>
          <w:sz w:val="24"/>
          <w:szCs w:val="26"/>
          <w:u w:val="none"/>
        </w:rPr>
        <w:t>D.</w:t>
      </w:r>
      <w:r>
        <w:rPr>
          <w:rStyle w:val="IntenseReference"/>
          <w:b/>
          <w:bCs/>
          <w:smallCaps w:val="0"/>
          <w:spacing w:val="0"/>
          <w:sz w:val="24"/>
          <w:szCs w:val="26"/>
          <w:u w:val="none"/>
        </w:rPr>
        <w:tab/>
      </w:r>
      <w:r w:rsidR="00D46507" w:rsidRPr="001B046F">
        <w:rPr>
          <w:rStyle w:val="IntenseReference"/>
          <w:b/>
          <w:bCs/>
          <w:smallCaps w:val="0"/>
          <w:spacing w:val="0"/>
          <w:sz w:val="24"/>
          <w:szCs w:val="26"/>
          <w:u w:val="none"/>
        </w:rPr>
        <w:t xml:space="preserve">System and Application </w:t>
      </w:r>
      <w:r w:rsidR="006D419A" w:rsidRPr="001B046F">
        <w:rPr>
          <w:rStyle w:val="IntenseReference"/>
          <w:b/>
          <w:bCs/>
          <w:smallCaps w:val="0"/>
          <w:spacing w:val="0"/>
          <w:sz w:val="24"/>
          <w:szCs w:val="26"/>
          <w:u w:val="none"/>
        </w:rPr>
        <w:t>Software</w:t>
      </w:r>
    </w:p>
    <w:p w14:paraId="7EBD525A" w14:textId="77777777" w:rsidR="006D419A" w:rsidRPr="006B63D0" w:rsidRDefault="00D46507" w:rsidP="009E3BF5">
      <w:pPr>
        <w:pStyle w:val="PolicyText2"/>
      </w:pPr>
      <w:r>
        <w:t>For the purposes of this p</w:t>
      </w:r>
      <w:r w:rsidR="006D419A" w:rsidRPr="006B63D0">
        <w:t xml:space="preserve">olicy, </w:t>
      </w:r>
      <w:r w:rsidR="00F3211A">
        <w:t xml:space="preserve">computer </w:t>
      </w:r>
      <w:r w:rsidR="006D419A" w:rsidRPr="006B63D0">
        <w:t xml:space="preserve">software </w:t>
      </w:r>
      <w:r w:rsidR="00F3211A">
        <w:t>shall include</w:t>
      </w:r>
      <w:r w:rsidR="006D419A" w:rsidRPr="006B63D0">
        <w:t>:</w:t>
      </w:r>
    </w:p>
    <w:p w14:paraId="400D3630" w14:textId="27786BA0" w:rsidR="006D419A" w:rsidRPr="006B63D0" w:rsidRDefault="006D419A" w:rsidP="009E3BF5">
      <w:pPr>
        <w:pStyle w:val="PolicyText2"/>
        <w:numPr>
          <w:ilvl w:val="0"/>
          <w:numId w:val="37"/>
        </w:numPr>
      </w:pPr>
      <w:r w:rsidRPr="006B63D0">
        <w:t>Operating systems, virtualization,</w:t>
      </w:r>
      <w:r w:rsidR="00B15CF0">
        <w:t xml:space="preserve"> firmware, and related software</w:t>
      </w:r>
    </w:p>
    <w:p w14:paraId="55E4B411" w14:textId="51C5984A" w:rsidR="006D419A" w:rsidRPr="006B63D0" w:rsidRDefault="006D419A" w:rsidP="00B15CF0">
      <w:pPr>
        <w:pStyle w:val="PolicyText2"/>
        <w:numPr>
          <w:ilvl w:val="0"/>
          <w:numId w:val="37"/>
        </w:numPr>
        <w:tabs>
          <w:tab w:val="left" w:pos="8640"/>
        </w:tabs>
      </w:pPr>
      <w:r w:rsidRPr="006B63D0">
        <w:t xml:space="preserve">Major applications such as </w:t>
      </w:r>
      <w:r w:rsidR="00F3211A">
        <w:t xml:space="preserve">general financials and ERP, student information systems, learning management systems, </w:t>
      </w:r>
      <w:r w:rsidR="001B046F">
        <w:t>e</w:t>
      </w:r>
      <w:r w:rsidRPr="006B63D0">
        <w:t xml:space="preserve">mail, </w:t>
      </w:r>
      <w:r w:rsidR="00F3211A">
        <w:t>and related databases/</w:t>
      </w:r>
      <w:r w:rsidRPr="006B63D0">
        <w:t>interfaces</w:t>
      </w:r>
    </w:p>
    <w:p w14:paraId="41DCC7D8" w14:textId="3105C1CC" w:rsidR="006D419A" w:rsidRPr="006B63D0" w:rsidRDefault="006D419A" w:rsidP="009E3BF5">
      <w:pPr>
        <w:pStyle w:val="PolicyText2"/>
        <w:numPr>
          <w:ilvl w:val="0"/>
          <w:numId w:val="37"/>
        </w:numPr>
      </w:pPr>
      <w:r w:rsidRPr="006B63D0">
        <w:t>Office productivity software including spre</w:t>
      </w:r>
      <w:r>
        <w:t>adsheets</w:t>
      </w:r>
      <w:r w:rsidRPr="006B63D0">
        <w:t>, word processing, presentation, etc.</w:t>
      </w:r>
    </w:p>
    <w:p w14:paraId="4DEB70E0" w14:textId="7867611E" w:rsidR="006D419A" w:rsidRPr="006B63D0" w:rsidRDefault="006D419A" w:rsidP="009E3BF5">
      <w:pPr>
        <w:pStyle w:val="PolicyText2"/>
        <w:numPr>
          <w:ilvl w:val="0"/>
          <w:numId w:val="37"/>
        </w:numPr>
      </w:pPr>
      <w:proofErr w:type="gramStart"/>
      <w:r w:rsidRPr="006B63D0">
        <w:t>Third</w:t>
      </w:r>
      <w:proofErr w:type="gramEnd"/>
      <w:r w:rsidRPr="006B63D0">
        <w:t xml:space="preserve"> party </w:t>
      </w:r>
      <w:r w:rsidR="00F3211A">
        <w:t xml:space="preserve">utility and productivity </w:t>
      </w:r>
      <w:r w:rsidRPr="006B63D0">
        <w:t>applications such as Internet browsers, Adobe Acrobat Reader, media players, Flash Player, etc.</w:t>
      </w:r>
    </w:p>
    <w:p w14:paraId="5C561F2F" w14:textId="2603BC9C" w:rsidR="006D419A" w:rsidRPr="006B63D0" w:rsidRDefault="006D419A" w:rsidP="009E3BF5">
      <w:pPr>
        <w:pStyle w:val="PolicyText2"/>
        <w:numPr>
          <w:ilvl w:val="0"/>
          <w:numId w:val="37"/>
        </w:numPr>
      </w:pPr>
      <w:r w:rsidRPr="006B63D0">
        <w:t>Security protection software such as firewalls, anti-malware, etc.</w:t>
      </w:r>
    </w:p>
    <w:p w14:paraId="6EF737CC" w14:textId="24702D72" w:rsidR="006D419A" w:rsidRPr="00946784" w:rsidRDefault="006D419A" w:rsidP="009E3BF5">
      <w:pPr>
        <w:pStyle w:val="PolicyText2"/>
        <w:numPr>
          <w:ilvl w:val="0"/>
          <w:numId w:val="37"/>
        </w:numPr>
      </w:pPr>
      <w:r w:rsidRPr="00946784">
        <w:t>Utilities and other tools</w:t>
      </w:r>
    </w:p>
    <w:p w14:paraId="1D247244" w14:textId="229CED0F" w:rsidR="006D419A" w:rsidRPr="006B63D0" w:rsidRDefault="00946784" w:rsidP="009E3BF5">
      <w:pPr>
        <w:pStyle w:val="PolicyText2"/>
      </w:pPr>
      <w:commentRangeStart w:id="2"/>
      <w:r>
        <w:t xml:space="preserve">IT </w:t>
      </w:r>
      <w:r w:rsidR="006D746B">
        <w:t>s</w:t>
      </w:r>
      <w:r>
        <w:t xml:space="preserve">upport </w:t>
      </w:r>
      <w:commentRangeEnd w:id="2"/>
      <w:r w:rsidR="006D746B">
        <w:rPr>
          <w:rStyle w:val="CommentReference"/>
        </w:rPr>
        <w:commentReference w:id="2"/>
      </w:r>
      <w:r w:rsidR="006D419A" w:rsidRPr="006B63D0">
        <w:t xml:space="preserve">shall be responsible for the installation and maintenance of </w:t>
      </w:r>
      <w:r w:rsidR="001B046F">
        <w:t>all [LEP]</w:t>
      </w:r>
      <w:r w:rsidR="00F3211A">
        <w:t xml:space="preserve"> </w:t>
      </w:r>
      <w:r w:rsidR="006D419A" w:rsidRPr="006B63D0">
        <w:t xml:space="preserve">software.  </w:t>
      </w:r>
      <w:r w:rsidR="00DF2858">
        <w:t xml:space="preserve">IT </w:t>
      </w:r>
      <w:r w:rsidR="006D746B">
        <w:t>s</w:t>
      </w:r>
      <w:r>
        <w:t xml:space="preserve">upport </w:t>
      </w:r>
      <w:r w:rsidR="00F3211A">
        <w:t xml:space="preserve">under the direction of the </w:t>
      </w:r>
      <w:r w:rsidR="006D746B">
        <w:t>[Insert Appropriate Role]</w:t>
      </w:r>
      <w:r w:rsidR="00F3211A">
        <w:t xml:space="preserve"> </w:t>
      </w:r>
      <w:r w:rsidR="006D419A" w:rsidRPr="006B63D0">
        <w:t>shall:</w:t>
      </w:r>
    </w:p>
    <w:p w14:paraId="1A405693" w14:textId="7E8C2ABA" w:rsidR="00F3211A" w:rsidRDefault="006D419A" w:rsidP="009E3BF5">
      <w:pPr>
        <w:pStyle w:val="PolicyText2"/>
        <w:numPr>
          <w:ilvl w:val="0"/>
          <w:numId w:val="38"/>
        </w:numPr>
      </w:pPr>
      <w:r>
        <w:t>Develop configuration standards for all system components that address all known security vulnerabilities and are consistent with industry accepted definitions</w:t>
      </w:r>
    </w:p>
    <w:p w14:paraId="3145FDE6" w14:textId="38714BFD" w:rsidR="006D419A" w:rsidRDefault="00F3211A" w:rsidP="009E3BF5">
      <w:pPr>
        <w:pStyle w:val="PolicyText2"/>
        <w:numPr>
          <w:ilvl w:val="0"/>
          <w:numId w:val="38"/>
        </w:numPr>
      </w:pPr>
      <w:r>
        <w:t>Periodically u</w:t>
      </w:r>
      <w:r w:rsidR="006D419A">
        <w:t>pdate system configuration standards as new</w:t>
      </w:r>
      <w:r w:rsidR="00B15CF0">
        <w:t xml:space="preserve"> vulnerabilities are identified</w:t>
      </w:r>
    </w:p>
    <w:p w14:paraId="652A38BE" w14:textId="6F01FB61" w:rsidR="006D419A" w:rsidRPr="006B63D0" w:rsidRDefault="006D419A" w:rsidP="009E3BF5">
      <w:pPr>
        <w:pStyle w:val="PolicyText2"/>
        <w:numPr>
          <w:ilvl w:val="0"/>
          <w:numId w:val="38"/>
        </w:numPr>
      </w:pPr>
      <w:r w:rsidRPr="006B63D0">
        <w:t xml:space="preserve">Install and maintain </w:t>
      </w:r>
      <w:r w:rsidR="00F3211A">
        <w:t xml:space="preserve">system and end-user </w:t>
      </w:r>
      <w:r w:rsidR="00B15CF0">
        <w:t>software</w:t>
      </w:r>
    </w:p>
    <w:p w14:paraId="1FCFC936" w14:textId="3A159C1E" w:rsidR="006D419A" w:rsidRPr="006B63D0" w:rsidRDefault="006D419A" w:rsidP="009E3BF5">
      <w:pPr>
        <w:pStyle w:val="PolicyText2"/>
        <w:numPr>
          <w:ilvl w:val="0"/>
          <w:numId w:val="38"/>
        </w:numPr>
      </w:pPr>
      <w:r w:rsidRPr="006B63D0">
        <w:t xml:space="preserve">Maintain </w:t>
      </w:r>
      <w:r w:rsidR="00F3211A">
        <w:t xml:space="preserve">appropriate </w:t>
      </w:r>
      <w:r w:rsidRPr="006B63D0">
        <w:t>software license records</w:t>
      </w:r>
      <w:r w:rsidR="00F3211A">
        <w:t xml:space="preserve"> for compliance purposes</w:t>
      </w:r>
    </w:p>
    <w:p w14:paraId="0166DD96" w14:textId="77674FCB" w:rsidR="006D419A" w:rsidRPr="006B63D0" w:rsidRDefault="006D419A" w:rsidP="009E3BF5">
      <w:pPr>
        <w:pStyle w:val="PolicyText2"/>
        <w:numPr>
          <w:ilvl w:val="0"/>
          <w:numId w:val="38"/>
        </w:numPr>
      </w:pPr>
      <w:r w:rsidRPr="006B63D0">
        <w:t>Fully test application</w:t>
      </w:r>
      <w:r w:rsidR="00F3211A">
        <w:t>s</w:t>
      </w:r>
      <w:r w:rsidRPr="006B63D0">
        <w:t xml:space="preserve"> </w:t>
      </w:r>
      <w:r w:rsidR="00F3211A">
        <w:t xml:space="preserve">to </w:t>
      </w:r>
      <w:r w:rsidRPr="006B63D0">
        <w:t xml:space="preserve">ensure </w:t>
      </w:r>
      <w:r w:rsidR="00F3211A">
        <w:t>they are compatible with and run</w:t>
      </w:r>
      <w:r w:rsidRPr="006B63D0">
        <w:t xml:space="preserve"> on standard </w:t>
      </w:r>
      <w:r w:rsidR="001B046F">
        <w:t>[LEP]</w:t>
      </w:r>
      <w:r w:rsidR="00F3211A">
        <w:t xml:space="preserve"> </w:t>
      </w:r>
      <w:r w:rsidR="00B15CF0">
        <w:t>hardware</w:t>
      </w:r>
    </w:p>
    <w:p w14:paraId="624F631C" w14:textId="516D1B0D" w:rsidR="006D419A" w:rsidRPr="006B63D0" w:rsidRDefault="00F3211A" w:rsidP="009E3BF5">
      <w:pPr>
        <w:pStyle w:val="PolicyText2"/>
        <w:numPr>
          <w:ilvl w:val="0"/>
          <w:numId w:val="38"/>
        </w:numPr>
      </w:pPr>
      <w:r>
        <w:t>S</w:t>
      </w:r>
      <w:r w:rsidR="006D419A" w:rsidRPr="006B63D0">
        <w:t>ubscribe to vendor software maintenance</w:t>
      </w:r>
      <w:r>
        <w:t xml:space="preserve"> programs where appropriate and applicable</w:t>
      </w:r>
    </w:p>
    <w:p w14:paraId="1A9A1C0A" w14:textId="61B3A8BF" w:rsidR="006D419A" w:rsidRPr="006B63D0" w:rsidRDefault="00F3211A" w:rsidP="009E3BF5">
      <w:pPr>
        <w:pStyle w:val="PolicyText2"/>
        <w:numPr>
          <w:ilvl w:val="0"/>
          <w:numId w:val="38"/>
        </w:numPr>
      </w:pPr>
      <w:r>
        <w:t xml:space="preserve">Tune and analyze operational </w:t>
      </w:r>
      <w:r w:rsidR="006D419A" w:rsidRPr="006B63D0">
        <w:t xml:space="preserve">software </w:t>
      </w:r>
      <w:r>
        <w:t>configurations for optimum performance</w:t>
      </w:r>
    </w:p>
    <w:p w14:paraId="25327C08" w14:textId="568BCDB1" w:rsidR="006D419A" w:rsidRPr="006B63D0" w:rsidRDefault="006D419A" w:rsidP="009E3BF5">
      <w:pPr>
        <w:pStyle w:val="PolicyText2"/>
        <w:numPr>
          <w:ilvl w:val="0"/>
          <w:numId w:val="38"/>
        </w:numPr>
      </w:pPr>
      <w:r w:rsidRPr="006B63D0">
        <w:t xml:space="preserve">Ensure software and </w:t>
      </w:r>
      <w:r w:rsidR="00F3211A">
        <w:t xml:space="preserve">user </w:t>
      </w:r>
      <w:r w:rsidRPr="006B63D0">
        <w:t>data are fully back</w:t>
      </w:r>
      <w:r w:rsidR="00B15CF0">
        <w:t>ed up in the event of a failure</w:t>
      </w:r>
      <w:r w:rsidR="00D46507">
        <w:br/>
      </w:r>
    </w:p>
    <w:p w14:paraId="4C5EE919" w14:textId="54D654A4" w:rsidR="00B15CF0" w:rsidRDefault="00D46507" w:rsidP="009E3BF5">
      <w:pPr>
        <w:pStyle w:val="PolicyText2"/>
        <w:numPr>
          <w:ilvl w:val="0"/>
          <w:numId w:val="38"/>
        </w:numPr>
      </w:pPr>
      <w:r>
        <w:lastRenderedPageBreak/>
        <w:t>Update</w:t>
      </w:r>
      <w:r w:rsidR="006D419A" w:rsidRPr="006B63D0">
        <w:t xml:space="preserve"> critical system patc</w:t>
      </w:r>
      <w:r w:rsidR="00B15CF0">
        <w:t>hes within 30 days of release</w:t>
      </w:r>
    </w:p>
    <w:p w14:paraId="02A88FA9" w14:textId="0CBBEA30" w:rsidR="00D46507" w:rsidRPr="006B63D0" w:rsidRDefault="006D419A" w:rsidP="009E3BF5">
      <w:pPr>
        <w:pStyle w:val="PolicyText2"/>
        <w:numPr>
          <w:ilvl w:val="0"/>
          <w:numId w:val="38"/>
        </w:numPr>
      </w:pPr>
      <w:r w:rsidRPr="006B63D0">
        <w:t xml:space="preserve">Patches </w:t>
      </w:r>
      <w:r w:rsidR="00D46507">
        <w:t xml:space="preserve">shall </w:t>
      </w:r>
      <w:r w:rsidRPr="006B63D0">
        <w:t xml:space="preserve">be tested before </w:t>
      </w:r>
      <w:r w:rsidR="00D46507">
        <w:t xml:space="preserve">deployment </w:t>
      </w:r>
      <w:r w:rsidR="00B15CF0">
        <w:t>to production environments</w:t>
      </w:r>
    </w:p>
    <w:p w14:paraId="179BE56B" w14:textId="3A06A8B8" w:rsidR="006D419A" w:rsidRPr="00D46507" w:rsidRDefault="006D419A" w:rsidP="009E3BF5">
      <w:pPr>
        <w:pStyle w:val="PolicyText2"/>
        <w:numPr>
          <w:ilvl w:val="0"/>
          <w:numId w:val="38"/>
        </w:numPr>
      </w:pPr>
      <w:r w:rsidRPr="00D46507">
        <w:t xml:space="preserve">Ensure third party vendors </w:t>
      </w:r>
      <w:r w:rsidR="00D46507" w:rsidRPr="00D46507">
        <w:t xml:space="preserve">and contractors </w:t>
      </w:r>
      <w:r w:rsidRPr="00D46507">
        <w:t xml:space="preserve">work in conjunction with the </w:t>
      </w:r>
      <w:r w:rsidR="006D746B">
        <w:t>[Insert Appropriate Department, Group</w:t>
      </w:r>
      <w:r w:rsidR="00B15CF0">
        <w:t>,</w:t>
      </w:r>
      <w:r w:rsidR="006D746B">
        <w:t xml:space="preserve"> or Role]</w:t>
      </w:r>
      <w:r w:rsidR="00D46507" w:rsidRPr="00D46507">
        <w:t xml:space="preserve"> and uphold all </w:t>
      </w:r>
      <w:r w:rsidR="006D746B">
        <w:t xml:space="preserve">[LEP] </w:t>
      </w:r>
      <w:r w:rsidR="00D46507" w:rsidRPr="00D46507">
        <w:t>policies and procedures</w:t>
      </w:r>
    </w:p>
    <w:p w14:paraId="52BCF4FE" w14:textId="003018A5" w:rsidR="003E192C" w:rsidRDefault="001B046F" w:rsidP="009E3BF5">
      <w:pPr>
        <w:pStyle w:val="PolicyText1"/>
      </w:pPr>
      <w:r>
        <w:t xml:space="preserve">Individuals seeking exceptions to this policy must seek approval from [LEP] management and the [Insert Appropriate Role] </w:t>
      </w:r>
      <w:r w:rsidRPr="00B15CF0">
        <w:rPr>
          <w:b/>
        </w:rPr>
        <w:t>PRIOR</w:t>
      </w:r>
      <w:r>
        <w:t xml:space="preserve"> to purchasing any specialized, non-standard hardware, software, or equipment</w:t>
      </w:r>
      <w:r w:rsidR="006D419A" w:rsidRPr="006B63D0">
        <w:t xml:space="preserve">.  </w:t>
      </w:r>
      <w:r w:rsidR="00946784">
        <w:t>S</w:t>
      </w:r>
      <w:r w:rsidR="006D419A" w:rsidRPr="006B63D0">
        <w:t xml:space="preserve">upport for non-standard hardware, software, or other equipment </w:t>
      </w:r>
      <w:proofErr w:type="gramStart"/>
      <w:r w:rsidR="00667C7B">
        <w:t xml:space="preserve">shall be </w:t>
      </w:r>
      <w:r w:rsidR="006D419A" w:rsidRPr="006B63D0">
        <w:t xml:space="preserve">assessed and agreed </w:t>
      </w:r>
      <w:r w:rsidR="00667C7B">
        <w:t xml:space="preserve">upon </w:t>
      </w:r>
      <w:r w:rsidR="006D419A" w:rsidRPr="006B63D0">
        <w:t xml:space="preserve">on a </w:t>
      </w:r>
      <w:r w:rsidR="00667C7B">
        <w:t xml:space="preserve">case-by case </w:t>
      </w:r>
      <w:r w:rsidR="006D419A">
        <w:t>basis</w:t>
      </w:r>
      <w:r>
        <w:t xml:space="preserve"> by [LEP]</w:t>
      </w:r>
      <w:r w:rsidR="00D46507">
        <w:t xml:space="preserve"> management</w:t>
      </w:r>
      <w:proofErr w:type="gramEnd"/>
      <w:r w:rsidR="006D419A">
        <w:t>.</w:t>
      </w:r>
      <w:r w:rsidR="00C11B3B">
        <w:br/>
      </w:r>
      <w:r w:rsidR="00C11B3B">
        <w:br/>
      </w:r>
      <w:r w:rsidR="009E3BF5">
        <w:rPr>
          <w:rStyle w:val="Heading2Char"/>
        </w:rPr>
        <w:t xml:space="preserve">5.   </w:t>
      </w:r>
      <w:r w:rsidR="003E192C" w:rsidRPr="009E3BF5">
        <w:rPr>
          <w:rStyle w:val="Heading2Char"/>
        </w:rPr>
        <w:t>Audit Controls and Management</w:t>
      </w:r>
      <w:r w:rsidR="00C11B3B">
        <w:rPr>
          <w:rFonts w:ascii="Museo 500" w:eastAsiaTheme="majorEastAsia" w:hAnsi="Museo 500" w:cstheme="majorBidi"/>
          <w:b/>
          <w:bCs/>
          <w:color w:val="365F91" w:themeColor="accent1" w:themeShade="BF"/>
          <w:sz w:val="36"/>
          <w:szCs w:val="28"/>
        </w:rPr>
        <w:br/>
      </w:r>
      <w:r w:rsidR="003E192C" w:rsidRPr="003E192C">
        <w:t xml:space="preserve">On-demand documented procedures and evidence of practice should be in place for this operational policy as part of the </w:t>
      </w:r>
      <w:r w:rsidR="009E3BF5">
        <w:t>[LEP]</w:t>
      </w:r>
      <w:r w:rsidR="003E192C" w:rsidRPr="003E192C">
        <w:t xml:space="preserve"> internal </w:t>
      </w:r>
      <w:r w:rsidR="00D46507">
        <w:t>processes and procedures</w:t>
      </w:r>
      <w:r w:rsidR="003E192C" w:rsidRPr="003E192C">
        <w:t>.</w:t>
      </w:r>
      <w:r w:rsidR="00D46507">
        <w:t xml:space="preserve">  Example audit control and management evidence includes:</w:t>
      </w:r>
    </w:p>
    <w:p w14:paraId="360F8AD1" w14:textId="2C836CD1" w:rsidR="00D46507" w:rsidRPr="001E7C16" w:rsidRDefault="00D46507" w:rsidP="009E3BF5">
      <w:pPr>
        <w:pStyle w:val="PolicyText1"/>
        <w:numPr>
          <w:ilvl w:val="0"/>
          <w:numId w:val="39"/>
        </w:numPr>
      </w:pPr>
      <w:r w:rsidRPr="001E7C16">
        <w:t>Documented hardware and software standards with evidence of regular review and update</w:t>
      </w:r>
    </w:p>
    <w:p w14:paraId="0D4D45E7" w14:textId="48F25CD3" w:rsidR="00D46507" w:rsidRPr="001E7C16" w:rsidRDefault="00D46507" w:rsidP="009E3BF5">
      <w:pPr>
        <w:pStyle w:val="PolicyText1"/>
        <w:numPr>
          <w:ilvl w:val="0"/>
          <w:numId w:val="39"/>
        </w:numPr>
      </w:pPr>
      <w:r w:rsidRPr="001E7C16">
        <w:t>Asset and software management and tracking systems and tools</w:t>
      </w:r>
    </w:p>
    <w:p w14:paraId="687F5774" w14:textId="14DFEEC2" w:rsidR="00D46507" w:rsidRPr="001E7C16" w:rsidRDefault="00D46507" w:rsidP="009E3BF5">
      <w:pPr>
        <w:pStyle w:val="PolicyText1"/>
        <w:numPr>
          <w:ilvl w:val="0"/>
          <w:numId w:val="39"/>
        </w:numPr>
      </w:pPr>
      <w:r w:rsidRPr="001E7C16">
        <w:t>Hardware and software configuration standards, tools, and orderly system builds</w:t>
      </w:r>
    </w:p>
    <w:p w14:paraId="784AE13E" w14:textId="6DD755BA" w:rsidR="00D46507" w:rsidRPr="001E7C16" w:rsidRDefault="00D46507" w:rsidP="009E3BF5">
      <w:pPr>
        <w:pStyle w:val="PolicyText1"/>
        <w:numPr>
          <w:ilvl w:val="0"/>
          <w:numId w:val="39"/>
        </w:numPr>
      </w:pPr>
      <w:r w:rsidRPr="001E7C16">
        <w:t>Exception logs for user standards hardware/software deviation</w:t>
      </w:r>
    </w:p>
    <w:p w14:paraId="6BAFFB23" w14:textId="7900A4D2" w:rsidR="00D46507" w:rsidRPr="001E7C16" w:rsidRDefault="001E7C16" w:rsidP="009E3BF5">
      <w:pPr>
        <w:pStyle w:val="PolicyText1"/>
        <w:numPr>
          <w:ilvl w:val="0"/>
          <w:numId w:val="39"/>
        </w:numPr>
      </w:pPr>
      <w:r w:rsidRPr="001E7C16">
        <w:t>Regular and operational d</w:t>
      </w:r>
      <w:r w:rsidR="00D46507" w:rsidRPr="001E7C16">
        <w:t>emonstration of patch, change and configuration management processes and procedures/notifications</w:t>
      </w:r>
    </w:p>
    <w:p w14:paraId="5942520B" w14:textId="5A4CD347" w:rsidR="003E192C" w:rsidRPr="009E3BF5" w:rsidRDefault="003E192C" w:rsidP="009E3BF5">
      <w:pPr>
        <w:pStyle w:val="Heading2"/>
      </w:pPr>
      <w:r w:rsidRPr="009E3BF5">
        <w:t xml:space="preserve">Enforcement  </w:t>
      </w:r>
    </w:p>
    <w:p w14:paraId="6052523A" w14:textId="77777777" w:rsidR="003E192C" w:rsidRPr="003E192C" w:rsidRDefault="003E192C" w:rsidP="009E3BF5">
      <w:pPr>
        <w:pStyle w:val="PolicyText1"/>
      </w:pPr>
      <w:r w:rsidRPr="003E192C">
        <w:t>Staff members found in policy violation may be subject to disciplinary action, up to and including termination.</w:t>
      </w:r>
    </w:p>
    <w:p w14:paraId="512959EE" w14:textId="1809B6AD" w:rsidR="003E192C" w:rsidRPr="003E192C" w:rsidRDefault="003E192C" w:rsidP="009E3BF5">
      <w:pPr>
        <w:pStyle w:val="Heading2"/>
      </w:pPr>
      <w:r w:rsidRPr="003E192C">
        <w:t>Distribution</w:t>
      </w:r>
    </w:p>
    <w:p w14:paraId="3A6BD7A7" w14:textId="4930FCC3" w:rsidR="003E192C" w:rsidRPr="003E192C" w:rsidRDefault="003E192C" w:rsidP="009E3BF5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6D746B">
        <w:t xml:space="preserve">[LEP] </w:t>
      </w:r>
      <w:r w:rsidRPr="003E192C">
        <w:t xml:space="preserve">staff and contractors using </w:t>
      </w:r>
      <w:r w:rsidR="006D746B">
        <w:t>[LEP] information r</w:t>
      </w:r>
      <w:r w:rsidRPr="003E192C">
        <w:t>esources.</w:t>
      </w:r>
    </w:p>
    <w:p w14:paraId="563CF37D" w14:textId="7BEF7CAD" w:rsidR="003E192C" w:rsidRPr="003E192C" w:rsidRDefault="003E192C" w:rsidP="009E3BF5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14:paraId="0AAF2127" w14:textId="77777777" w:rsidTr="007531D3">
        <w:tc>
          <w:tcPr>
            <w:tcW w:w="1137" w:type="dxa"/>
            <w:shd w:val="clear" w:color="auto" w:fill="C0C0C0"/>
          </w:tcPr>
          <w:p w14:paraId="7B55E9BC" w14:textId="77777777" w:rsidR="003E192C" w:rsidRPr="003E192C" w:rsidRDefault="003E192C" w:rsidP="009E3BF5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14:paraId="29F4BDA5" w14:textId="77777777" w:rsidR="003E192C" w:rsidRPr="003E192C" w:rsidRDefault="003E192C" w:rsidP="009E3BF5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14:paraId="2D1C2F98" w14:textId="77777777" w:rsidR="003E192C" w:rsidRPr="003E192C" w:rsidRDefault="003E192C" w:rsidP="009E3BF5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2D5AAD17" w14:textId="77777777" w:rsidR="003E192C" w:rsidRPr="003E192C" w:rsidRDefault="003E192C" w:rsidP="009E3BF5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14:paraId="0385491C" w14:textId="77777777" w:rsidTr="007531D3">
        <w:tc>
          <w:tcPr>
            <w:tcW w:w="1137" w:type="dxa"/>
            <w:shd w:val="clear" w:color="auto" w:fill="auto"/>
          </w:tcPr>
          <w:p w14:paraId="7B9787D1" w14:textId="77777777" w:rsidR="003E192C" w:rsidRPr="003E192C" w:rsidRDefault="003E192C" w:rsidP="009E3BF5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14:paraId="7F425508" w14:textId="77777777" w:rsidR="003E192C" w:rsidRPr="003E192C" w:rsidRDefault="001E7C16" w:rsidP="009E3BF5">
            <w:pPr>
              <w:pStyle w:val="PolicyText1"/>
            </w:pPr>
            <w:r>
              <w:t>11/26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14:paraId="2EC51AB4" w14:textId="77777777" w:rsidR="003E192C" w:rsidRPr="003E192C" w:rsidRDefault="003E192C" w:rsidP="009E3BF5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14:paraId="5A9E3C89" w14:textId="77777777" w:rsidR="003E192C" w:rsidRPr="003E192C" w:rsidRDefault="003E192C" w:rsidP="009E3BF5">
            <w:pPr>
              <w:pStyle w:val="PolicyText1"/>
            </w:pPr>
          </w:p>
        </w:tc>
      </w:tr>
      <w:tr w:rsidR="003E192C" w:rsidRPr="003E192C" w14:paraId="53C7A917" w14:textId="77777777" w:rsidTr="007531D3">
        <w:tc>
          <w:tcPr>
            <w:tcW w:w="1137" w:type="dxa"/>
            <w:shd w:val="clear" w:color="auto" w:fill="auto"/>
          </w:tcPr>
          <w:p w14:paraId="2B527BE2" w14:textId="77777777" w:rsidR="003E192C" w:rsidRPr="003E192C" w:rsidRDefault="003E192C" w:rsidP="009E3BF5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1667563C" w14:textId="77777777" w:rsidR="003E192C" w:rsidRPr="003E192C" w:rsidRDefault="003E192C" w:rsidP="009E3BF5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1563FA11" w14:textId="77777777" w:rsidR="003E192C" w:rsidRPr="003E192C" w:rsidRDefault="003E192C" w:rsidP="009E3BF5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377D0F7B" w14:textId="77777777" w:rsidR="003E192C" w:rsidRPr="003E192C" w:rsidRDefault="003E192C" w:rsidP="009E3BF5">
            <w:pPr>
              <w:pStyle w:val="PolicyText1"/>
            </w:pPr>
          </w:p>
        </w:tc>
      </w:tr>
      <w:tr w:rsidR="003E192C" w:rsidRPr="003E192C" w14:paraId="03CAAD14" w14:textId="77777777" w:rsidTr="007531D3">
        <w:tc>
          <w:tcPr>
            <w:tcW w:w="1137" w:type="dxa"/>
            <w:shd w:val="clear" w:color="auto" w:fill="auto"/>
          </w:tcPr>
          <w:p w14:paraId="2DAEB52B" w14:textId="77777777" w:rsidR="003E192C" w:rsidRPr="003E192C" w:rsidRDefault="003E192C" w:rsidP="009E3BF5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2268F5FC" w14:textId="77777777" w:rsidR="003E192C" w:rsidRPr="003E192C" w:rsidRDefault="003E192C" w:rsidP="009E3BF5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2FB18357" w14:textId="77777777" w:rsidR="003E192C" w:rsidRPr="003E192C" w:rsidRDefault="003E192C" w:rsidP="009E3BF5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48085C53" w14:textId="77777777" w:rsidR="003E192C" w:rsidRPr="003E192C" w:rsidRDefault="003E192C" w:rsidP="009E3BF5">
            <w:pPr>
              <w:pStyle w:val="PolicyText1"/>
            </w:pPr>
          </w:p>
        </w:tc>
      </w:tr>
    </w:tbl>
    <w:p w14:paraId="388BC08E" w14:textId="77777777" w:rsidR="00A755FE" w:rsidRDefault="00A755FE" w:rsidP="00AF3C6F">
      <w:bookmarkStart w:id="3" w:name="_GoBack"/>
      <w:bookmarkEnd w:id="3"/>
    </w:p>
    <w:sectPr w:rsidR="00A755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cey, Jill" w:date="2017-02-27T14:01:00Z" w:initials="SJ">
    <w:p w14:paraId="41DE2281" w14:textId="7E44F03F" w:rsidR="001B046F" w:rsidRDefault="001B046F">
      <w:pPr>
        <w:pStyle w:val="CommentText"/>
      </w:pPr>
      <w:r>
        <w:rPr>
          <w:rStyle w:val="CommentReference"/>
        </w:rPr>
        <w:annotationRef/>
      </w:r>
      <w:r>
        <w:t>Guidance Note: You may not have a ticketing system.  If not, you should put in place processes to manage this.  If you do create those processes, you may want to include them in this policy.</w:t>
      </w:r>
    </w:p>
  </w:comment>
  <w:comment w:id="1" w:author="Stacey, Jill" w:date="2017-02-15T10:46:00Z" w:initials="SJ">
    <w:p w14:paraId="587581D9" w14:textId="77777777" w:rsidR="006D746B" w:rsidRDefault="006D746B">
      <w:pPr>
        <w:pStyle w:val="CommentText"/>
      </w:pPr>
      <w:r>
        <w:rPr>
          <w:rStyle w:val="CommentReference"/>
        </w:rPr>
        <w:annotationRef/>
      </w:r>
      <w:r>
        <w:t>Guidance Note: Amend as needed.</w:t>
      </w:r>
    </w:p>
  </w:comment>
  <w:comment w:id="2" w:author="Stacey, Jill" w:date="2017-02-15T10:47:00Z" w:initials="SJ">
    <w:p w14:paraId="2F03359A" w14:textId="77777777" w:rsidR="006D746B" w:rsidRDefault="006D746B">
      <w:pPr>
        <w:pStyle w:val="CommentText"/>
      </w:pPr>
      <w:r>
        <w:rPr>
          <w:rStyle w:val="CommentReference"/>
        </w:rPr>
        <w:annotationRef/>
      </w:r>
      <w:r>
        <w:t>Guidance Note: Amend as needed throughout.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DE2281" w15:done="0"/>
  <w15:commentEx w15:paraId="587581D9" w15:done="0"/>
  <w15:commentEx w15:paraId="2F0335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49742" w14:textId="77777777" w:rsidR="00C72722" w:rsidRDefault="00C72722" w:rsidP="00333141">
      <w:pPr>
        <w:spacing w:after="0" w:line="240" w:lineRule="auto"/>
      </w:pPr>
      <w:r>
        <w:separator/>
      </w:r>
    </w:p>
  </w:endnote>
  <w:endnote w:type="continuationSeparator" w:id="0">
    <w:p w14:paraId="77CD5EB3" w14:textId="77777777" w:rsidR="00C72722" w:rsidRDefault="00C72722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F576F" w14:textId="0A751846" w:rsidR="00333141" w:rsidRPr="00333141" w:rsidRDefault="006D746B" w:rsidP="00333141">
    <w:pPr>
      <w:pStyle w:val="Footer"/>
    </w:pPr>
    <w:r>
      <w:tab/>
    </w:r>
    <w:r>
      <w:tab/>
    </w:r>
    <w:r w:rsidR="009E3BF5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E86F5" w14:textId="77777777" w:rsidR="00C72722" w:rsidRDefault="00C72722" w:rsidP="00333141">
      <w:pPr>
        <w:spacing w:after="0" w:line="240" w:lineRule="auto"/>
      </w:pPr>
      <w:r>
        <w:separator/>
      </w:r>
    </w:p>
  </w:footnote>
  <w:footnote w:type="continuationSeparator" w:id="0">
    <w:p w14:paraId="7649165C" w14:textId="77777777" w:rsidR="00C72722" w:rsidRDefault="00C72722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FC346" w14:textId="199E355B" w:rsidR="009E3BF5" w:rsidRDefault="00C72722">
    <w:pPr>
      <w:pStyle w:val="Header"/>
    </w:pPr>
    <w:r>
      <w:rPr>
        <w:noProof/>
      </w:rPr>
      <w:pict w14:anchorId="5F2E98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4339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14:paraId="68B30B8D" w14:textId="77777777" w:rsidTr="001B046F">
      <w:tc>
        <w:tcPr>
          <w:tcW w:w="4701" w:type="pct"/>
        </w:tcPr>
        <w:p w14:paraId="45BADCFF" w14:textId="77777777" w:rsidR="00333141" w:rsidRPr="0030192B" w:rsidRDefault="00C72722" w:rsidP="003E192C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D419A">
                <w:t>Hardware and Software Maintenance</w:t>
              </w:r>
              <w:r w:rsidR="006D746B">
                <w:t xml:space="preserve"> Policy</w:t>
              </w:r>
            </w:sdtContent>
          </w:sdt>
        </w:p>
      </w:tc>
      <w:tc>
        <w:tcPr>
          <w:tcW w:w="299" w:type="pct"/>
        </w:tcPr>
        <w:p w14:paraId="2CBCF941" w14:textId="77777777"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B15CF0">
            <w:rPr>
              <w:b/>
              <w:noProof/>
              <w:color w:val="595959" w:themeColor="text1" w:themeTint="A6"/>
              <w:szCs w:val="20"/>
            </w:rPr>
            <w:t>3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37CF115D" w14:textId="59F3B12C" w:rsidR="00333141" w:rsidRDefault="00C72722">
    <w:pPr>
      <w:pStyle w:val="Header"/>
    </w:pPr>
    <w:r>
      <w:rPr>
        <w:noProof/>
      </w:rPr>
      <w:pict w14:anchorId="4DB289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4340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9512E" w14:textId="6F67F669" w:rsidR="009E3BF5" w:rsidRDefault="00C72722">
    <w:pPr>
      <w:pStyle w:val="Header"/>
    </w:pPr>
    <w:r>
      <w:rPr>
        <w:noProof/>
      </w:rPr>
      <w:pict w14:anchorId="0CF35D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4338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79C0"/>
    <w:multiLevelType w:val="hybridMultilevel"/>
    <w:tmpl w:val="F55A34EE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0C6"/>
    <w:multiLevelType w:val="hybridMultilevel"/>
    <w:tmpl w:val="001A3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161511"/>
    <w:multiLevelType w:val="hybridMultilevel"/>
    <w:tmpl w:val="A66CECAC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E1CE7"/>
    <w:multiLevelType w:val="hybridMultilevel"/>
    <w:tmpl w:val="DC2E815A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45482"/>
    <w:multiLevelType w:val="hybridMultilevel"/>
    <w:tmpl w:val="3404C594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74869832">
      <w:start w:val="2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52F64"/>
    <w:multiLevelType w:val="hybridMultilevel"/>
    <w:tmpl w:val="8D2C4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5C6C8D"/>
    <w:multiLevelType w:val="multilevel"/>
    <w:tmpl w:val="450A1F7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A2C0295"/>
    <w:multiLevelType w:val="hybridMultilevel"/>
    <w:tmpl w:val="B3B81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D37B5"/>
    <w:multiLevelType w:val="hybridMultilevel"/>
    <w:tmpl w:val="D434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40BF9"/>
    <w:multiLevelType w:val="hybridMultilevel"/>
    <w:tmpl w:val="F82C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576129"/>
    <w:multiLevelType w:val="hybridMultilevel"/>
    <w:tmpl w:val="D932D188"/>
    <w:lvl w:ilvl="0" w:tplc="FB322EF2">
      <w:start w:val="1"/>
      <w:numFmt w:val="upperLetter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D515E"/>
    <w:multiLevelType w:val="hybridMultilevel"/>
    <w:tmpl w:val="85349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6E3A13"/>
    <w:multiLevelType w:val="multilevel"/>
    <w:tmpl w:val="A7A6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0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996FFC"/>
    <w:multiLevelType w:val="hybridMultilevel"/>
    <w:tmpl w:val="DCECC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6D4C5D"/>
    <w:multiLevelType w:val="hybridMultilevel"/>
    <w:tmpl w:val="822C6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19"/>
  </w:num>
  <w:num w:numId="6">
    <w:abstractNumId w:val="20"/>
  </w:num>
  <w:num w:numId="7">
    <w:abstractNumId w:val="18"/>
  </w:num>
  <w:num w:numId="8">
    <w:abstractNumId w:val="15"/>
  </w:num>
  <w:num w:numId="9">
    <w:abstractNumId w:val="22"/>
  </w:num>
  <w:num w:numId="10">
    <w:abstractNumId w:val="39"/>
  </w:num>
  <w:num w:numId="11">
    <w:abstractNumId w:val="32"/>
  </w:num>
  <w:num w:numId="12">
    <w:abstractNumId w:val="11"/>
  </w:num>
  <w:num w:numId="13">
    <w:abstractNumId w:val="21"/>
  </w:num>
  <w:num w:numId="14">
    <w:abstractNumId w:val="26"/>
  </w:num>
  <w:num w:numId="15">
    <w:abstractNumId w:val="36"/>
  </w:num>
  <w:num w:numId="16">
    <w:abstractNumId w:val="17"/>
  </w:num>
  <w:num w:numId="17">
    <w:abstractNumId w:val="3"/>
  </w:num>
  <w:num w:numId="18">
    <w:abstractNumId w:val="9"/>
  </w:num>
  <w:num w:numId="19">
    <w:abstractNumId w:val="24"/>
  </w:num>
  <w:num w:numId="20">
    <w:abstractNumId w:val="28"/>
  </w:num>
  <w:num w:numId="21">
    <w:abstractNumId w:val="27"/>
  </w:num>
  <w:num w:numId="22">
    <w:abstractNumId w:val="30"/>
  </w:num>
  <w:num w:numId="23">
    <w:abstractNumId w:val="4"/>
  </w:num>
  <w:num w:numId="24">
    <w:abstractNumId w:val="23"/>
  </w:num>
  <w:num w:numId="25">
    <w:abstractNumId w:val="12"/>
  </w:num>
  <w:num w:numId="26">
    <w:abstractNumId w:val="34"/>
  </w:num>
  <w:num w:numId="27">
    <w:abstractNumId w:val="35"/>
  </w:num>
  <w:num w:numId="28">
    <w:abstractNumId w:val="37"/>
  </w:num>
  <w:num w:numId="29">
    <w:abstractNumId w:val="33"/>
  </w:num>
  <w:num w:numId="30">
    <w:abstractNumId w:val="0"/>
  </w:num>
  <w:num w:numId="31">
    <w:abstractNumId w:val="10"/>
  </w:num>
  <w:num w:numId="32">
    <w:abstractNumId w:val="29"/>
  </w:num>
  <w:num w:numId="33">
    <w:abstractNumId w:val="14"/>
  </w:num>
  <w:num w:numId="34">
    <w:abstractNumId w:val="25"/>
  </w:num>
  <w:num w:numId="35">
    <w:abstractNumId w:val="8"/>
  </w:num>
  <w:num w:numId="36">
    <w:abstractNumId w:val="24"/>
    <w:lvlOverride w:ilvl="0">
      <w:startOverride w:val="3"/>
    </w:lvlOverride>
  </w:num>
  <w:num w:numId="37">
    <w:abstractNumId w:val="31"/>
  </w:num>
  <w:num w:numId="38">
    <w:abstractNumId w:val="38"/>
  </w:num>
  <w:num w:numId="39">
    <w:abstractNumId w:val="16"/>
  </w:num>
  <w:num w:numId="40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107483"/>
    <w:rsid w:val="00113339"/>
    <w:rsid w:val="00140385"/>
    <w:rsid w:val="001B046F"/>
    <w:rsid w:val="001D0E36"/>
    <w:rsid w:val="001E7C16"/>
    <w:rsid w:val="00333141"/>
    <w:rsid w:val="00347EBF"/>
    <w:rsid w:val="003E192C"/>
    <w:rsid w:val="00537867"/>
    <w:rsid w:val="00583BE4"/>
    <w:rsid w:val="00667C7B"/>
    <w:rsid w:val="006D419A"/>
    <w:rsid w:val="006D746B"/>
    <w:rsid w:val="00792980"/>
    <w:rsid w:val="008829C2"/>
    <w:rsid w:val="00946784"/>
    <w:rsid w:val="009E3BF5"/>
    <w:rsid w:val="00A14694"/>
    <w:rsid w:val="00A755FE"/>
    <w:rsid w:val="00AF3C6F"/>
    <w:rsid w:val="00B15CF0"/>
    <w:rsid w:val="00B50C2A"/>
    <w:rsid w:val="00BA7DEF"/>
    <w:rsid w:val="00BB7109"/>
    <w:rsid w:val="00C11B3B"/>
    <w:rsid w:val="00C72722"/>
    <w:rsid w:val="00CA293B"/>
    <w:rsid w:val="00D46507"/>
    <w:rsid w:val="00DF2858"/>
    <w:rsid w:val="00E902E2"/>
    <w:rsid w:val="00EE0568"/>
    <w:rsid w:val="00F3211A"/>
    <w:rsid w:val="00F72E40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376B06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46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046F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1B046F"/>
    <w:pPr>
      <w:keepNext/>
      <w:keepLines/>
      <w:numPr>
        <w:numId w:val="41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1B046F"/>
    <w:pPr>
      <w:keepNext/>
      <w:keepLines/>
      <w:spacing w:after="240" w:line="240" w:lineRule="auto"/>
      <w:ind w:left="720" w:right="720" w:hanging="360"/>
      <w:outlineLvl w:val="2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  <w:rsid w:val="001B046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B046F"/>
  </w:style>
  <w:style w:type="paragraph" w:styleId="Header">
    <w:name w:val="header"/>
    <w:basedOn w:val="Normal"/>
    <w:link w:val="HeaderChar"/>
    <w:uiPriority w:val="99"/>
    <w:unhideWhenUsed/>
    <w:rsid w:val="001B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46F"/>
  </w:style>
  <w:style w:type="paragraph" w:styleId="Footer">
    <w:name w:val="footer"/>
    <w:basedOn w:val="Normal"/>
    <w:link w:val="FooterChar"/>
    <w:uiPriority w:val="99"/>
    <w:unhideWhenUsed/>
    <w:rsid w:val="001B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46F"/>
  </w:style>
  <w:style w:type="paragraph" w:styleId="BalloonText">
    <w:name w:val="Balloon Text"/>
    <w:basedOn w:val="Normal"/>
    <w:link w:val="BalloonTextChar"/>
    <w:uiPriority w:val="99"/>
    <w:semiHidden/>
    <w:unhideWhenUsed/>
    <w:rsid w:val="001B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046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046F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1B046F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1B046F"/>
    <w:rPr>
      <w:rFonts w:ascii="Arial" w:eastAsiaTheme="majorEastAsia" w:hAnsi="Arial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1B046F"/>
    <w:pPr>
      <w:ind w:left="720"/>
      <w:contextualSpacing/>
    </w:pPr>
  </w:style>
  <w:style w:type="character" w:styleId="IntenseReference">
    <w:name w:val="Intense Reference"/>
    <w:uiPriority w:val="32"/>
    <w:qFormat/>
    <w:rsid w:val="006D419A"/>
    <w:rPr>
      <w:b/>
      <w:bCs/>
      <w:smallCaps/>
      <w:spacing w:val="5"/>
      <w:sz w:val="22"/>
      <w:szCs w:val="22"/>
      <w:u w:val="single"/>
    </w:rPr>
  </w:style>
  <w:style w:type="table" w:styleId="TableGrid">
    <w:name w:val="Table Grid"/>
    <w:basedOn w:val="TableNormal"/>
    <w:uiPriority w:val="39"/>
    <w:rsid w:val="001B046F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7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46B"/>
    <w:rPr>
      <w:b/>
      <w:bCs/>
      <w:sz w:val="20"/>
      <w:szCs w:val="20"/>
    </w:rPr>
  </w:style>
  <w:style w:type="paragraph" w:customStyle="1" w:styleId="PolicyText1">
    <w:name w:val="PolicyText1"/>
    <w:basedOn w:val="Normal"/>
    <w:qFormat/>
    <w:rsid w:val="001B046F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1B046F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227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 – Hardware and Software Maintenance</vt:lpstr>
    </vt:vector>
  </TitlesOfParts>
  <Company>Hewlett-Packard Company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 and Software Maintenance Policy</dc:title>
  <dc:creator>Pat Bush</dc:creator>
  <cp:lastModifiedBy>Stacey, Jill</cp:lastModifiedBy>
  <cp:revision>15</cp:revision>
  <dcterms:created xsi:type="dcterms:W3CDTF">2016-11-17T21:49:00Z</dcterms:created>
  <dcterms:modified xsi:type="dcterms:W3CDTF">2017-02-27T21:09:00Z</dcterms:modified>
</cp:coreProperties>
</file>