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43"/>
        <w:rPr>
          <w:rFonts w:ascii="Times New Roman"/>
          <w:sz w:val="28"/>
        </w:rPr>
      </w:pPr>
    </w:p>
    <w:p>
      <w:pPr>
        <w:spacing w:before="0"/>
        <w:ind w:left="720" w:right="0" w:firstLine="0"/>
        <w:jc w:val="left"/>
        <w:rPr>
          <w:rFonts w:ascii="Times New Roman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0</wp:posOffset>
                </wp:positionH>
                <wp:positionV relativeFrom="paragraph">
                  <wp:posOffset>232434</wp:posOffset>
                </wp:positionV>
                <wp:extent cx="6877050" cy="127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8770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0" h="12700">
                              <a:moveTo>
                                <a:pt x="6877050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877050" y="12179"/>
                              </a:lnTo>
                              <a:lnTo>
                                <a:pt x="6877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8.301937pt;width:541.5pt;height:.959pt;mso-position-horizontal-relative:page;mso-position-vertical-relative:paragraph;z-index:-15728640;mso-wrap-distance-left:0;mso-wrap-distance-right:0" id="docshape1" filled="true" fillcolor="#cccccc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-1720163</wp:posOffset>
                </wp:positionV>
                <wp:extent cx="7769859" cy="15748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69859" cy="1574800"/>
                          <a:chExt cx="7769859" cy="15748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859" cy="15741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6876" y="78532"/>
                            <a:ext cx="1763737" cy="832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69859" cy="157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59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64" w:right="0" w:firstLine="0"/>
                                <w:jc w:val="left"/>
                                <w:rPr>
                                  <w:rFonts w:ascii="Times New Roman" w:hAns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36"/>
                                </w:rPr>
                                <w:t>Medidas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36"/>
                                </w:rPr>
                                <w:t>éxito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36"/>
                                </w:rPr>
                                <w:t>académico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36"/>
                                </w:rPr>
                                <w:t> Colorado</w:t>
                              </w:r>
                            </w:p>
                            <w:p>
                              <w:pPr>
                                <w:spacing w:before="32"/>
                                <w:ind w:left="3364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48"/>
                                </w:rPr>
                                <w:t>CARTA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-2"/>
                                  <w:sz w:val="48"/>
                                </w:rPr>
                                <w:t>EJEMPLO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35.445923pt;width:611.8pt;height:124pt;mso-position-horizontal-relative:page;mso-position-vertical-relative:paragraph;z-index:15729152" id="docshapegroup2" coordorigin="0,-2709" coordsize="12236,2480">
                <v:shape style="position:absolute;left:0;top:-2709;width:12236;height:2480" type="#_x0000_t75" id="docshape3" stroked="false">
                  <v:imagedata r:id="rId5" o:title=""/>
                </v:shape>
                <v:shape style="position:absolute;left:3380;top:-2586;width:2778;height:132" type="#_x0000_t75" id="docshape4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2709;width:12236;height:2480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59"/>
                          <w:rPr>
                            <w:sz w:val="36"/>
                          </w:rPr>
                        </w:pPr>
                      </w:p>
                      <w:p>
                        <w:pPr>
                          <w:spacing w:before="0"/>
                          <w:ind w:left="3364" w:right="0" w:firstLine="0"/>
                          <w:jc w:val="left"/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z w:val="36"/>
                          </w:rPr>
                          <w:t>Medidas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36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36"/>
                          </w:rPr>
                          <w:t>éxito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36"/>
                          </w:rPr>
                          <w:t>académico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z w:val="36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36"/>
                          </w:rPr>
                          <w:t> Colorado</w:t>
                        </w:r>
                      </w:p>
                      <w:p>
                        <w:pPr>
                          <w:spacing w:before="32"/>
                          <w:ind w:left="3364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48"/>
                          </w:rPr>
                          <w:t>CARTA</w:t>
                        </w:r>
                        <w:r>
                          <w:rPr>
                            <w:rFonts w:ascii="Times New Roman"/>
                            <w:color w:val="FFFFFF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z w:val="48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FFFFFF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FFFFF"/>
                            <w:spacing w:val="-2"/>
                            <w:sz w:val="48"/>
                          </w:rPr>
                          <w:t>EJEMPLO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8"/>
        </w:rPr>
        <w:t>Superintendentes/Directores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pacing w:val="-2"/>
          <w:sz w:val="28"/>
        </w:rPr>
        <w:t>maestros</w:t>
      </w:r>
    </w:p>
    <w:p>
      <w:pPr>
        <w:spacing w:before="123"/>
        <w:ind w:left="720" w:right="0" w:firstLine="0"/>
        <w:jc w:val="left"/>
        <w:rPr>
          <w:i/>
          <w:sz w:val="22"/>
        </w:rPr>
      </w:pPr>
      <w:r>
        <w:rPr>
          <w:i/>
          <w:sz w:val="22"/>
        </w:rPr>
        <w:t>Use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este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artículo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completo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solo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partes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él,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informar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sobre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los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informes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> </w:t>
      </w:r>
      <w:r>
        <w:rPr>
          <w:i/>
          <w:spacing w:val="-2"/>
          <w:sz w:val="22"/>
        </w:rPr>
        <w:t>puntuación.</w:t>
      </w:r>
    </w:p>
    <w:p>
      <w:pPr>
        <w:pStyle w:val="Title"/>
        <w:spacing w:line="259" w:lineRule="auto"/>
        <w:rPr>
          <w:b w:val="0"/>
        </w:rPr>
      </w:pPr>
      <w:r>
        <w:rPr>
          <w:b w:val="0"/>
          <w:color w:val="009439"/>
        </w:rPr>
        <w:t>Ayudando</w:t>
      </w:r>
      <w:r>
        <w:rPr>
          <w:b w:val="0"/>
          <w:color w:val="009439"/>
          <w:spacing w:val="-2"/>
        </w:rPr>
        <w:t> </w:t>
      </w:r>
      <w:r>
        <w:rPr>
          <w:b w:val="0"/>
          <w:color w:val="009439"/>
        </w:rPr>
        <w:t>a</w:t>
      </w:r>
      <w:r>
        <w:rPr>
          <w:b w:val="0"/>
          <w:color w:val="009439"/>
          <w:spacing w:val="-2"/>
        </w:rPr>
        <w:t> </w:t>
      </w:r>
      <w:r>
        <w:rPr>
          <w:b w:val="0"/>
          <w:color w:val="009439"/>
        </w:rPr>
        <w:t>familias</w:t>
      </w:r>
      <w:r>
        <w:rPr>
          <w:b w:val="0"/>
          <w:color w:val="009439"/>
          <w:spacing w:val="-3"/>
        </w:rPr>
        <w:t> </w:t>
      </w:r>
      <w:r>
        <w:rPr>
          <w:b w:val="0"/>
          <w:color w:val="009439"/>
        </w:rPr>
        <w:t>a</w:t>
      </w:r>
      <w:r>
        <w:rPr>
          <w:b w:val="0"/>
          <w:color w:val="009439"/>
          <w:spacing w:val="-2"/>
        </w:rPr>
        <w:t> </w:t>
      </w:r>
      <w:r>
        <w:rPr>
          <w:b w:val="0"/>
          <w:color w:val="009439"/>
        </w:rPr>
        <w:t>usar</w:t>
      </w:r>
      <w:r>
        <w:rPr>
          <w:b w:val="0"/>
          <w:color w:val="009439"/>
          <w:spacing w:val="-3"/>
        </w:rPr>
        <w:t> </w:t>
      </w:r>
      <w:r>
        <w:rPr>
          <w:b w:val="0"/>
          <w:color w:val="009439"/>
        </w:rPr>
        <w:t>los</w:t>
      </w:r>
      <w:r>
        <w:rPr>
          <w:b w:val="0"/>
          <w:color w:val="009439"/>
          <w:spacing w:val="-2"/>
        </w:rPr>
        <w:t> </w:t>
      </w:r>
      <w:r>
        <w:rPr>
          <w:b w:val="0"/>
          <w:color w:val="009439"/>
        </w:rPr>
        <w:t>reportes</w:t>
      </w:r>
      <w:r>
        <w:rPr>
          <w:b w:val="0"/>
          <w:color w:val="009439"/>
          <w:spacing w:val="-3"/>
        </w:rPr>
        <w:t> </w:t>
      </w:r>
      <w:r>
        <w:rPr>
          <w:b w:val="0"/>
          <w:color w:val="009439"/>
        </w:rPr>
        <w:t>de</w:t>
      </w:r>
      <w:r>
        <w:rPr>
          <w:b w:val="0"/>
          <w:color w:val="009439"/>
          <w:spacing w:val="-3"/>
        </w:rPr>
        <w:t> </w:t>
      </w:r>
      <w:r>
        <w:rPr>
          <w:b w:val="0"/>
          <w:color w:val="009439"/>
        </w:rPr>
        <w:t>puntuación</w:t>
      </w:r>
      <w:r>
        <w:rPr>
          <w:b w:val="0"/>
          <w:color w:val="009439"/>
          <w:spacing w:val="-3"/>
        </w:rPr>
        <w:t> </w:t>
      </w:r>
      <w:r>
        <w:rPr>
          <w:b w:val="0"/>
          <w:color w:val="009439"/>
        </w:rPr>
        <w:t>para</w:t>
      </w:r>
      <w:r>
        <w:rPr>
          <w:b w:val="0"/>
          <w:color w:val="009439"/>
          <w:spacing w:val="-2"/>
        </w:rPr>
        <w:t> </w:t>
      </w:r>
      <w:r>
        <w:rPr>
          <w:b w:val="0"/>
          <w:color w:val="009439"/>
        </w:rPr>
        <w:t>mejorar</w:t>
      </w:r>
      <w:r>
        <w:rPr>
          <w:b w:val="0"/>
          <w:color w:val="009439"/>
          <w:spacing w:val="-4"/>
        </w:rPr>
        <w:t> </w:t>
      </w:r>
      <w:r>
        <w:rPr>
          <w:b w:val="0"/>
          <w:color w:val="009439"/>
        </w:rPr>
        <w:t>el</w:t>
      </w:r>
      <w:r>
        <w:rPr>
          <w:b w:val="0"/>
          <w:color w:val="009439"/>
          <w:spacing w:val="-1"/>
        </w:rPr>
        <w:t> </w:t>
      </w:r>
      <w:r>
        <w:rPr>
          <w:b w:val="0"/>
          <w:color w:val="009439"/>
        </w:rPr>
        <w:t>éxito </w:t>
      </w:r>
      <w:r>
        <w:rPr>
          <w:b w:val="0"/>
          <w:color w:val="009439"/>
          <w:spacing w:val="-2"/>
        </w:rPr>
        <w:t>académico</w:t>
      </w:r>
    </w:p>
    <w:p>
      <w:pPr>
        <w:pStyle w:val="BodyText"/>
        <w:spacing w:before="280"/>
        <w:ind w:left="720"/>
      </w:pPr>
      <w:r>
        <w:rPr/>
        <w:t>Queridos</w:t>
      </w:r>
      <w:r>
        <w:rPr>
          <w:spacing w:val="-13"/>
        </w:rPr>
        <w:t> </w:t>
      </w:r>
      <w:r>
        <w:rPr>
          <w:spacing w:val="-2"/>
        </w:rPr>
        <w:t>educadores,</w:t>
      </w:r>
    </w:p>
    <w:p>
      <w:pPr>
        <w:pStyle w:val="BodyText"/>
        <w:spacing w:before="11"/>
      </w:pPr>
    </w:p>
    <w:p>
      <w:pPr>
        <w:pStyle w:val="BodyText"/>
        <w:ind w:left="719" w:right="1492"/>
      </w:pPr>
      <w:r>
        <w:rPr/>
        <w:t>¡Espero que esta carta los encuentre bien y que estén listos para un buen año! Los padres y madres u otros miembros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familia pronto</w:t>
      </w:r>
      <w:r>
        <w:rPr>
          <w:spacing w:val="-1"/>
        </w:rPr>
        <w:t> </w:t>
      </w:r>
      <w:r>
        <w:rPr/>
        <w:t>recibirán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 de</w:t>
      </w:r>
      <w:r>
        <w:rPr>
          <w:spacing w:val="-2"/>
        </w:rPr>
        <w:t> </w:t>
      </w:r>
      <w:r>
        <w:rPr/>
        <w:t>puntuación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hijos(as)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pruebas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Medidas de</w:t>
      </w:r>
      <w:r>
        <w:rPr>
          <w:spacing w:val="-4"/>
        </w:rPr>
        <w:t> </w:t>
      </w:r>
      <w:r>
        <w:rPr/>
        <w:t>éxito</w:t>
      </w:r>
      <w:r>
        <w:rPr>
          <w:spacing w:val="-3"/>
        </w:rPr>
        <w:t> </w:t>
      </w:r>
      <w:r>
        <w:rPr/>
        <w:t>académico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Colorado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inglés,</w:t>
      </w:r>
      <w:r>
        <w:rPr>
          <w:spacing w:val="-4"/>
        </w:rPr>
        <w:t> </w:t>
      </w:r>
      <w:r>
        <w:rPr/>
        <w:t>matemáticas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ciencias.</w:t>
      </w:r>
      <w:r>
        <w:rPr>
          <w:spacing w:val="-4"/>
        </w:rPr>
        <w:t> </w:t>
      </w:r>
      <w:r>
        <w:rPr/>
        <w:t>Espero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aprovechen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oportunidad</w:t>
      </w:r>
      <w:r>
        <w:rPr>
          <w:spacing w:val="-4"/>
        </w:rPr>
        <w:t> </w:t>
      </w:r>
      <w:r>
        <w:rPr/>
        <w:t>para ayudar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familias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comprender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utilizar</w:t>
      </w:r>
      <w:r>
        <w:rPr>
          <w:spacing w:val="-7"/>
        </w:rPr>
        <w:t> </w:t>
      </w:r>
      <w:r>
        <w:rPr/>
        <w:t>estos</w:t>
      </w:r>
      <w:r>
        <w:rPr>
          <w:spacing w:val="-6"/>
        </w:rPr>
        <w:t> </w:t>
      </w:r>
      <w:r>
        <w:rPr/>
        <w:t>informes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apoyar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éxito</w:t>
      </w:r>
      <w:r>
        <w:rPr>
          <w:spacing w:val="-5"/>
        </w:rPr>
        <w:t> </w:t>
      </w:r>
      <w:r>
        <w:rPr/>
        <w:t>académico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sus</w:t>
      </w:r>
      <w:r>
        <w:rPr>
          <w:spacing w:val="-7"/>
        </w:rPr>
        <w:t> </w:t>
      </w:r>
      <w:r>
        <w:rPr>
          <w:spacing w:val="-2"/>
        </w:rPr>
        <w:t>estudiantes.</w:t>
      </w:r>
    </w:p>
    <w:p>
      <w:pPr>
        <w:pStyle w:val="BodyText"/>
        <w:spacing w:before="10"/>
      </w:pPr>
    </w:p>
    <w:p>
      <w:pPr>
        <w:pStyle w:val="BodyText"/>
        <w:spacing w:before="1"/>
        <w:ind w:left="719" w:right="1492"/>
      </w:pPr>
      <w:r>
        <w:rPr/>
        <w:t>Al</w:t>
      </w:r>
      <w:r>
        <w:rPr>
          <w:spacing w:val="-3"/>
        </w:rPr>
        <w:t> </w:t>
      </w:r>
      <w:r>
        <w:rPr/>
        <w:t>colaborar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familia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equiparlos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herramientas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interpretar estos informes, podemos fomentar una asociación más sólida entre el hogar y la escuela. Hay materiales adicionales disponibles para ayudarlo a discutir los informes de puntuación con las familias aquí: </w:t>
      </w:r>
      <w:hyperlink r:id="rId7">
        <w:r>
          <w:rPr>
            <w:color w:val="0000FF"/>
            <w:spacing w:val="-2"/>
            <w:u w:val="single" w:color="0000FF"/>
          </w:rPr>
          <w:t>www.cde.state.co.us/communications/factsheetsandfaqs-assessment.</w:t>
        </w:r>
      </w:hyperlink>
    </w:p>
    <w:p>
      <w:pPr>
        <w:pStyle w:val="BodyText"/>
        <w:spacing w:before="11"/>
      </w:pPr>
    </w:p>
    <w:p>
      <w:pPr>
        <w:pStyle w:val="BodyText"/>
        <w:spacing w:before="1"/>
        <w:ind w:left="720"/>
      </w:pPr>
      <w:r>
        <w:rPr/>
        <w:t>Algunos</w:t>
      </w:r>
      <w:r>
        <w:rPr>
          <w:spacing w:val="-8"/>
        </w:rPr>
        <w:t> </w:t>
      </w:r>
      <w:r>
        <w:rPr/>
        <w:t>puntos</w:t>
      </w:r>
      <w:r>
        <w:rPr>
          <w:spacing w:val="-8"/>
        </w:rPr>
        <w:t> </w:t>
      </w:r>
      <w:r>
        <w:rPr/>
        <w:t>importantes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compartir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familias</w:t>
      </w:r>
      <w:r>
        <w:rPr>
          <w:spacing w:val="-8"/>
        </w:rPr>
        <w:t> </w:t>
      </w:r>
      <w:r>
        <w:rPr/>
        <w:t>sobre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informes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2"/>
        </w:rPr>
        <w:t>puntuación: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1459" w:hanging="360"/>
        <w:jc w:val="left"/>
        <w:rPr>
          <w:sz w:val="22"/>
        </w:rPr>
      </w:pP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pruebas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estatales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medida:</w:t>
      </w:r>
      <w:r>
        <w:rPr>
          <w:b/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pruebas</w:t>
      </w:r>
      <w:r>
        <w:rPr>
          <w:spacing w:val="-5"/>
          <w:sz w:val="22"/>
        </w:rPr>
        <w:t> </w:t>
      </w:r>
      <w:r>
        <w:rPr>
          <w:sz w:val="22"/>
        </w:rPr>
        <w:t>CMAS</w:t>
      </w:r>
      <w:r>
        <w:rPr>
          <w:spacing w:val="-5"/>
          <w:sz w:val="22"/>
        </w:rPr>
        <w:t> </w:t>
      </w:r>
      <w:r>
        <w:rPr>
          <w:sz w:val="22"/>
        </w:rPr>
        <w:t>tomadas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primavera</w:t>
      </w:r>
      <w:r>
        <w:rPr>
          <w:spacing w:val="-5"/>
          <w:sz w:val="22"/>
        </w:rPr>
        <w:t> </w:t>
      </w:r>
      <w:r>
        <w:rPr>
          <w:sz w:val="22"/>
        </w:rPr>
        <w:t>representan</w:t>
      </w:r>
      <w:r>
        <w:rPr>
          <w:spacing w:val="-5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medida del progreso académico de un estudiante. Los reportes de calificaciones de los exámenes CMAS ayudan a explicar si los estudiantes están cumpliendo con las expectativas de nivel de grado establecidas en los Estándares Académicos de Colorado y si los estudiantes están bien encaminados para el siguiente nivel de grado. Recuerde a los padres que las calificaciones del aula y los comentarios de los maestros, junto con los reportes de calificaciones, proporcionan una comprensión más completa del progreso académico de sus </w:t>
      </w:r>
      <w:r>
        <w:rPr>
          <w:spacing w:val="-2"/>
          <w:sz w:val="22"/>
        </w:rPr>
        <w:t>estudiantes.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1527" w:hanging="360"/>
        <w:jc w:val="left"/>
        <w:rPr>
          <w:sz w:val="22"/>
        </w:rPr>
      </w:pPr>
      <w:r>
        <w:rPr>
          <w:b/>
          <w:sz w:val="22"/>
        </w:rPr>
        <w:t>Como usar los reportes de puntuación: </w:t>
      </w:r>
      <w:r>
        <w:rPr>
          <w:sz w:val="22"/>
        </w:rPr>
        <w:t>los reportes pueden arrojar luz sobre las fortalezas académicas, destacando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materias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habilidades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sobresale.</w:t>
      </w:r>
      <w:r>
        <w:rPr>
          <w:spacing w:val="-6"/>
          <w:sz w:val="22"/>
        </w:rPr>
        <w:t> </w:t>
      </w:r>
      <w:r>
        <w:rPr>
          <w:sz w:val="22"/>
        </w:rPr>
        <w:t>También</w:t>
      </w:r>
      <w:r>
        <w:rPr>
          <w:spacing w:val="-6"/>
          <w:sz w:val="22"/>
        </w:rPr>
        <w:t> </w:t>
      </w:r>
      <w:r>
        <w:rPr>
          <w:sz w:val="22"/>
        </w:rPr>
        <w:t>pueden</w:t>
      </w:r>
      <w:r>
        <w:rPr>
          <w:spacing w:val="-6"/>
          <w:sz w:val="22"/>
        </w:rPr>
        <w:t> </w:t>
      </w:r>
      <w:r>
        <w:rPr>
          <w:sz w:val="22"/>
        </w:rPr>
        <w:t>identificar</w:t>
      </w:r>
      <w:r>
        <w:rPr>
          <w:spacing w:val="-6"/>
          <w:sz w:val="22"/>
        </w:rPr>
        <w:t> </w:t>
      </w:r>
      <w:r>
        <w:rPr>
          <w:sz w:val="22"/>
        </w:rPr>
        <w:t>áreas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requieren atención y apoyo adicional. La información sobre los reportes puede ayudar a fomentar conversaciones significativas con los padres sobre las estrategias que pueden usar en el hogar para apoyar a sus hijos(as).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1452" w:hanging="360"/>
        <w:jc w:val="left"/>
        <w:rPr>
          <w:sz w:val="22"/>
        </w:rPr>
      </w:pPr>
      <w:r>
        <w:rPr>
          <w:b/>
          <w:sz w:val="22"/>
        </w:rPr>
        <w:t>Código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ayuda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entender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reportes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puntuación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código</w:t>
      </w:r>
      <w:r>
        <w:rPr>
          <w:spacing w:val="-4"/>
          <w:sz w:val="22"/>
        </w:rPr>
        <w:t> </w:t>
      </w:r>
      <w:r>
        <w:rPr>
          <w:sz w:val="22"/>
        </w:rPr>
        <w:t>QR</w:t>
      </w:r>
      <w:r>
        <w:rPr>
          <w:spacing w:val="-4"/>
          <w:sz w:val="22"/>
        </w:rPr>
        <w:t> </w:t>
      </w:r>
      <w:r>
        <w:rPr>
          <w:sz w:val="22"/>
        </w:rPr>
        <w:t>específico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grado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encuentra</w:t>
      </w:r>
      <w:r>
        <w:rPr>
          <w:spacing w:val="-5"/>
          <w:sz w:val="22"/>
        </w:rPr>
        <w:t> </w:t>
      </w:r>
      <w:r>
        <w:rPr>
          <w:sz w:val="22"/>
        </w:rPr>
        <w:t>en la parte inferior de la página 1 del informe CMAS de cada estudiante. Este conduce a un video que guía a las familias a través del informe e información sobre el nivel de rendimiento de su estudiante.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40" w:lineRule="auto" w:before="0" w:after="0"/>
        <w:ind w:left="1079" w:right="1404" w:hanging="360"/>
        <w:jc w:val="left"/>
        <w:rPr>
          <w:sz w:val="22"/>
        </w:rPr>
      </w:pPr>
      <w:r>
        <w:rPr>
          <w:b/>
          <w:sz w:val="22"/>
        </w:rPr>
        <w:t>Efectos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pandemia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continúan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efectos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desempeño</w:t>
      </w:r>
      <w:r>
        <w:rPr>
          <w:spacing w:val="-3"/>
          <w:sz w:val="22"/>
        </w:rPr>
        <w:t> </w:t>
      </w:r>
      <w:r>
        <w:rPr>
          <w:sz w:val="22"/>
        </w:rPr>
        <w:t>académico</w:t>
      </w:r>
      <w:r>
        <w:rPr>
          <w:spacing w:val="-2"/>
          <w:sz w:val="22"/>
        </w:rPr>
        <w:t> </w:t>
      </w:r>
      <w:r>
        <w:rPr>
          <w:sz w:val="22"/>
        </w:rPr>
        <w:t>continúan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pueden</w:t>
      </w:r>
      <w:r>
        <w:rPr>
          <w:spacing w:val="-3"/>
          <w:sz w:val="22"/>
        </w:rPr>
        <w:t> </w:t>
      </w:r>
      <w:r>
        <w:rPr>
          <w:sz w:val="22"/>
        </w:rPr>
        <w:t>reflejarse</w:t>
      </w:r>
      <w:r>
        <w:rPr>
          <w:spacing w:val="-2"/>
          <w:sz w:val="22"/>
        </w:rPr>
        <w:t> </w:t>
      </w:r>
      <w:r>
        <w:rPr>
          <w:sz w:val="22"/>
        </w:rPr>
        <w:t>en los informes de este año. Ayude a las familias a comprender que los resultados de evaluación nos brindan información necesaria sobre los esfuerzos de recuperación en la escuela, distrito y estado. Nuestro distrito también</w:t>
      </w:r>
      <w:r>
        <w:rPr>
          <w:spacing w:val="-6"/>
          <w:sz w:val="22"/>
        </w:rPr>
        <w:t> </w:t>
      </w:r>
      <w:r>
        <w:rPr>
          <w:sz w:val="22"/>
        </w:rPr>
        <w:t>ha</w:t>
      </w:r>
      <w:r>
        <w:rPr>
          <w:spacing w:val="-4"/>
          <w:sz w:val="22"/>
        </w:rPr>
        <w:t> </w:t>
      </w:r>
      <w:r>
        <w:rPr>
          <w:sz w:val="22"/>
        </w:rPr>
        <w:t>recibido</w:t>
      </w:r>
      <w:r>
        <w:rPr>
          <w:spacing w:val="-5"/>
          <w:sz w:val="22"/>
        </w:rPr>
        <w:t> </w:t>
      </w:r>
      <w:r>
        <w:rPr>
          <w:sz w:val="22"/>
        </w:rPr>
        <w:t>fondos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recuperación</w:t>
      </w:r>
      <w:r>
        <w:rPr>
          <w:spacing w:val="-6"/>
          <w:sz w:val="22"/>
        </w:rPr>
        <w:t> </w:t>
      </w:r>
      <w:r>
        <w:rPr>
          <w:sz w:val="22"/>
        </w:rPr>
        <w:t>federal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ayudar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abordar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necesidades</w:t>
      </w:r>
      <w:r>
        <w:rPr>
          <w:spacing w:val="-4"/>
          <w:sz w:val="22"/>
        </w:rPr>
        <w:t> </w:t>
      </w:r>
      <w:r>
        <w:rPr>
          <w:sz w:val="22"/>
        </w:rPr>
        <w:t>académicas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los estudiantes. (Proporcione una descripción de algunos de los esfuerzos de auxilio en su distrito).</w:t>
      </w:r>
    </w:p>
    <w:p>
      <w:pPr>
        <w:pStyle w:val="BodyText"/>
        <w:spacing w:before="12"/>
        <w:ind w:left="720" w:right="1532" w:hanging="1"/>
      </w:pPr>
      <w:r>
        <w:rPr/>
        <w:t>Al</w:t>
      </w:r>
      <w:r>
        <w:rPr>
          <w:spacing w:val="-3"/>
        </w:rPr>
        <w:t> </w:t>
      </w:r>
      <w:r>
        <w:rPr/>
        <w:t>involucrar</w:t>
      </w:r>
      <w:r>
        <w:rPr>
          <w:spacing w:val="-2"/>
        </w:rPr>
        <w:t> </w:t>
      </w:r>
      <w:r>
        <w:rPr/>
        <w:t>activamente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familias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interpretación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reportes,</w:t>
      </w:r>
      <w:r>
        <w:rPr>
          <w:spacing w:val="-3"/>
        </w:rPr>
        <w:t> </w:t>
      </w:r>
      <w:r>
        <w:rPr/>
        <w:t>podemos</w:t>
      </w:r>
      <w:r>
        <w:rPr>
          <w:spacing w:val="-3"/>
        </w:rPr>
        <w:t> </w:t>
      </w:r>
      <w:r>
        <w:rPr/>
        <w:t>empoderarlos para que se conviertan en defensores efectivos de la educación. Sus esfuerzos para apoyar a los padres, sin duda, contribuirán a mejorar el éxito académico y una asociación más fuerte entre el hogar y la escuela.</w:t>
      </w:r>
    </w:p>
    <w:p>
      <w:pPr>
        <w:pStyle w:val="BodyText"/>
        <w:spacing w:before="10"/>
      </w:pPr>
    </w:p>
    <w:p>
      <w:pPr>
        <w:pStyle w:val="BodyText"/>
        <w:ind w:left="720" w:right="1492"/>
      </w:pPr>
      <w:r>
        <w:rPr/>
        <w:t>Gracias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dedicación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compromiso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nuestros</w:t>
      </w:r>
      <w:r>
        <w:rPr>
          <w:spacing w:val="-4"/>
        </w:rPr>
        <w:t> </w:t>
      </w:r>
      <w:r>
        <w:rPr/>
        <w:t>estudiantes.</w:t>
      </w:r>
      <w:r>
        <w:rPr>
          <w:spacing w:val="-3"/>
        </w:rPr>
        <w:t> </w:t>
      </w:r>
      <w:r>
        <w:rPr/>
        <w:t>Juntos,</w:t>
      </w:r>
      <w:r>
        <w:rPr>
          <w:spacing w:val="-4"/>
        </w:rPr>
        <w:t> </w:t>
      </w:r>
      <w:r>
        <w:rPr/>
        <w:t>podemos</w:t>
      </w:r>
      <w:r>
        <w:rPr>
          <w:spacing w:val="-4"/>
        </w:rPr>
        <w:t> </w:t>
      </w:r>
      <w:r>
        <w:rPr/>
        <w:t>tener</w:t>
      </w:r>
      <w:r>
        <w:rPr>
          <w:spacing w:val="-4"/>
        </w:rPr>
        <w:t> </w:t>
      </w:r>
      <w:r>
        <w:rPr/>
        <w:t>un impacto significativo en su crecimiento y desarrollo académico.</w:t>
      </w:r>
    </w:p>
    <w:p>
      <w:pPr>
        <w:spacing w:after="0"/>
        <w:sectPr>
          <w:type w:val="continuous"/>
          <w:pgSz w:w="12240" w:h="15840"/>
          <w:pgMar w:top="340" w:bottom="0" w:left="0" w:right="0"/>
        </w:sectPr>
      </w:pPr>
    </w:p>
    <w:p>
      <w:pPr>
        <w:pStyle w:val="BodyText"/>
        <w:spacing w:line="108" w:lineRule="exact"/>
        <w:ind w:left="642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2353821" cy="6857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82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left="7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-1493629</wp:posOffset>
                </wp:positionV>
                <wp:extent cx="7772400" cy="9048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772400" cy="904875"/>
                          <a:chExt cx="7772400" cy="9048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0487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4875"/>
                                </a:lnTo>
                                <a:lnTo>
                                  <a:pt x="7772400" y="90487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439">
                              <a:alpha val="4980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772400" cy="904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3"/>
                                <w:ind w:left="555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2"/>
                                  <w:sz w:val="48"/>
                                </w:rPr>
                                <w:t>Assessments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117.608612pt;width:612pt;height:71.25pt;mso-position-horizontal-relative:page;mso-position-vertical-relative:paragraph;z-index:15730176" id="docshapegroup6" coordorigin="0,-2352" coordsize="12240,1425">
                <v:rect style="position:absolute;left:0;top:-2353;width:12240;height:1425" id="docshape7" filled="true" fillcolor="#009439" stroked="false">
                  <v:fill opacity="32640f" type="solid"/>
                </v:rect>
                <v:shape style="position:absolute;left:0;top:-2353;width:12240;height:1425" type="#_x0000_t202" id="docshape8" filled="false" stroked="false">
                  <v:textbox inset="0,0,0,0">
                    <w:txbxContent>
                      <w:p>
                        <w:pPr>
                          <w:spacing w:before="453"/>
                          <w:ind w:left="555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2"/>
                            <w:sz w:val="48"/>
                          </w:rPr>
                          <w:t>Assessments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Cordial</w:t>
      </w:r>
      <w:r>
        <w:rPr>
          <w:spacing w:val="-9"/>
        </w:rPr>
        <w:t> </w:t>
      </w:r>
      <w:r>
        <w:rPr>
          <w:spacing w:val="-2"/>
        </w:rPr>
        <w:t>saludo,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720"/>
      </w:pPr>
      <w:r>
        <w:rPr/>
        <w:t>[Su</w:t>
      </w:r>
      <w:r>
        <w:rPr>
          <w:spacing w:val="-5"/>
        </w:rPr>
        <w:t> </w:t>
      </w:r>
      <w:r>
        <w:rPr>
          <w:spacing w:val="-2"/>
        </w:rPr>
        <w:t>nombre]</w:t>
      </w:r>
    </w:p>
    <w:p>
      <w:pPr>
        <w:pStyle w:val="BodyText"/>
        <w:spacing w:before="11"/>
      </w:pPr>
    </w:p>
    <w:p>
      <w:pPr>
        <w:pStyle w:val="BodyText"/>
        <w:ind w:left="720"/>
      </w:pPr>
      <w:r>
        <w:rPr/>
        <w:t>Director</w:t>
      </w:r>
      <w:r>
        <w:rPr>
          <w:spacing w:val="-11"/>
        </w:rPr>
        <w:t> </w:t>
      </w:r>
      <w:r>
        <w:rPr/>
        <w:t>(o</w:t>
      </w:r>
      <w:r>
        <w:rPr>
          <w:spacing w:val="-11"/>
        </w:rPr>
        <w:t> </w:t>
      </w:r>
      <w:r>
        <w:rPr/>
        <w:t>superintendente),</w:t>
      </w:r>
      <w:r>
        <w:rPr>
          <w:spacing w:val="-12"/>
        </w:rPr>
        <w:t> </w:t>
      </w:r>
      <w:r>
        <w:rPr/>
        <w:t>[Nombre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escuela]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292736</wp:posOffset>
                </wp:positionH>
                <wp:positionV relativeFrom="paragraph">
                  <wp:posOffset>324833</wp:posOffset>
                </wp:positionV>
                <wp:extent cx="721995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21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0" h="0">
                              <a:moveTo>
                                <a:pt x="0" y="0"/>
                              </a:moveTo>
                              <a:lnTo>
                                <a:pt x="7219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943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0501pt;margin-top:25.577425pt;width:568.5pt;height:.1pt;mso-position-horizontal-relative:page;mso-position-vertical-relative:paragraph;z-index:-15727616;mso-wrap-distance-left:0;mso-wrap-distance-right:0" id="docshape9" coordorigin="461,512" coordsize="11370,0" path="m461,512l11831,512e" filled="false" stroked="true" strokeweight=".5pt" strokecolor="#00943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5" w:lineRule="exact" w:before="150"/>
        <w:ind w:left="432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009439"/>
          <w:sz w:val="24"/>
        </w:rPr>
        <w:t>LEARN</w:t>
      </w:r>
      <w:r>
        <w:rPr>
          <w:rFonts w:ascii="Times New Roman"/>
          <w:color w:val="009439"/>
          <w:spacing w:val="-4"/>
          <w:sz w:val="24"/>
        </w:rPr>
        <w:t> MORE</w:t>
      </w:r>
    </w:p>
    <w:p>
      <w:pPr>
        <w:spacing w:before="0"/>
        <w:ind w:left="432" w:right="1492" w:firstLine="0"/>
        <w:jc w:val="left"/>
        <w:rPr>
          <w:sz w:val="20"/>
        </w:rPr>
      </w:pPr>
      <w:hyperlink r:id="rId9">
        <w:r>
          <w:rPr>
            <w:spacing w:val="-2"/>
            <w:sz w:val="20"/>
          </w:rPr>
          <w:t>http://www.cde.state.co.us/communications/parentfactsheet</w:t>
        </w:r>
      </w:hyperlink>
      <w:r>
        <w:rPr>
          <w:spacing w:val="-2"/>
          <w:sz w:val="20"/>
        </w:rPr>
        <w:t> </w:t>
      </w:r>
      <w:hyperlink r:id="rId10">
        <w:r>
          <w:rPr>
            <w:spacing w:val="-2"/>
            <w:sz w:val="20"/>
          </w:rPr>
          <w:t>http://www.cde.state.co.us/accountability/performanceframeworks</w:t>
        </w:r>
      </w:hyperlink>
    </w:p>
    <w:p>
      <w:pPr>
        <w:spacing w:before="0"/>
        <w:ind w:left="432" w:right="0" w:firstLine="0"/>
        <w:jc w:val="left"/>
        <w:rPr>
          <w:sz w:val="20"/>
        </w:rPr>
      </w:pPr>
      <w:r>
        <w:rPr>
          <w:b/>
          <w:sz w:val="20"/>
        </w:rPr>
        <w:t>View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fact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sheets:</w:t>
      </w:r>
      <w:r>
        <w:rPr>
          <w:b/>
          <w:spacing w:val="-3"/>
          <w:sz w:val="20"/>
        </w:rPr>
        <w:t> </w:t>
      </w:r>
      <w:hyperlink r:id="rId11">
        <w:r>
          <w:rPr>
            <w:spacing w:val="-2"/>
            <w:sz w:val="20"/>
          </w:rPr>
          <w:t>http://www.cde.state.co.us/communications/factsheetsandfaqs</w:t>
        </w:r>
      </w:hyperlink>
    </w:p>
    <w:sectPr>
      <w:pgSz w:w="12240" w:h="15840"/>
      <w:pgMar w:top="4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79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9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6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7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9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0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1"/>
      <w:ind w:left="720" w:right="1492"/>
    </w:pPr>
    <w:rPr>
      <w:rFonts w:ascii="Calibri Light" w:hAnsi="Calibri Light" w:eastAsia="Calibri Light" w:cs="Calibri Light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79" w:right="1404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de.state.co.us/communications/factsheetsandfaqs-assessment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www.cde.state.co.us/communications/parentfactsheet" TargetMode="External"/><Relationship Id="rId10" Type="http://schemas.openxmlformats.org/officeDocument/2006/relationships/hyperlink" Target="http://www.cde.state.co.us/accountability/performanceframeworks" TargetMode="External"/><Relationship Id="rId11" Type="http://schemas.openxmlformats.org/officeDocument/2006/relationships/hyperlink" Target="http://www.cde.state.co.us/communications/factsheetsandfaqs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CDE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g</dc:creator>
  <dc:title>SUBHEAD</dc:title>
  <dcterms:created xsi:type="dcterms:W3CDTF">2024-07-17T22:19:32Z</dcterms:created>
  <dcterms:modified xsi:type="dcterms:W3CDTF">2024-07-17T22:19:32Z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2024-07-17T00:00:00Z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