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731E56" w14:textId="77777777" w:rsidR="007B35BE" w:rsidRPr="00781112" w:rsidRDefault="007B35BE" w:rsidP="0033429D">
      <w:pPr>
        <w:autoSpaceDE w:val="0"/>
        <w:autoSpaceDN w:val="0"/>
        <w:adjustRightInd w:val="0"/>
        <w:spacing w:before="1800"/>
        <w:jc w:val="center"/>
        <w:rPr>
          <w:rFonts w:cs="Arial"/>
          <w:b/>
          <w:bCs/>
          <w:smallCaps/>
          <w:color w:val="000000" w:themeColor="text1"/>
          <w:sz w:val="32"/>
          <w:szCs w:val="32"/>
        </w:rPr>
      </w:pPr>
      <w:bookmarkStart w:id="0" w:name="_Hlk121691473"/>
      <w:bookmarkStart w:id="1" w:name="_Toc382082357"/>
      <w:bookmarkStart w:id="2" w:name="_Toc392159258"/>
      <w:bookmarkStart w:id="3" w:name="_Hlk110866287"/>
      <w:bookmarkEnd w:id="0"/>
      <w:r w:rsidRPr="00781112">
        <w:rPr>
          <w:rFonts w:cs="Arial"/>
          <w:b/>
          <w:bCs/>
          <w:smallCaps/>
          <w:color w:val="000000" w:themeColor="text1"/>
          <w:sz w:val="32"/>
          <w:szCs w:val="32"/>
        </w:rPr>
        <w:t>State Performance Plan / Annual Performance Report: Part B</w:t>
      </w:r>
    </w:p>
    <w:p w14:paraId="775F9C1C" w14:textId="05570B0D" w:rsidR="007B35BE" w:rsidRPr="00781112" w:rsidRDefault="007B35BE" w:rsidP="007B35BE">
      <w:pPr>
        <w:autoSpaceDE w:val="0"/>
        <w:autoSpaceDN w:val="0"/>
        <w:adjustRightInd w:val="0"/>
        <w:spacing w:before="360"/>
        <w:jc w:val="center"/>
        <w:rPr>
          <w:rFonts w:cs="Arial"/>
          <w:b/>
          <w:bCs/>
          <w:color w:val="000000" w:themeColor="text1"/>
          <w:sz w:val="24"/>
          <w:szCs w:val="24"/>
        </w:rPr>
      </w:pPr>
      <w:r w:rsidRPr="00781112">
        <w:rPr>
          <w:rFonts w:cs="Arial"/>
          <w:b/>
          <w:bCs/>
          <w:color w:val="000000" w:themeColor="text1"/>
          <w:sz w:val="24"/>
          <w:szCs w:val="24"/>
        </w:rPr>
        <w:t>for STATE FORMULA GRANT PROGRAMS under the Individuals with Disabilities Education Act</w:t>
      </w:r>
    </w:p>
    <w:p w14:paraId="29F4DA54" w14:textId="2E7202FA" w:rsidR="007B35BE" w:rsidRPr="00781112" w:rsidRDefault="007B35BE" w:rsidP="007B35BE">
      <w:pPr>
        <w:autoSpaceDE w:val="0"/>
        <w:autoSpaceDN w:val="0"/>
        <w:adjustRightInd w:val="0"/>
        <w:spacing w:before="360"/>
        <w:jc w:val="center"/>
        <w:rPr>
          <w:rFonts w:cs="Arial"/>
          <w:b/>
          <w:bCs/>
          <w:color w:val="000000" w:themeColor="text1"/>
          <w:sz w:val="28"/>
          <w:szCs w:val="28"/>
        </w:rPr>
      </w:pPr>
      <w:r w:rsidRPr="00781112">
        <w:rPr>
          <w:rFonts w:cs="Arial"/>
          <w:b/>
          <w:bCs/>
          <w:color w:val="000000" w:themeColor="text1"/>
          <w:sz w:val="24"/>
          <w:szCs w:val="24"/>
        </w:rPr>
        <w:t xml:space="preserve">For reporting on </w:t>
      </w:r>
      <w:r w:rsidRPr="00781112">
        <w:rPr>
          <w:rFonts w:cs="Arial"/>
          <w:b/>
          <w:bCs/>
          <w:color w:val="000000" w:themeColor="text1"/>
          <w:sz w:val="24"/>
          <w:szCs w:val="24"/>
        </w:rPr>
        <w:br/>
      </w:r>
      <w:r w:rsidRPr="00781112">
        <w:rPr>
          <w:rFonts w:cs="Arial"/>
          <w:b/>
          <w:bCs/>
          <w:color w:val="000000" w:themeColor="text1"/>
          <w:sz w:val="28"/>
          <w:szCs w:val="28"/>
        </w:rPr>
        <w:t xml:space="preserve">FFY </w:t>
      </w:r>
      <w:r w:rsidR="00F46F21">
        <w:rPr>
          <w:rFonts w:cs="Arial"/>
          <w:b/>
          <w:bCs/>
          <w:color w:val="000000" w:themeColor="text1"/>
          <w:sz w:val="28"/>
          <w:szCs w:val="28"/>
        </w:rPr>
        <w:t>202</w:t>
      </w:r>
      <w:r w:rsidR="00061459">
        <w:rPr>
          <w:rFonts w:cs="Arial"/>
          <w:b/>
          <w:bCs/>
          <w:color w:val="000000" w:themeColor="text1"/>
          <w:sz w:val="28"/>
          <w:szCs w:val="28"/>
        </w:rPr>
        <w:t>2</w:t>
      </w:r>
    </w:p>
    <w:p w14:paraId="3168A19B" w14:textId="77777777" w:rsidR="007B35BE" w:rsidRPr="00781112" w:rsidRDefault="007B35BE" w:rsidP="007B35BE">
      <w:pPr>
        <w:autoSpaceDE w:val="0"/>
        <w:autoSpaceDN w:val="0"/>
        <w:adjustRightInd w:val="0"/>
        <w:spacing w:before="360"/>
        <w:jc w:val="center"/>
        <w:rPr>
          <w:rFonts w:cs="Arial"/>
          <w:b/>
          <w:bCs/>
          <w:color w:val="000000" w:themeColor="text1"/>
          <w:sz w:val="32"/>
          <w:szCs w:val="32"/>
        </w:rPr>
      </w:pPr>
      <w:r w:rsidRPr="00781112">
        <w:rPr>
          <w:rFonts w:cs="Arial"/>
          <w:b/>
          <w:bCs/>
          <w:color w:val="000000" w:themeColor="text1"/>
          <w:sz w:val="32"/>
          <w:szCs w:val="32"/>
        </w:rPr>
        <w:t>Colorado</w:t>
      </w:r>
    </w:p>
    <w:p w14:paraId="160C9007" w14:textId="77777777" w:rsidR="007B35BE" w:rsidRPr="00781112" w:rsidRDefault="007B35BE" w:rsidP="007B35BE">
      <w:pPr>
        <w:autoSpaceDE w:val="0"/>
        <w:autoSpaceDN w:val="0"/>
        <w:adjustRightInd w:val="0"/>
        <w:spacing w:before="360"/>
        <w:jc w:val="center"/>
        <w:rPr>
          <w:rFonts w:cs="Arial"/>
          <w:b/>
          <w:bCs/>
          <w:color w:val="000000" w:themeColor="text1"/>
          <w:sz w:val="24"/>
          <w:szCs w:val="24"/>
        </w:rPr>
      </w:pPr>
      <w:r w:rsidRPr="00781112">
        <w:rPr>
          <w:rFonts w:cs="Arial"/>
          <w:noProof/>
          <w:color w:val="000000" w:themeColor="text1"/>
          <w:sz w:val="24"/>
          <w:szCs w:val="24"/>
        </w:rPr>
        <w:drawing>
          <wp:inline distT="0" distB="0" distL="0" distR="0" wp14:anchorId="135639EF" wp14:editId="6DF93301">
            <wp:extent cx="2281963" cy="2286000"/>
            <wp:effectExtent l="0" t="0" r="4445" b="0"/>
            <wp:docPr id="2" name="Picture 2" descr="U.S. Department of Education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U.S. Department of Education seal"/>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281963" cy="2286000"/>
                    </a:xfrm>
                    <a:prstGeom prst="rect">
                      <a:avLst/>
                    </a:prstGeom>
                  </pic:spPr>
                </pic:pic>
              </a:graphicData>
            </a:graphic>
          </wp:inline>
        </w:drawing>
      </w:r>
    </w:p>
    <w:p w14:paraId="7AFE126A" w14:textId="66E8FC32" w:rsidR="007B35BE" w:rsidRPr="00781112" w:rsidRDefault="007B35BE" w:rsidP="007B35BE">
      <w:pPr>
        <w:autoSpaceDE w:val="0"/>
        <w:autoSpaceDN w:val="0"/>
        <w:adjustRightInd w:val="0"/>
        <w:spacing w:before="360"/>
        <w:jc w:val="center"/>
        <w:rPr>
          <w:rFonts w:cs="Arial"/>
          <w:b/>
          <w:bCs/>
          <w:color w:val="000000" w:themeColor="text1"/>
          <w:sz w:val="24"/>
          <w:szCs w:val="24"/>
        </w:rPr>
      </w:pPr>
      <w:r w:rsidRPr="00781112">
        <w:rPr>
          <w:rFonts w:cs="Arial"/>
          <w:b/>
          <w:bCs/>
          <w:color w:val="000000" w:themeColor="text1"/>
          <w:sz w:val="24"/>
          <w:szCs w:val="24"/>
        </w:rPr>
        <w:t>PART B DUE February 1, 2024</w:t>
      </w:r>
    </w:p>
    <w:p w14:paraId="00155D5B" w14:textId="77777777" w:rsidR="007B35BE" w:rsidRPr="00781112" w:rsidRDefault="007B35BE" w:rsidP="007B35BE">
      <w:pPr>
        <w:autoSpaceDE w:val="0"/>
        <w:autoSpaceDN w:val="0"/>
        <w:adjustRightInd w:val="0"/>
        <w:spacing w:before="360"/>
        <w:jc w:val="center"/>
        <w:rPr>
          <w:rFonts w:cs="Arial"/>
          <w:b/>
          <w:bCs/>
          <w:color w:val="000000" w:themeColor="text1"/>
          <w:sz w:val="18"/>
          <w:szCs w:val="18"/>
        </w:rPr>
      </w:pPr>
      <w:r w:rsidRPr="00781112">
        <w:rPr>
          <w:rFonts w:cs="Arial"/>
          <w:b/>
          <w:bCs/>
          <w:color w:val="000000" w:themeColor="text1"/>
          <w:sz w:val="18"/>
          <w:szCs w:val="18"/>
        </w:rPr>
        <w:t>U.S. DEPARTMENT OF EDUCATION</w:t>
      </w:r>
    </w:p>
    <w:p w14:paraId="4EAB0E73" w14:textId="660D4F64" w:rsidR="007B35BE" w:rsidRPr="00781112" w:rsidRDefault="007B35BE" w:rsidP="007B35BE">
      <w:pPr>
        <w:jc w:val="center"/>
        <w:rPr>
          <w:rFonts w:cs="Arial"/>
          <w:b/>
          <w:bCs/>
          <w:color w:val="000000" w:themeColor="text1"/>
          <w:sz w:val="18"/>
          <w:szCs w:val="18"/>
        </w:rPr>
      </w:pPr>
      <w:r w:rsidRPr="00781112">
        <w:rPr>
          <w:rFonts w:cs="Arial"/>
          <w:b/>
          <w:bCs/>
          <w:color w:val="000000" w:themeColor="text1"/>
          <w:sz w:val="18"/>
          <w:szCs w:val="18"/>
        </w:rPr>
        <w:t>WASHINGTON, DC 20202</w:t>
      </w:r>
    </w:p>
    <w:p w14:paraId="27ABABDC" w14:textId="7FECEC69" w:rsidR="00AB39FB" w:rsidRPr="00781112" w:rsidRDefault="00AB39FB">
      <w:pPr>
        <w:spacing w:before="0" w:after="200" w:line="276" w:lineRule="auto"/>
        <w:rPr>
          <w:rFonts w:cs="Arial"/>
          <w:b/>
          <w:bCs/>
          <w:color w:val="000000" w:themeColor="text1"/>
          <w:sz w:val="18"/>
          <w:szCs w:val="18"/>
        </w:rPr>
      </w:pPr>
      <w:r w:rsidRPr="00781112">
        <w:rPr>
          <w:rFonts w:cs="Arial"/>
          <w:b/>
          <w:bCs/>
          <w:color w:val="000000" w:themeColor="text1"/>
          <w:sz w:val="18"/>
          <w:szCs w:val="18"/>
        </w:rPr>
        <w:br w:type="page"/>
      </w:r>
    </w:p>
    <w:p w14:paraId="3F368203" w14:textId="77777777" w:rsidR="00AB39FB" w:rsidRPr="00781112" w:rsidRDefault="00AB39FB" w:rsidP="007B35BE">
      <w:pPr>
        <w:jc w:val="center"/>
        <w:rPr>
          <w:rFonts w:cs="Arial"/>
          <w:b/>
          <w:bCs/>
          <w:color w:val="000000" w:themeColor="text1"/>
          <w:sz w:val="18"/>
          <w:szCs w:val="18"/>
        </w:rPr>
      </w:pPr>
    </w:p>
    <w:p w14:paraId="0E7D29A1" w14:textId="2C077CCB" w:rsidR="00AF5649" w:rsidRPr="00781112" w:rsidRDefault="00AF5649" w:rsidP="007D435F">
      <w:pPr>
        <w:pStyle w:val="Heading1"/>
        <w:rPr>
          <w:rFonts w:cs="Arial"/>
          <w:color w:val="000000" w:themeColor="text1"/>
          <w:szCs w:val="20"/>
        </w:rPr>
      </w:pPr>
      <w:r w:rsidRPr="00781112">
        <w:rPr>
          <w:rFonts w:cs="Arial"/>
          <w:color w:val="000000" w:themeColor="text1"/>
          <w:szCs w:val="20"/>
        </w:rPr>
        <w:t>Introduction</w:t>
      </w:r>
    </w:p>
    <w:p w14:paraId="5B9171B6" w14:textId="1B94FDAA" w:rsidR="007742F1" w:rsidRPr="00781112" w:rsidRDefault="007742F1" w:rsidP="00A018D4">
      <w:pPr>
        <w:rPr>
          <w:rFonts w:asciiTheme="majorHAnsi" w:hAnsiTheme="majorHAnsi"/>
          <w:color w:val="000000" w:themeColor="text1"/>
          <w:sz w:val="20"/>
          <w:szCs w:val="20"/>
        </w:rPr>
      </w:pPr>
      <w:r w:rsidRPr="00781112">
        <w:rPr>
          <w:b/>
          <w:color w:val="000000" w:themeColor="text1"/>
          <w:sz w:val="20"/>
          <w:szCs w:val="20"/>
        </w:rPr>
        <w:t>Instructions</w:t>
      </w:r>
    </w:p>
    <w:p w14:paraId="696881EF" w14:textId="783B44AF" w:rsidR="00AA4DAF" w:rsidRPr="00781112" w:rsidRDefault="00AA4DAF" w:rsidP="00A84FF8">
      <w:pPr>
        <w:rPr>
          <w:rFonts w:cs="Arial"/>
          <w:color w:val="000000" w:themeColor="text1"/>
          <w:szCs w:val="16"/>
        </w:rPr>
      </w:pPr>
      <w:r w:rsidRPr="00781112">
        <w:rPr>
          <w:rFonts w:cs="Arial"/>
          <w:color w:val="000000" w:themeColor="text1"/>
          <w:szCs w:val="16"/>
          <w:shd w:val="clear" w:color="auto" w:fill="FFFFFF"/>
        </w:rPr>
        <w:t>Provide sufficient detail to ensure that the Secretary and the public are informed of and understand the State’s systems designed to drive improved results for students with disabilities and to ensure that the State Educational Agency (SEA) and Local Educational Agencies (LEAs) meet the requirements of IDEA Part B. This introduction must include descriptions of the State’s General Supervision System, Technical Assistance System, Professional Development System, Stakeholder Involvement, and Reporting to the Public.</w:t>
      </w:r>
    </w:p>
    <w:p w14:paraId="4A333302" w14:textId="1EA6D8FF" w:rsidR="007742F1" w:rsidRPr="00781112" w:rsidRDefault="00684B51" w:rsidP="008645AD">
      <w:pPr>
        <w:pStyle w:val="Heading2"/>
      </w:pPr>
      <w:r w:rsidRPr="00781112">
        <w:t xml:space="preserve">Intro - </w:t>
      </w:r>
      <w:r w:rsidR="007742F1" w:rsidRPr="00781112">
        <w:t>Indicator Data</w:t>
      </w:r>
    </w:p>
    <w:p w14:paraId="72B2C3E7" w14:textId="53819907" w:rsidR="00AF5649" w:rsidRPr="00781112" w:rsidRDefault="00AF5649" w:rsidP="004369B2">
      <w:pPr>
        <w:rPr>
          <w:color w:val="000000" w:themeColor="text1"/>
        </w:rPr>
      </w:pPr>
      <w:r w:rsidRPr="00781112">
        <w:rPr>
          <w:b/>
          <w:color w:val="000000" w:themeColor="text1"/>
        </w:rPr>
        <w:t xml:space="preserve">Executive Summary </w:t>
      </w:r>
    </w:p>
    <w:p w14:paraId="04B2974F" w14:textId="0DF01750" w:rsidR="000C24C2" w:rsidRPr="00781112" w:rsidRDefault="002B7490" w:rsidP="00AF5649">
      <w:pPr>
        <w:rPr>
          <w:rFonts w:cs="Arial"/>
          <w:color w:val="000000" w:themeColor="text1"/>
          <w:szCs w:val="16"/>
        </w:rPr>
      </w:pPr>
      <w:r w:rsidRPr="00781112">
        <w:rPr>
          <w:rFonts w:cs="Arial"/>
          <w:color w:val="000000" w:themeColor="text1"/>
          <w:szCs w:val="16"/>
        </w:rPr>
        <w:t xml:space="preserve">In SY2022-23, Colorado was comprised of 68 Administrative Units (AUs). In Colorado, the AUs are considered the Local Educational Agency (LEA) for the purpose of administering the Individuals with Disabilities Education Act (IDEA) and Colorado's Exceptional Children's Education Act (ECEA). The AUs are responsible for the provision of a Free and Appropriate Public Education (FAPE) to students with disabilities. An AU may be made up of a larger, single member school district or be an AU with multiple member school districts.  Most school districts in Colorado are members of a multi-district AU.  </w:t>
      </w:r>
    </w:p>
    <w:p w14:paraId="223A8781" w14:textId="77777777" w:rsidR="00757D21" w:rsidRPr="00781112" w:rsidRDefault="00757D21" w:rsidP="002536C1">
      <w:pPr>
        <w:rPr>
          <w:b/>
          <w:bCs/>
        </w:rPr>
      </w:pPr>
      <w:r w:rsidRPr="00781112">
        <w:rPr>
          <w:b/>
          <w:bCs/>
        </w:rPr>
        <w:t>Additional information related to data collection and reporting</w:t>
      </w:r>
    </w:p>
    <w:p w14:paraId="614EAC72" w14:textId="596641E7" w:rsidR="00757D21" w:rsidRPr="00781112" w:rsidRDefault="00757D21">
      <w:pPr>
        <w:rPr>
          <w:b/>
          <w:color w:val="000000" w:themeColor="text1"/>
        </w:rPr>
      </w:pPr>
    </w:p>
    <w:p w14:paraId="4ADBDC7F" w14:textId="2CA8C307" w:rsidR="00C01339" w:rsidRPr="00781112" w:rsidRDefault="00AF5649">
      <w:pPr>
        <w:rPr>
          <w:b/>
          <w:color w:val="000000" w:themeColor="text1"/>
        </w:rPr>
      </w:pPr>
      <w:r w:rsidRPr="00781112">
        <w:rPr>
          <w:b/>
          <w:color w:val="000000" w:themeColor="text1"/>
        </w:rPr>
        <w:t xml:space="preserve">Number of Districts in your State/Territory during reporting year </w:t>
      </w:r>
    </w:p>
    <w:p w14:paraId="36C38539" w14:textId="1E194795" w:rsidR="00AF5649" w:rsidRPr="00781112" w:rsidRDefault="002B7490" w:rsidP="004369B2">
      <w:pPr>
        <w:rPr>
          <w:color w:val="000000" w:themeColor="text1"/>
        </w:rPr>
      </w:pPr>
      <w:r w:rsidRPr="00781112">
        <w:rPr>
          <w:color w:val="000000" w:themeColor="text1"/>
        </w:rPr>
        <w:t>68</w:t>
      </w:r>
    </w:p>
    <w:p w14:paraId="785B8E3E" w14:textId="5E29FFD5" w:rsidR="00AF5649" w:rsidRPr="00781112" w:rsidRDefault="00AF5649" w:rsidP="004369B2">
      <w:pPr>
        <w:rPr>
          <w:color w:val="000000" w:themeColor="text1"/>
        </w:rPr>
      </w:pPr>
      <w:r w:rsidRPr="00781112">
        <w:rPr>
          <w:b/>
          <w:color w:val="000000" w:themeColor="text1"/>
        </w:rPr>
        <w:t>General Supervision System:</w:t>
      </w:r>
    </w:p>
    <w:p w14:paraId="626FCC62" w14:textId="7FB4B17A" w:rsidR="00731910" w:rsidRPr="00781112" w:rsidRDefault="004A7084" w:rsidP="00AF5649">
      <w:pPr>
        <w:rPr>
          <w:rFonts w:cs="Arial"/>
          <w:b/>
          <w:color w:val="000000" w:themeColor="text1"/>
          <w:szCs w:val="16"/>
        </w:rPr>
      </w:pPr>
      <w:r w:rsidRPr="00BA3DBE">
        <w:rPr>
          <w:b/>
          <w:bCs/>
        </w:rPr>
        <w:t>The systems that are in place to ensure that the IDEA Part B requirements are met (e.g., integrated monitoring activities; data on processes and results; the SPP/APR; fiscal management; policies, procedures, and practices resulting in effective implementation; and improvement, correction, incentives, and sanctions).</w:t>
      </w:r>
    </w:p>
    <w:p w14:paraId="7941FC2D" w14:textId="30866F75" w:rsidR="000C24C2" w:rsidRPr="00781112" w:rsidRDefault="002B7490" w:rsidP="00AF5649">
      <w:pPr>
        <w:rPr>
          <w:rFonts w:cs="Arial"/>
          <w:color w:val="000000" w:themeColor="text1"/>
          <w:szCs w:val="16"/>
        </w:rPr>
      </w:pPr>
      <w:r w:rsidRPr="00781112">
        <w:rPr>
          <w:rFonts w:cs="Arial"/>
          <w:color w:val="000000" w:themeColor="text1"/>
          <w:szCs w:val="16"/>
        </w:rPr>
        <w:t>Colorado General Supervision and Monitoring Objectives</w:t>
      </w:r>
      <w:r w:rsidRPr="00781112">
        <w:rPr>
          <w:rFonts w:cs="Arial"/>
          <w:color w:val="000000" w:themeColor="text1"/>
          <w:szCs w:val="16"/>
        </w:rPr>
        <w:br/>
        <w:t>Ensure a meaningful and continuous process that focuses on improving academic performance and outcomes for students with disabilities by linking AU data, including indicator data, to improvement activities and IDEA/ECEA regulatory requirements.</w:t>
      </w:r>
      <w:r w:rsidRPr="00781112">
        <w:rPr>
          <w:rFonts w:cs="Arial"/>
          <w:color w:val="000000" w:themeColor="text1"/>
          <w:szCs w:val="16"/>
        </w:rPr>
        <w:br/>
        <w:t>Support each AU in the process of program evaluation, and improvement of instructional effectiveness and compliance to ensure growth in student academic performance and outcomes.</w:t>
      </w:r>
      <w:r w:rsidRPr="00781112">
        <w:rPr>
          <w:rFonts w:cs="Arial"/>
          <w:color w:val="000000" w:themeColor="text1"/>
          <w:szCs w:val="16"/>
        </w:rPr>
        <w:br/>
        <w:t>Colorado implements monitoring and accountability activities with all AUs through three avenues, 1) annual, 2) cyclical, and 3) responsive monitoring. As data becomes available, the Data Team connects with the General Supervision and Monitoring (GSM) team to review and analyze data through the lens of compliance and outcomes, highlighting any patterns and trends. Annual monitoring is completed in the following areas.</w:t>
      </w:r>
      <w:r w:rsidRPr="00781112">
        <w:rPr>
          <w:rFonts w:cs="Arial"/>
          <w:color w:val="000000" w:themeColor="text1"/>
          <w:szCs w:val="16"/>
        </w:rPr>
        <w:br/>
      </w:r>
      <w:r w:rsidRPr="00781112">
        <w:rPr>
          <w:rFonts w:cs="Arial"/>
          <w:color w:val="000000" w:themeColor="text1"/>
          <w:szCs w:val="16"/>
        </w:rPr>
        <w:br/>
        <w:t>Annual Monitoring and Accountability (every AU, every year)</w:t>
      </w:r>
      <w:r w:rsidRPr="00781112">
        <w:rPr>
          <w:rFonts w:cs="Arial"/>
          <w:color w:val="000000" w:themeColor="text1"/>
          <w:szCs w:val="16"/>
        </w:rPr>
        <w:br/>
        <w:t xml:space="preserve">SPP/APR Indicators 1 through 16 </w:t>
      </w:r>
      <w:r w:rsidRPr="00781112">
        <w:rPr>
          <w:rFonts w:cs="Arial"/>
          <w:color w:val="000000" w:themeColor="text1"/>
          <w:szCs w:val="16"/>
        </w:rPr>
        <w:br/>
        <w:t xml:space="preserve">Significant Disproportionality </w:t>
      </w:r>
      <w:r w:rsidRPr="00781112">
        <w:rPr>
          <w:rFonts w:cs="Arial"/>
          <w:color w:val="000000" w:themeColor="text1"/>
          <w:szCs w:val="16"/>
        </w:rPr>
        <w:br/>
        <w:t>Colorado Alternative Assessment (CoAlt) participation rates and appropriateness of use with disability category</w:t>
      </w:r>
      <w:r w:rsidRPr="00781112">
        <w:rPr>
          <w:rFonts w:cs="Arial"/>
          <w:color w:val="000000" w:themeColor="text1"/>
          <w:szCs w:val="16"/>
        </w:rPr>
        <w:br/>
        <w:t>Personnel Qualifications</w:t>
      </w:r>
      <w:r w:rsidRPr="00781112">
        <w:rPr>
          <w:rFonts w:cs="Arial"/>
          <w:color w:val="000000" w:themeColor="text1"/>
          <w:szCs w:val="16"/>
        </w:rPr>
        <w:br/>
        <w:t>Standard IEP Record Reviews, including Transition Age I 13 IEP Reviews</w:t>
      </w:r>
      <w:r w:rsidRPr="00781112">
        <w:rPr>
          <w:rFonts w:cs="Arial"/>
          <w:color w:val="000000" w:themeColor="text1"/>
          <w:szCs w:val="16"/>
        </w:rPr>
        <w:br/>
        <w:t>Special Populations: Youth Services Centers, FAPE in County Jails</w:t>
      </w:r>
      <w:r w:rsidRPr="00781112">
        <w:rPr>
          <w:rFonts w:cs="Arial"/>
          <w:color w:val="000000" w:themeColor="text1"/>
          <w:szCs w:val="16"/>
        </w:rPr>
        <w:br/>
        <w:t>Timely and Accurate Data Submission</w:t>
      </w:r>
      <w:r w:rsidRPr="00781112">
        <w:rPr>
          <w:rFonts w:cs="Arial"/>
          <w:color w:val="000000" w:themeColor="text1"/>
          <w:szCs w:val="16"/>
        </w:rPr>
        <w:br/>
      </w:r>
      <w:r w:rsidRPr="00781112">
        <w:rPr>
          <w:rFonts w:cs="Arial"/>
          <w:color w:val="000000" w:themeColor="text1"/>
          <w:szCs w:val="16"/>
        </w:rPr>
        <w:br/>
        <w:t>Cyclical Monitoring and Accountability</w:t>
      </w:r>
      <w:r w:rsidRPr="00781112">
        <w:rPr>
          <w:rFonts w:cs="Arial"/>
          <w:color w:val="000000" w:themeColor="text1"/>
          <w:szCs w:val="16"/>
        </w:rPr>
        <w:br/>
        <w:t>After a pilot in 2022 – 2023, the GSM team launched a new cyclical monitoring system, the Facilitated Assessment (FA) in 2023 - 2024. Using the AU Risk Factor Matrix, and integrating information from the Data Team, Dispute Resolution Team, Dispute Prevention and Assisted Resolution Team, and the Professional Development (PD) team, the CDE monitors every AU, every four years.</w:t>
      </w:r>
      <w:r w:rsidRPr="00781112">
        <w:rPr>
          <w:rFonts w:cs="Arial"/>
          <w:color w:val="000000" w:themeColor="text1"/>
          <w:szCs w:val="16"/>
        </w:rPr>
        <w:br/>
        <w:t xml:space="preserve">The FA is a comprehensive monitoring tool that assists AUs in evaluating how their policies, procedures, and practices impact the outcomes of students with disabilities. Every AU participates in a multi-day, on-site, facilitated monitoring visit with CDE, which culminates with first, correction of noncompliance, and second, the development of an action plan to improve outcomes for students with disabilities. The FA has four main domains (additional domain in development), and an “other areas” category to ensure a comprehensive review of the AU: </w:t>
      </w:r>
      <w:r w:rsidRPr="00781112">
        <w:rPr>
          <w:rFonts w:cs="Arial"/>
          <w:color w:val="000000" w:themeColor="text1"/>
          <w:szCs w:val="16"/>
        </w:rPr>
        <w:br/>
        <w:t>Domain A: Child Find and Initial Evaluations (Indicators 11, 12, and Part C to Part B Child Counts and Transition)</w:t>
      </w:r>
      <w:r w:rsidRPr="00781112">
        <w:rPr>
          <w:rFonts w:cs="Arial"/>
          <w:color w:val="000000" w:themeColor="text1"/>
          <w:szCs w:val="16"/>
        </w:rPr>
        <w:br/>
        <w:t>Domain B: FAPE and Delivery of Services (Indicators 7, 13, and Educational Benefit IEP File Reviews)</w:t>
      </w:r>
      <w:r w:rsidRPr="00781112">
        <w:rPr>
          <w:rFonts w:cs="Arial"/>
          <w:color w:val="000000" w:themeColor="text1"/>
          <w:szCs w:val="16"/>
        </w:rPr>
        <w:br/>
        <w:t>Domain C: School Completion and Discipline (Indicators 1, 2, and 4)</w:t>
      </w:r>
      <w:r w:rsidRPr="00781112">
        <w:rPr>
          <w:rFonts w:cs="Arial"/>
          <w:color w:val="000000" w:themeColor="text1"/>
          <w:szCs w:val="16"/>
        </w:rPr>
        <w:br/>
        <w:t xml:space="preserve">Domain D: LRE and Placement (Indicators 5 and 6) </w:t>
      </w:r>
      <w:r w:rsidRPr="00781112">
        <w:rPr>
          <w:rFonts w:cs="Arial"/>
          <w:color w:val="000000" w:themeColor="text1"/>
          <w:szCs w:val="16"/>
        </w:rPr>
        <w:br/>
        <w:t>In development: Domain E: Parent Engagement (Indicator 8, Family Participation, Outreach and Professional Development)</w:t>
      </w:r>
      <w:r w:rsidRPr="00781112">
        <w:rPr>
          <w:rFonts w:cs="Arial"/>
          <w:color w:val="000000" w:themeColor="text1"/>
          <w:szCs w:val="16"/>
        </w:rPr>
        <w:br/>
        <w:t>Other Areas: If other data is concerning, the GSM team weaves this into the on-site visit (i.e., I3, I9-10-Sig Dispro, 14, DR, personnel qualifications, fiscal, timely and accurate data, active or recent CAPs, parent feedback, responsive monitoring areas, areas of concern).</w:t>
      </w:r>
      <w:r w:rsidRPr="00781112">
        <w:rPr>
          <w:rFonts w:cs="Arial"/>
          <w:color w:val="000000" w:themeColor="text1"/>
          <w:szCs w:val="16"/>
        </w:rPr>
        <w:br/>
      </w:r>
      <w:r w:rsidRPr="00781112">
        <w:rPr>
          <w:rFonts w:cs="Arial"/>
          <w:color w:val="000000" w:themeColor="text1"/>
          <w:szCs w:val="16"/>
        </w:rPr>
        <w:br/>
        <w:t>Responsive Monitoring and Accountability</w:t>
      </w:r>
      <w:r w:rsidRPr="00781112">
        <w:rPr>
          <w:rFonts w:cs="Arial"/>
          <w:color w:val="000000" w:themeColor="text1"/>
          <w:szCs w:val="16"/>
        </w:rPr>
        <w:br/>
        <w:t>As data and/or new information becomes available (i.e., data, area of concern, DR trends, parent phone calls, etc.), the CDE investigates to ensure there are no potential implementation or compliance issues. If areas of noncompliance are identified, official notification is sent to the AU, and the GSM team ensures individual and/or systemic issues are corrected.</w:t>
      </w:r>
      <w:r w:rsidRPr="00781112">
        <w:rPr>
          <w:rFonts w:cs="Arial"/>
          <w:color w:val="000000" w:themeColor="text1"/>
          <w:szCs w:val="16"/>
        </w:rPr>
        <w:br/>
      </w:r>
      <w:r w:rsidRPr="00781112">
        <w:rPr>
          <w:rFonts w:cs="Arial"/>
          <w:color w:val="000000" w:themeColor="text1"/>
          <w:szCs w:val="16"/>
        </w:rPr>
        <w:br/>
        <w:t>Three-Tiered System of Support</w:t>
      </w:r>
      <w:r w:rsidRPr="00781112">
        <w:rPr>
          <w:rFonts w:cs="Arial"/>
          <w:color w:val="000000" w:themeColor="text1"/>
          <w:szCs w:val="16"/>
        </w:rPr>
        <w:br/>
        <w:t xml:space="preserve">Colorado also utilizes a three-tiered system of support that guides state support (i.e., TA, PD, one-on-one coaching, virtual and on-site support, etc.), 1) universal, 2) targeted, and 3) intensive. Any AU who is targeted or intensive engages in more one-on-one support, coaching, and technical assistance with the CDE. </w:t>
      </w:r>
      <w:r w:rsidRPr="00781112">
        <w:rPr>
          <w:rFonts w:cs="Arial"/>
          <w:color w:val="000000" w:themeColor="text1"/>
          <w:szCs w:val="16"/>
        </w:rPr>
        <w:br/>
      </w:r>
      <w:r w:rsidRPr="00781112">
        <w:rPr>
          <w:rFonts w:cs="Arial"/>
          <w:color w:val="000000" w:themeColor="text1"/>
          <w:szCs w:val="16"/>
        </w:rPr>
        <w:br/>
        <w:t>Connection to Fiscal Monitoring</w:t>
      </w:r>
      <w:r w:rsidRPr="00781112">
        <w:rPr>
          <w:rFonts w:cs="Arial"/>
          <w:color w:val="000000" w:themeColor="text1"/>
          <w:szCs w:val="16"/>
        </w:rPr>
        <w:br/>
        <w:t>OSE staff also works closely with CDE’s School Finance Unit to ensure that each AU meets requirements specific to excess cost calculation, maintenance of effort, proportionate share calculations for children with disabilities enrolled in private schools, and allowable use of funds. As part of this effort CDE considers the following:</w:t>
      </w:r>
      <w:r w:rsidRPr="00781112">
        <w:rPr>
          <w:rFonts w:cs="Arial"/>
          <w:color w:val="000000" w:themeColor="text1"/>
          <w:szCs w:val="16"/>
        </w:rPr>
        <w:br/>
      </w:r>
      <w:r w:rsidRPr="00781112">
        <w:rPr>
          <w:rFonts w:cs="Arial"/>
          <w:color w:val="000000" w:themeColor="text1"/>
          <w:szCs w:val="16"/>
        </w:rPr>
        <w:lastRenderedPageBreak/>
        <w:t>• IDEA Part B and Preschool Narratives and Budgets</w:t>
      </w:r>
      <w:r w:rsidRPr="00781112">
        <w:rPr>
          <w:rFonts w:cs="Arial"/>
          <w:color w:val="000000" w:themeColor="text1"/>
          <w:szCs w:val="16"/>
        </w:rPr>
        <w:br/>
        <w:t>• End of Year fiscal reporting</w:t>
      </w:r>
      <w:r w:rsidRPr="00781112">
        <w:rPr>
          <w:rFonts w:cs="Arial"/>
          <w:color w:val="000000" w:themeColor="text1"/>
          <w:szCs w:val="16"/>
        </w:rPr>
        <w:br/>
      </w:r>
      <w:r w:rsidRPr="00781112">
        <w:rPr>
          <w:rFonts w:cs="Arial"/>
          <w:color w:val="000000" w:themeColor="text1"/>
          <w:szCs w:val="16"/>
        </w:rPr>
        <w:br/>
        <w:t>Verification of Correction and Enforcement Activities</w:t>
      </w:r>
      <w:r w:rsidRPr="00781112">
        <w:rPr>
          <w:rFonts w:cs="Arial"/>
          <w:color w:val="000000" w:themeColor="text1"/>
          <w:szCs w:val="16"/>
        </w:rPr>
        <w:br/>
      </w:r>
      <w:r w:rsidRPr="00781112">
        <w:rPr>
          <w:rFonts w:cs="Arial"/>
          <w:color w:val="000000" w:themeColor="text1"/>
          <w:szCs w:val="16"/>
        </w:rPr>
        <w:br/>
        <w:t>The OSE’s General Supervision and Monitoring Staff work collaboratively with the state’s local special education directors to identify root causes that resulted in noncompliance and/or to provide technical assistance to support AUs in correcting noncompliance and sustaining compliance. In all instances of systemic and student specific noncompliance, correction is required as soon as possible, and no later than one year.</w:t>
      </w:r>
      <w:r w:rsidRPr="00781112">
        <w:rPr>
          <w:rFonts w:cs="Arial"/>
          <w:color w:val="000000" w:themeColor="text1"/>
          <w:szCs w:val="16"/>
        </w:rPr>
        <w:br/>
      </w:r>
      <w:r w:rsidRPr="00781112">
        <w:rPr>
          <w:rFonts w:cs="Arial"/>
          <w:color w:val="000000" w:themeColor="text1"/>
          <w:szCs w:val="16"/>
        </w:rPr>
        <w:br/>
        <w:t>Dispute Resolution Process</w:t>
      </w:r>
      <w:r w:rsidRPr="00781112">
        <w:rPr>
          <w:rFonts w:cs="Arial"/>
          <w:color w:val="000000" w:themeColor="text1"/>
          <w:szCs w:val="16"/>
        </w:rPr>
        <w:br/>
        <w:t>Facilitated IEP Process:</w:t>
      </w:r>
      <w:r w:rsidRPr="00781112">
        <w:rPr>
          <w:rFonts w:cs="Arial"/>
          <w:color w:val="000000" w:themeColor="text1"/>
          <w:szCs w:val="16"/>
        </w:rPr>
        <w:br/>
      </w:r>
      <w:r w:rsidRPr="00781112">
        <w:rPr>
          <w:rFonts w:cs="Arial"/>
          <w:color w:val="000000" w:themeColor="text1"/>
          <w:szCs w:val="16"/>
        </w:rPr>
        <w:br/>
        <w:t>The CDE supports IEP facilitation as a practice for preventing and intervening constructively in disagreements that may emerge during the IEP meeting. CDE currently offers statewide facilitators to support districts and parents at no cost. CDE also provides facilitation training to build sustainability.</w:t>
      </w:r>
      <w:r w:rsidRPr="00781112">
        <w:rPr>
          <w:rFonts w:cs="Arial"/>
          <w:color w:val="000000" w:themeColor="text1"/>
          <w:szCs w:val="16"/>
        </w:rPr>
        <w:br/>
      </w:r>
      <w:r w:rsidRPr="00781112">
        <w:rPr>
          <w:rFonts w:cs="Arial"/>
          <w:color w:val="000000" w:themeColor="text1"/>
          <w:szCs w:val="16"/>
        </w:rPr>
        <w:br/>
        <w:t>Mediation:</w:t>
      </w:r>
      <w:r w:rsidRPr="00781112">
        <w:rPr>
          <w:rFonts w:cs="Arial"/>
          <w:color w:val="000000" w:themeColor="text1"/>
          <w:szCs w:val="16"/>
        </w:rPr>
        <w:br/>
      </w:r>
      <w:r w:rsidRPr="00781112">
        <w:rPr>
          <w:rFonts w:cs="Arial"/>
          <w:color w:val="000000" w:themeColor="text1"/>
          <w:szCs w:val="16"/>
        </w:rPr>
        <w:br/>
        <w:t xml:space="preserve">Mediation is available at no cost to parents and school districts who have disputes involving any matter under Part B. </w:t>
      </w:r>
      <w:r w:rsidRPr="00781112">
        <w:rPr>
          <w:rFonts w:cs="Arial"/>
          <w:color w:val="000000" w:themeColor="text1"/>
          <w:szCs w:val="16"/>
        </w:rPr>
        <w:br/>
        <w:t xml:space="preserve">When CDE receives a request for mediation, dispute resolution staff confirm that both parties are agreeable to mediation. Once both parties have agreed to mediation, a mediator is assigned based on a random or rotational basis. </w:t>
      </w:r>
      <w:r w:rsidRPr="00781112">
        <w:rPr>
          <w:rFonts w:cs="Arial"/>
          <w:color w:val="000000" w:themeColor="text1"/>
          <w:szCs w:val="16"/>
        </w:rPr>
        <w:br/>
      </w:r>
      <w:r w:rsidRPr="00781112">
        <w:rPr>
          <w:rFonts w:cs="Arial"/>
          <w:color w:val="000000" w:themeColor="text1"/>
          <w:szCs w:val="16"/>
        </w:rPr>
        <w:br/>
        <w:t>State Complaints Process:</w:t>
      </w:r>
      <w:r w:rsidRPr="00781112">
        <w:rPr>
          <w:rFonts w:cs="Arial"/>
          <w:color w:val="000000" w:themeColor="text1"/>
          <w:szCs w:val="16"/>
        </w:rPr>
        <w:br/>
      </w:r>
      <w:r w:rsidRPr="00781112">
        <w:rPr>
          <w:rFonts w:cs="Arial"/>
          <w:color w:val="000000" w:themeColor="text1"/>
          <w:szCs w:val="16"/>
        </w:rPr>
        <w:br/>
        <w:t>The state complaint process is available to any party who believes a public agency has violated IDEA/ECEA. When a state complaint is filed, a state complaint officer (SCO) notifies the parties whether the complaint is accepted for investigation. If a complaint is rejected for not meeting content requirements, the party is informed of the reasons why and notified of their right to refile.</w:t>
      </w:r>
      <w:r w:rsidRPr="00781112">
        <w:rPr>
          <w:rFonts w:cs="Arial"/>
          <w:color w:val="000000" w:themeColor="text1"/>
          <w:szCs w:val="16"/>
        </w:rPr>
        <w:br/>
      </w:r>
      <w:r w:rsidRPr="00781112">
        <w:rPr>
          <w:rFonts w:cs="Arial"/>
          <w:color w:val="000000" w:themeColor="text1"/>
          <w:szCs w:val="16"/>
        </w:rPr>
        <w:br/>
        <w:t xml:space="preserve">The SCO uses a variety of investigative techniques including requests for information, interviews, and review of records. Within 60 days, the SCO issues a decision that includes findings of fact and conclusions of law, unless properly extended for mediation or exceptional circumstances. </w:t>
      </w:r>
      <w:r w:rsidRPr="00781112">
        <w:rPr>
          <w:rFonts w:cs="Arial"/>
          <w:color w:val="000000" w:themeColor="text1"/>
          <w:szCs w:val="16"/>
        </w:rPr>
        <w:br/>
      </w:r>
      <w:r w:rsidRPr="00781112">
        <w:rPr>
          <w:rFonts w:cs="Arial"/>
          <w:color w:val="000000" w:themeColor="text1"/>
          <w:szCs w:val="16"/>
        </w:rPr>
        <w:br/>
        <w:t xml:space="preserve">If the investigation results in findings of noncompliance, the SCO orders corrective action and establishes dates for completion of activities, as well as documentation that must be submitted to demonstrate that corrective action has been taken. </w:t>
      </w:r>
      <w:r w:rsidRPr="00781112">
        <w:rPr>
          <w:rFonts w:cs="Arial"/>
          <w:color w:val="000000" w:themeColor="text1"/>
          <w:szCs w:val="16"/>
        </w:rPr>
        <w:br/>
      </w:r>
      <w:r w:rsidRPr="00781112">
        <w:rPr>
          <w:rFonts w:cs="Arial"/>
          <w:color w:val="000000" w:themeColor="text1"/>
          <w:szCs w:val="16"/>
        </w:rPr>
        <w:br/>
        <w:t>Due Process Hearings:</w:t>
      </w:r>
      <w:r w:rsidRPr="00781112">
        <w:rPr>
          <w:rFonts w:cs="Arial"/>
          <w:color w:val="000000" w:themeColor="text1"/>
          <w:szCs w:val="16"/>
        </w:rPr>
        <w:br/>
      </w:r>
      <w:r w:rsidRPr="00781112">
        <w:rPr>
          <w:rFonts w:cs="Arial"/>
          <w:color w:val="000000" w:themeColor="text1"/>
          <w:szCs w:val="16"/>
        </w:rPr>
        <w:br/>
        <w:t>CDE uses Administrative Law Judges (ALJ) to provide due process hearings. The OSE tracks applicable timelines to ensure compliance with IDEA and provides a copy of the decision for publication and dissemination to the state special education advisory committee. The OSE regularly provides training in special education law to ALJs. If the ALJ orders remedies, the General Supervision Team is notified to ensure compliance.</w:t>
      </w:r>
    </w:p>
    <w:p w14:paraId="26D57A13" w14:textId="589F2D22" w:rsidR="00AF5649" w:rsidRPr="00781112" w:rsidRDefault="00AF5649" w:rsidP="004369B2">
      <w:pPr>
        <w:rPr>
          <w:color w:val="000000" w:themeColor="text1"/>
        </w:rPr>
      </w:pPr>
      <w:r w:rsidRPr="00781112">
        <w:rPr>
          <w:b/>
          <w:color w:val="000000" w:themeColor="text1"/>
        </w:rPr>
        <w:t>Technical Assistance System:</w:t>
      </w:r>
    </w:p>
    <w:p w14:paraId="66B8EA84" w14:textId="52F3DBDC" w:rsidR="00AF5649" w:rsidRPr="00781112" w:rsidRDefault="00AF5649" w:rsidP="00AF5649">
      <w:pPr>
        <w:rPr>
          <w:rFonts w:cs="Arial"/>
          <w:b/>
          <w:color w:val="000000" w:themeColor="text1"/>
          <w:szCs w:val="16"/>
        </w:rPr>
      </w:pPr>
      <w:r w:rsidRPr="00781112">
        <w:rPr>
          <w:rFonts w:cs="Arial"/>
          <w:b/>
          <w:color w:val="000000" w:themeColor="text1"/>
          <w:szCs w:val="16"/>
        </w:rPr>
        <w:t>The mechanisms that the State has in place to ensure the timely delivery of high quality, evidence</w:t>
      </w:r>
      <w:r w:rsidR="00EE0EC5">
        <w:rPr>
          <w:rFonts w:cs="Arial"/>
          <w:b/>
          <w:color w:val="000000" w:themeColor="text1"/>
          <w:szCs w:val="16"/>
        </w:rPr>
        <w:t>-</w:t>
      </w:r>
      <w:r w:rsidRPr="00781112">
        <w:rPr>
          <w:rFonts w:cs="Arial"/>
          <w:b/>
          <w:color w:val="000000" w:themeColor="text1"/>
          <w:szCs w:val="16"/>
        </w:rPr>
        <w:t>based technical assistance and support to LEAs.</w:t>
      </w:r>
    </w:p>
    <w:p w14:paraId="46AFA65A" w14:textId="31299B5B" w:rsidR="000C24C2" w:rsidRPr="00781112" w:rsidRDefault="002B7490" w:rsidP="007925C6">
      <w:pPr>
        <w:rPr>
          <w:rFonts w:cs="Arial"/>
          <w:color w:val="000000" w:themeColor="text1"/>
          <w:szCs w:val="16"/>
        </w:rPr>
      </w:pPr>
      <w:r w:rsidRPr="00781112">
        <w:rPr>
          <w:rFonts w:cs="Arial"/>
          <w:color w:val="000000" w:themeColor="text1"/>
          <w:szCs w:val="16"/>
        </w:rPr>
        <w:t xml:space="preserve">OSE consultants are available via email, telephone, and in person to address AU-specific requests for technical assistance (TA) as a part of the General Supervision System. In addition, the CDE provides varied levels of technical assistance based on need. </w:t>
      </w:r>
      <w:r w:rsidRPr="00781112">
        <w:rPr>
          <w:rFonts w:cs="Arial"/>
          <w:color w:val="000000" w:themeColor="text1"/>
          <w:szCs w:val="16"/>
        </w:rPr>
        <w:br/>
      </w:r>
      <w:r w:rsidRPr="00781112">
        <w:rPr>
          <w:rFonts w:cs="Arial"/>
          <w:color w:val="000000" w:themeColor="text1"/>
          <w:szCs w:val="16"/>
        </w:rPr>
        <w:br/>
        <w:t xml:space="preserve">Universal Support </w:t>
      </w:r>
      <w:r w:rsidRPr="00781112">
        <w:rPr>
          <w:rFonts w:cs="Arial"/>
          <w:color w:val="000000" w:themeColor="text1"/>
          <w:szCs w:val="16"/>
        </w:rPr>
        <w:br/>
        <w:t xml:space="preserve">Available for AUs that demonstrate compliance with IDEA and Colorado’s ECEA regulations based on performance indicators and data sources. Examples of Universal Supports may include resources on the website, self-assessment tool, conferences, and webinars. </w:t>
      </w:r>
      <w:r w:rsidRPr="00781112">
        <w:rPr>
          <w:rFonts w:cs="Arial"/>
          <w:color w:val="000000" w:themeColor="text1"/>
          <w:szCs w:val="16"/>
        </w:rPr>
        <w:br/>
      </w:r>
      <w:r w:rsidRPr="00781112">
        <w:rPr>
          <w:rFonts w:cs="Arial"/>
          <w:color w:val="000000" w:themeColor="text1"/>
          <w:szCs w:val="16"/>
        </w:rPr>
        <w:br/>
        <w:t xml:space="preserve">Targeted Support </w:t>
      </w:r>
      <w:r w:rsidRPr="00781112">
        <w:rPr>
          <w:rFonts w:cs="Arial"/>
          <w:color w:val="000000" w:themeColor="text1"/>
          <w:szCs w:val="16"/>
        </w:rPr>
        <w:br/>
        <w:t>Available for AUs that demonstrate multiple areas of moderate need over 12-18 months as reflected in performance indicators, student achievement data, and other data sources. The AU’s specific area(s) of need are targeted through TA activities and interventions identified through a facilitated self-assessment tool and developed with the AU. Examples of Targeted Supports include but are not limited to side-by-side assistance, in-person professional learning, and tools and resources to analyze areas of concern.</w:t>
      </w:r>
      <w:r w:rsidRPr="00781112">
        <w:rPr>
          <w:rFonts w:cs="Arial"/>
          <w:color w:val="000000" w:themeColor="text1"/>
          <w:szCs w:val="16"/>
        </w:rPr>
        <w:br/>
      </w:r>
      <w:r w:rsidRPr="00781112">
        <w:rPr>
          <w:rFonts w:cs="Arial"/>
          <w:color w:val="000000" w:themeColor="text1"/>
          <w:szCs w:val="16"/>
        </w:rPr>
        <w:br/>
        <w:t xml:space="preserve">Intensive Support </w:t>
      </w:r>
      <w:r w:rsidRPr="00781112">
        <w:rPr>
          <w:rFonts w:cs="Arial"/>
          <w:color w:val="000000" w:themeColor="text1"/>
          <w:szCs w:val="16"/>
        </w:rPr>
        <w:br/>
        <w:t>Available for AUs that demonstrate ongoing areas of intense need or many areas of need that have not been adequately addressed, as reflected in performance indicators, student achievement data and other data sources described above. A Corrective Action Plan (CAP) is developed to address findings of noncompliance. The AU receives intensive support from the CDE (e.g., site visits, professional development, increased data reporting to the CDE in targeted area(s), virtual meetings, desk audit) to develop and implement the CAP. The CDE follows up with AUs regarding its CAP on a regular basis to ensure compliance and progress.</w:t>
      </w:r>
      <w:r w:rsidRPr="00781112">
        <w:rPr>
          <w:rFonts w:cs="Arial"/>
          <w:color w:val="000000" w:themeColor="text1"/>
          <w:szCs w:val="16"/>
        </w:rPr>
        <w:br/>
      </w:r>
      <w:r w:rsidRPr="00781112">
        <w:rPr>
          <w:rFonts w:cs="Arial"/>
          <w:color w:val="000000" w:themeColor="text1"/>
          <w:szCs w:val="16"/>
        </w:rPr>
        <w:br/>
        <w:t xml:space="preserve">The Access, Learning, and Literacy (ALL) Team, which is the OSE's PD Team, has specific FTE and budgets designed to address tiered Professional Development (PD) and Technical Assistance (TA) targets determined by federal and state requirements, national and state initiatives, and statewide data. The team contributes to an integrated monitoring / indicator system that includes PD and TA efforts and consults with the Dispute Resolution Team on complaints that may involve ALL Team time on corrective actions. There are PD and TA events that occur throughout the year due to CDE-specific requests and new legislative requirements. The main PD and TA targets are tied to CDE initiatives and established field needs and include a focus upon accommodations, communication/ language, eligibility, literacy, math, secondary transition, and behavior/mental health. These broad targets are specific to specially designed instruction inclusive of evidence-based practices for SWD to access and demonstrate progress in the general education curriculum. Specialized training occurs based on legislation, national and state priorities, and responses to dispute resolution or corrective actions. Clock hours are assigned per CDE licensure/professional organization requirements. Technical assistance to AUs involves partner data review, analysis, and collaboration. There is an online inventory (e.g., Moodle Courses) to direct school personnel to complete independently on a variety of topics to reduce awareness-level </w:t>
      </w:r>
      <w:proofErr w:type="gramStart"/>
      <w:r w:rsidRPr="00781112">
        <w:rPr>
          <w:rFonts w:cs="Arial"/>
          <w:color w:val="000000" w:themeColor="text1"/>
          <w:szCs w:val="16"/>
        </w:rPr>
        <w:t>trainings</w:t>
      </w:r>
      <w:proofErr w:type="gramEnd"/>
      <w:r w:rsidRPr="00781112">
        <w:rPr>
          <w:rFonts w:cs="Arial"/>
          <w:color w:val="000000" w:themeColor="text1"/>
          <w:szCs w:val="16"/>
        </w:rPr>
        <w:t>.</w:t>
      </w:r>
    </w:p>
    <w:p w14:paraId="31C31C58" w14:textId="6D9367D0" w:rsidR="00AF5649" w:rsidRPr="00781112" w:rsidRDefault="00AF5649" w:rsidP="004369B2">
      <w:pPr>
        <w:rPr>
          <w:color w:val="000000" w:themeColor="text1"/>
        </w:rPr>
      </w:pPr>
      <w:r w:rsidRPr="00781112">
        <w:rPr>
          <w:b/>
          <w:color w:val="000000" w:themeColor="text1"/>
        </w:rPr>
        <w:t>Professional Development System:</w:t>
      </w:r>
    </w:p>
    <w:p w14:paraId="25232CAB" w14:textId="27BBB727" w:rsidR="00AF5649" w:rsidRPr="00781112" w:rsidRDefault="00AF5649" w:rsidP="00AF5649">
      <w:pPr>
        <w:rPr>
          <w:rFonts w:cs="Arial"/>
          <w:b/>
          <w:color w:val="000000" w:themeColor="text1"/>
          <w:szCs w:val="16"/>
        </w:rPr>
      </w:pPr>
      <w:r w:rsidRPr="00781112">
        <w:rPr>
          <w:rFonts w:cs="Arial"/>
          <w:b/>
          <w:color w:val="000000" w:themeColor="text1"/>
          <w:szCs w:val="16"/>
        </w:rPr>
        <w:t>The mechanisms the State has in place to ensure that service providers have the skills to effectively provide services that improve results for children with disabilities.</w:t>
      </w:r>
    </w:p>
    <w:p w14:paraId="0B77B8C1" w14:textId="3CE3A35D" w:rsidR="007742F1" w:rsidRPr="00781112" w:rsidRDefault="002B7490" w:rsidP="007925C6">
      <w:pPr>
        <w:rPr>
          <w:rFonts w:cs="Arial"/>
          <w:color w:val="000000" w:themeColor="text1"/>
          <w:szCs w:val="16"/>
        </w:rPr>
      </w:pPr>
      <w:r w:rsidRPr="00781112">
        <w:rPr>
          <w:rFonts w:cs="Arial"/>
          <w:color w:val="000000" w:themeColor="text1"/>
          <w:szCs w:val="16"/>
        </w:rPr>
        <w:lastRenderedPageBreak/>
        <w:t>The ALL Team has specific FTE and budgets designed to address tiered PD and TA targets determined by federal and state requirements, national and state initiatives, and statewide data. The team contributes to an integrated monitoring / indicator system that includes PD and TA efforts and consults with the Dispute Resolution Team on complaints that may involve ALL Team time on corrective actions. There are PD and TA events that occur throughout the year due to CDE-specific requests and new legislative requirements. The main PD and TA targets are tied to CDE initiatives and established field needs and include a focus upon accommodations, communication/ language, eligibility, literacy, math, secondary transition, and behavior/mental health. These broad targets are specific to specially designed instruction inclusive of evidence-based practices for students with disabilities (SWD) to access and demonstrate progress in the general education curriculum and make meaningful progress on their individual education plan (IEP). Specialized training occurs based on legislation, national and state priorities, and responses to dispute resolution or corrective actions. Clock hours are assigned per CDE licensure/professional organization requirements. Technical assistance to AUs involves partner data review, analysis, and collaboration. There is an online inventory (e.g., Moodle Courses) to direct school personnel to complete independently on a variety of topics.</w:t>
      </w:r>
    </w:p>
    <w:p w14:paraId="0D25C7E9" w14:textId="57CCC112" w:rsidR="00AF5649" w:rsidRPr="00781112" w:rsidRDefault="00F72E24" w:rsidP="004369B2">
      <w:pPr>
        <w:rPr>
          <w:color w:val="000000" w:themeColor="text1"/>
        </w:rPr>
      </w:pPr>
      <w:r w:rsidRPr="00781112">
        <w:rPr>
          <w:b/>
          <w:color w:val="000000" w:themeColor="text1"/>
        </w:rPr>
        <w:t xml:space="preserve">Stakeholder </w:t>
      </w:r>
      <w:r w:rsidR="00EE0EC5">
        <w:rPr>
          <w:b/>
          <w:color w:val="000000" w:themeColor="text1"/>
        </w:rPr>
        <w:t>Engagement</w:t>
      </w:r>
      <w:r w:rsidRPr="00781112">
        <w:rPr>
          <w:b/>
          <w:color w:val="000000" w:themeColor="text1"/>
        </w:rPr>
        <w:t>:</w:t>
      </w:r>
    </w:p>
    <w:p w14:paraId="0EB1658A" w14:textId="58A43615" w:rsidR="006457D1" w:rsidRPr="006457D1" w:rsidRDefault="00EE0EC5" w:rsidP="006457D1">
      <w:pPr>
        <w:rPr>
          <w:rFonts w:cs="Arial"/>
          <w:b/>
          <w:color w:val="000000" w:themeColor="text1"/>
          <w:szCs w:val="16"/>
        </w:rPr>
      </w:pPr>
      <w:r w:rsidRPr="00BA3DBE">
        <w:rPr>
          <w:b/>
        </w:rPr>
        <w:t>The mechanisms for broad stakeholder engagement, including activities carried out to obtain input from, and build the capacity of, a diverse group of parents to support the implementation activities designed to improve outcomes, including target setting and any subsequent revisions to targets, analyzing data, developing improvement strategies, and evaluating progress.</w:t>
      </w:r>
    </w:p>
    <w:p w14:paraId="7621D9ED" w14:textId="6E2BA22E" w:rsidR="000C24C2" w:rsidRPr="00781112" w:rsidRDefault="002B7490" w:rsidP="000C24C2">
      <w:pPr>
        <w:rPr>
          <w:rFonts w:cs="Arial"/>
          <w:color w:val="000000" w:themeColor="text1"/>
          <w:szCs w:val="16"/>
        </w:rPr>
      </w:pPr>
      <w:r w:rsidRPr="00781112">
        <w:rPr>
          <w:rFonts w:cs="Arial"/>
          <w:color w:val="000000" w:themeColor="text1"/>
          <w:szCs w:val="16"/>
        </w:rPr>
        <w:t xml:space="preserve">CDE met with parent and field members of the Colorado State Education Advisory Council (CSEAC) to review targets, results, and evaluate progress of all Indicators in the SPP/APR. </w:t>
      </w:r>
      <w:r w:rsidRPr="00781112">
        <w:rPr>
          <w:rFonts w:cs="Arial"/>
          <w:color w:val="000000" w:themeColor="text1"/>
          <w:szCs w:val="16"/>
        </w:rPr>
        <w:br/>
      </w:r>
      <w:r w:rsidRPr="00781112">
        <w:rPr>
          <w:rFonts w:cs="Arial"/>
          <w:color w:val="000000" w:themeColor="text1"/>
          <w:szCs w:val="16"/>
        </w:rPr>
        <w:br/>
        <w:t xml:space="preserve">Indicator 4: On 9/26/2023, Colorado Department of Education (CDE), with support and in-person facilitation by staff from the IDEA Data Center (IDC), convened a broad stakeholder group composed of parent and community representatives from Colorado Disability Law, Advocacy Denver, the Arc of Colorado, PEAK Parent Center, and CSEAC in addition to local Special Education Directors. The </w:t>
      </w:r>
      <w:proofErr w:type="gramStart"/>
      <w:r w:rsidRPr="00781112">
        <w:rPr>
          <w:rFonts w:cs="Arial"/>
          <w:color w:val="000000" w:themeColor="text1"/>
          <w:szCs w:val="16"/>
        </w:rPr>
        <w:t>Indicator</w:t>
      </w:r>
      <w:proofErr w:type="gramEnd"/>
      <w:r w:rsidRPr="00781112">
        <w:rPr>
          <w:rFonts w:cs="Arial"/>
          <w:color w:val="000000" w:themeColor="text1"/>
          <w:szCs w:val="16"/>
        </w:rPr>
        <w:t xml:space="preserve"> 4A and 4B definitions and Colorado’s current calculations were explained in detail. IDC staff led a discussion on the intended outcomes on students and AUs of collecting and reporting this Indicator data. IDC presented various scenarios and the group examined the impact of each of the changes in determining significant discrepancies to the State’s methodology. IDC staff led a consensus building activity that led to the </w:t>
      </w:r>
      <w:proofErr w:type="gramStart"/>
      <w:r w:rsidRPr="00781112">
        <w:rPr>
          <w:rFonts w:cs="Arial"/>
          <w:color w:val="000000" w:themeColor="text1"/>
          <w:szCs w:val="16"/>
        </w:rPr>
        <w:t>Indicator</w:t>
      </w:r>
      <w:proofErr w:type="gramEnd"/>
      <w:r w:rsidRPr="00781112">
        <w:rPr>
          <w:rFonts w:cs="Arial"/>
          <w:color w:val="000000" w:themeColor="text1"/>
          <w:szCs w:val="16"/>
        </w:rPr>
        <w:t xml:space="preserve"> 4A stakeholder recommendation to the state to:</w:t>
      </w:r>
      <w:r w:rsidRPr="00781112">
        <w:rPr>
          <w:rFonts w:cs="Arial"/>
          <w:color w:val="000000" w:themeColor="text1"/>
          <w:szCs w:val="16"/>
        </w:rPr>
        <w:br/>
        <w:t>1.</w:t>
      </w:r>
      <w:r w:rsidRPr="00781112">
        <w:rPr>
          <w:rFonts w:cs="Arial"/>
          <w:color w:val="000000" w:themeColor="text1"/>
          <w:szCs w:val="16"/>
        </w:rPr>
        <w:tab/>
        <w:t xml:space="preserve">Lower the threshold from 4 times the state’s rate to 2.0 times the state’s rate. </w:t>
      </w:r>
      <w:r w:rsidRPr="00781112">
        <w:rPr>
          <w:rFonts w:cs="Arial"/>
          <w:color w:val="000000" w:themeColor="text1"/>
          <w:szCs w:val="16"/>
        </w:rPr>
        <w:br/>
        <w:t>2. AUs who fall between 1.5 and 2.0 will receive a warning letter</w:t>
      </w:r>
      <w:r w:rsidRPr="00781112">
        <w:rPr>
          <w:rFonts w:cs="Arial"/>
          <w:color w:val="000000" w:themeColor="text1"/>
          <w:szCs w:val="16"/>
        </w:rPr>
        <w:br/>
        <w:t>3.</w:t>
      </w:r>
      <w:r w:rsidRPr="00781112">
        <w:rPr>
          <w:rFonts w:cs="Arial"/>
          <w:color w:val="000000" w:themeColor="text1"/>
          <w:szCs w:val="16"/>
        </w:rPr>
        <w:tab/>
        <w:t xml:space="preserve">Eliminate the 3-consecutive school years measurement period and use 1 school year </w:t>
      </w:r>
      <w:r w:rsidRPr="00781112">
        <w:rPr>
          <w:rFonts w:cs="Arial"/>
          <w:color w:val="000000" w:themeColor="text1"/>
          <w:szCs w:val="16"/>
        </w:rPr>
        <w:br/>
        <w:t>4. Target for this indicator will remain at 0%.</w:t>
      </w:r>
      <w:r w:rsidRPr="00781112">
        <w:rPr>
          <w:rFonts w:cs="Arial"/>
          <w:color w:val="000000" w:themeColor="text1"/>
          <w:szCs w:val="16"/>
        </w:rPr>
        <w:br/>
      </w:r>
      <w:r w:rsidRPr="00781112">
        <w:rPr>
          <w:rFonts w:cs="Arial"/>
          <w:color w:val="000000" w:themeColor="text1"/>
          <w:szCs w:val="16"/>
        </w:rPr>
        <w:br/>
        <w:t xml:space="preserve">IDC staff led a consensus building activity that led to the </w:t>
      </w:r>
      <w:proofErr w:type="gramStart"/>
      <w:r w:rsidRPr="00781112">
        <w:rPr>
          <w:rFonts w:cs="Arial"/>
          <w:color w:val="000000" w:themeColor="text1"/>
          <w:szCs w:val="16"/>
        </w:rPr>
        <w:t>Indicator</w:t>
      </w:r>
      <w:proofErr w:type="gramEnd"/>
      <w:r w:rsidRPr="00781112">
        <w:rPr>
          <w:rFonts w:cs="Arial"/>
          <w:color w:val="000000" w:themeColor="text1"/>
          <w:szCs w:val="16"/>
        </w:rPr>
        <w:t xml:space="preserve"> 4B stakeholder recommendation to the state to:</w:t>
      </w:r>
      <w:r w:rsidRPr="00781112">
        <w:rPr>
          <w:rFonts w:cs="Arial"/>
          <w:color w:val="000000" w:themeColor="text1"/>
          <w:szCs w:val="16"/>
        </w:rPr>
        <w:br/>
        <w:t>1. Lower the threshold from 4 times the state’s rate to 1.5 times the state’s rate</w:t>
      </w:r>
      <w:r w:rsidRPr="00781112">
        <w:rPr>
          <w:rFonts w:cs="Arial"/>
          <w:color w:val="000000" w:themeColor="text1"/>
          <w:szCs w:val="16"/>
        </w:rPr>
        <w:br/>
        <w:t>2.</w:t>
      </w:r>
      <w:r w:rsidRPr="00781112">
        <w:rPr>
          <w:rFonts w:cs="Arial"/>
          <w:color w:val="000000" w:themeColor="text1"/>
          <w:szCs w:val="16"/>
        </w:rPr>
        <w:tab/>
        <w:t xml:space="preserve">Eliminate the 3-consecutive school years measurement period and use 1 school year </w:t>
      </w:r>
      <w:r w:rsidRPr="00781112">
        <w:rPr>
          <w:rFonts w:cs="Arial"/>
          <w:color w:val="000000" w:themeColor="text1"/>
          <w:szCs w:val="16"/>
        </w:rPr>
        <w:br/>
        <w:t>3. Minimum cell/n size of 5 or more students of a particular race category will remain unchanged</w:t>
      </w:r>
      <w:r w:rsidRPr="00781112">
        <w:rPr>
          <w:rFonts w:cs="Arial"/>
          <w:color w:val="000000" w:themeColor="text1"/>
          <w:szCs w:val="16"/>
        </w:rPr>
        <w:br/>
        <w:t>4.</w:t>
      </w:r>
      <w:r w:rsidRPr="00781112">
        <w:rPr>
          <w:rFonts w:cs="Arial"/>
          <w:color w:val="000000" w:themeColor="text1"/>
          <w:szCs w:val="16"/>
        </w:rPr>
        <w:tab/>
        <w:t xml:space="preserve">Since this is a compliance indicator, the target remains at 0%. </w:t>
      </w:r>
      <w:r w:rsidRPr="00781112">
        <w:rPr>
          <w:rFonts w:cs="Arial"/>
          <w:color w:val="000000" w:themeColor="text1"/>
          <w:szCs w:val="16"/>
        </w:rPr>
        <w:br/>
      </w:r>
      <w:r w:rsidRPr="00781112">
        <w:rPr>
          <w:rFonts w:cs="Arial"/>
          <w:color w:val="000000" w:themeColor="text1"/>
          <w:szCs w:val="16"/>
        </w:rPr>
        <w:br/>
        <w:t xml:space="preserve">The change to Colorado's threshold and removal of the consecutive school year requirement will result in a reasonably designed methodology to determine if significant discrepancies are occurring. These changes to Colorado’s definition of significant discrepancy and methodology were announced to AUs, publicly posted on our webpage, and will be effective with SY 2024-2025 reporting period. </w:t>
      </w:r>
      <w:r w:rsidRPr="00781112">
        <w:rPr>
          <w:rFonts w:cs="Arial"/>
          <w:color w:val="000000" w:themeColor="text1"/>
          <w:szCs w:val="16"/>
        </w:rPr>
        <w:br/>
      </w:r>
      <w:r w:rsidRPr="00781112">
        <w:rPr>
          <w:rFonts w:cs="Arial"/>
          <w:color w:val="000000" w:themeColor="text1"/>
          <w:szCs w:val="16"/>
        </w:rPr>
        <w:br/>
        <w:t xml:space="preserve">Various CDE content experts present at the CDE sponsored Parent Encouraging Parents (PEP) conferences to provide families with information and opportunities to engage in discussions regarding special education services to build the capacity of a diverse group of parents to improve outcomes. </w:t>
      </w:r>
      <w:r w:rsidRPr="00781112">
        <w:rPr>
          <w:rFonts w:cs="Arial"/>
          <w:color w:val="000000" w:themeColor="text1"/>
          <w:szCs w:val="16"/>
        </w:rPr>
        <w:br/>
      </w:r>
      <w:r w:rsidRPr="00781112">
        <w:rPr>
          <w:rFonts w:cs="Arial"/>
          <w:color w:val="000000" w:themeColor="text1"/>
          <w:szCs w:val="16"/>
        </w:rPr>
        <w:br/>
        <w:t xml:space="preserve">CDE established and facilitates a task force comprised of members of Peak Parent Center, the Arc of Colorado, and parents to address equitable access concerns for family engagement and Alternate Dispute Resolution services. </w:t>
      </w:r>
      <w:r w:rsidRPr="00781112">
        <w:rPr>
          <w:rFonts w:cs="Arial"/>
          <w:color w:val="000000" w:themeColor="text1"/>
          <w:szCs w:val="16"/>
        </w:rPr>
        <w:br/>
        <w:t xml:space="preserve">CDE Parent Engagement team hosts Directors' Roundtable where directors and district representatives share strategies to improve parent survey response rates and outcomes. </w:t>
      </w:r>
      <w:r w:rsidRPr="00781112">
        <w:rPr>
          <w:rFonts w:cs="Arial"/>
          <w:color w:val="000000" w:themeColor="text1"/>
          <w:szCs w:val="16"/>
        </w:rPr>
        <w:br/>
        <w:t xml:space="preserve">CDE Parent Engagement team met with one of our largest metro </w:t>
      </w:r>
      <w:proofErr w:type="gramStart"/>
      <w:r w:rsidRPr="00781112">
        <w:rPr>
          <w:rFonts w:cs="Arial"/>
          <w:color w:val="000000" w:themeColor="text1"/>
          <w:szCs w:val="16"/>
        </w:rPr>
        <w:t>district</w:t>
      </w:r>
      <w:proofErr w:type="gramEnd"/>
      <w:r w:rsidRPr="00781112">
        <w:rPr>
          <w:rFonts w:cs="Arial"/>
          <w:color w:val="000000" w:themeColor="text1"/>
          <w:szCs w:val="16"/>
        </w:rPr>
        <w:t xml:space="preserve"> to discuss supporting Family Liaison Program and identified training opportunities in special education processes and engagement for the team of school-based liaisons. </w:t>
      </w:r>
      <w:r w:rsidRPr="00781112">
        <w:rPr>
          <w:rFonts w:cs="Arial"/>
          <w:color w:val="000000" w:themeColor="text1"/>
          <w:szCs w:val="16"/>
        </w:rPr>
        <w:br/>
      </w:r>
      <w:r w:rsidRPr="00781112">
        <w:rPr>
          <w:rFonts w:cs="Arial"/>
          <w:color w:val="000000" w:themeColor="text1"/>
          <w:szCs w:val="16"/>
        </w:rPr>
        <w:br/>
        <w:t>For FFY 2020, the following mechanisms were used to gather broad stakeholder input:</w:t>
      </w:r>
      <w:r w:rsidRPr="00781112">
        <w:rPr>
          <w:rFonts w:cs="Arial"/>
          <w:color w:val="000000" w:themeColor="text1"/>
          <w:szCs w:val="16"/>
        </w:rPr>
        <w:br/>
        <w:t>Identified CDE internal stakeholders and content experts for each indicator:</w:t>
      </w:r>
      <w:r w:rsidRPr="00781112">
        <w:rPr>
          <w:rFonts w:cs="Arial"/>
          <w:color w:val="000000" w:themeColor="text1"/>
          <w:szCs w:val="16"/>
        </w:rPr>
        <w:br/>
        <w:t>1. Scheduled meetings for each CDE internal stakeholder indicator team.</w:t>
      </w:r>
      <w:r w:rsidRPr="00781112">
        <w:rPr>
          <w:rFonts w:cs="Arial"/>
          <w:color w:val="000000" w:themeColor="text1"/>
          <w:szCs w:val="16"/>
        </w:rPr>
        <w:br/>
        <w:t>2. Met with each CDE stakeholder team, explain rules and parameters, Colorado history of indicator, past and current improvement strategies, facilitate discussion, and solicit feedback and develop options for each of the SPP/APR targets.</w:t>
      </w:r>
      <w:r w:rsidRPr="00781112">
        <w:rPr>
          <w:rFonts w:cs="Arial"/>
          <w:color w:val="000000" w:themeColor="text1"/>
          <w:szCs w:val="16"/>
        </w:rPr>
        <w:br/>
        <w:t>3. Met with each CDE stakeholder team to facilitate discussion and come to consensus on targets and improvement strategies to present to the external stakeholder groups.</w:t>
      </w:r>
      <w:r w:rsidRPr="00781112">
        <w:rPr>
          <w:rFonts w:cs="Arial"/>
          <w:color w:val="000000" w:themeColor="text1"/>
          <w:szCs w:val="16"/>
        </w:rPr>
        <w:br/>
        <w:t xml:space="preserve">4. Requested and collected improvement strategies for each indicator from each CDE internal stakeholder team. </w:t>
      </w:r>
      <w:r w:rsidRPr="00781112">
        <w:rPr>
          <w:rFonts w:cs="Arial"/>
          <w:color w:val="000000" w:themeColor="text1"/>
          <w:szCs w:val="16"/>
        </w:rPr>
        <w:br/>
      </w:r>
      <w:r w:rsidRPr="00781112">
        <w:rPr>
          <w:rFonts w:cs="Arial"/>
          <w:color w:val="000000" w:themeColor="text1"/>
          <w:szCs w:val="16"/>
        </w:rPr>
        <w:br/>
        <w:t>Built a survey to collect evidence and information from external stakeholder groups and the public to gain feedback on current SPP/APR indicators to collect the following data:</w:t>
      </w:r>
      <w:r w:rsidRPr="00781112">
        <w:rPr>
          <w:rFonts w:cs="Arial"/>
          <w:color w:val="000000" w:themeColor="text1"/>
          <w:szCs w:val="16"/>
        </w:rPr>
        <w:br/>
        <w:t xml:space="preserve">1. Are targets too high, too low, </w:t>
      </w:r>
      <w:proofErr w:type="gramStart"/>
      <w:r w:rsidRPr="00781112">
        <w:rPr>
          <w:rFonts w:cs="Arial"/>
          <w:color w:val="000000" w:themeColor="text1"/>
          <w:szCs w:val="16"/>
        </w:rPr>
        <w:t>just</w:t>
      </w:r>
      <w:proofErr w:type="gramEnd"/>
      <w:r w:rsidRPr="00781112">
        <w:rPr>
          <w:rFonts w:cs="Arial"/>
          <w:color w:val="000000" w:themeColor="text1"/>
          <w:szCs w:val="16"/>
        </w:rPr>
        <w:t xml:space="preserve"> right?</w:t>
      </w:r>
      <w:r w:rsidRPr="00781112">
        <w:rPr>
          <w:rFonts w:cs="Arial"/>
          <w:color w:val="000000" w:themeColor="text1"/>
          <w:szCs w:val="16"/>
        </w:rPr>
        <w:br/>
        <w:t>2. If the proposed improvement strategies are reasonably calculated to help Colorado reach the proposed targets?</w:t>
      </w:r>
      <w:r w:rsidRPr="00781112">
        <w:rPr>
          <w:rFonts w:cs="Arial"/>
          <w:color w:val="000000" w:themeColor="text1"/>
          <w:szCs w:val="16"/>
        </w:rPr>
        <w:br/>
        <w:t>3. Is the proposed choice of demographic category to be analyzed for representation an appropriate selection?</w:t>
      </w:r>
      <w:r w:rsidRPr="00781112">
        <w:rPr>
          <w:rFonts w:cs="Arial"/>
          <w:color w:val="000000" w:themeColor="text1"/>
          <w:szCs w:val="16"/>
        </w:rPr>
        <w:br/>
      </w:r>
      <w:r w:rsidRPr="00781112">
        <w:rPr>
          <w:rFonts w:cs="Arial"/>
          <w:color w:val="000000" w:themeColor="text1"/>
          <w:szCs w:val="16"/>
        </w:rPr>
        <w:br/>
      </w:r>
      <w:r w:rsidRPr="00781112">
        <w:rPr>
          <w:rFonts w:cs="Arial"/>
          <w:color w:val="000000" w:themeColor="text1"/>
          <w:szCs w:val="16"/>
        </w:rPr>
        <w:br/>
        <w:t>Built a web page to include:</w:t>
      </w:r>
      <w:r w:rsidRPr="00781112">
        <w:rPr>
          <w:rFonts w:cs="Arial"/>
          <w:color w:val="000000" w:themeColor="text1"/>
          <w:szCs w:val="16"/>
        </w:rPr>
        <w:br/>
        <w:t>1. basic information regarding the SPP/APR and the 6-year target resetting process.</w:t>
      </w:r>
      <w:r w:rsidRPr="00781112">
        <w:rPr>
          <w:rFonts w:cs="Arial"/>
          <w:color w:val="000000" w:themeColor="text1"/>
          <w:szCs w:val="16"/>
        </w:rPr>
        <w:br/>
        <w:t>2. asyncronys access to a series of webinars explaining each of the SPP/APR indicators, proposed targets, and improvement strategies.</w:t>
      </w:r>
      <w:r w:rsidRPr="00781112">
        <w:rPr>
          <w:rFonts w:cs="Arial"/>
          <w:color w:val="000000" w:themeColor="text1"/>
          <w:szCs w:val="16"/>
        </w:rPr>
        <w:br/>
        <w:t>3. a link to an indicator survey to gather information from the public during the comment period. This survey was designed to solicit the following information: (a) Are the proposed targets too high, too low, or appropriate? (b) Are the proposed improvement strategies reasonably calculated to help Colorado reach the proposed targets? (c) Is the proposed demographic group to be analyzed for representation an appropriate selection?</w:t>
      </w:r>
      <w:r w:rsidRPr="00781112">
        <w:rPr>
          <w:rFonts w:cs="Arial"/>
          <w:color w:val="000000" w:themeColor="text1"/>
          <w:szCs w:val="16"/>
        </w:rPr>
        <w:br/>
      </w:r>
      <w:r w:rsidRPr="00781112">
        <w:rPr>
          <w:rFonts w:cs="Arial"/>
          <w:color w:val="000000" w:themeColor="text1"/>
          <w:szCs w:val="16"/>
        </w:rPr>
        <w:br/>
        <w:t>Presented and requested input on agreed on targets and improvement strategies to the following indicator specific advisory councils: Preschool School Special Education Advisory Committee (PSSEAC), and the Secondary Transition Task Force Advisory Committee. Review and incorporate feedback into the final draft of the new targets and share proposed version with ESSU Executive Director for approval.</w:t>
      </w:r>
      <w:r w:rsidRPr="00781112">
        <w:rPr>
          <w:rFonts w:cs="Arial"/>
          <w:color w:val="000000" w:themeColor="text1"/>
          <w:szCs w:val="16"/>
        </w:rPr>
        <w:br/>
        <w:t xml:space="preserve">Presented proposed targets and gathered additional feedback to the following State advisory groups and advocacy groups: Colorado Special Education Advisory Committee (CSEAC) and Parent Partnerships for Equity Advisory Committee, The Arc of Colorado, PEAK Parent Center, and Disability Law </w:t>
      </w:r>
      <w:r w:rsidRPr="00781112">
        <w:rPr>
          <w:rFonts w:cs="Arial"/>
          <w:color w:val="000000" w:themeColor="text1"/>
          <w:szCs w:val="16"/>
        </w:rPr>
        <w:lastRenderedPageBreak/>
        <w:t>Colorado.</w:t>
      </w:r>
      <w:r w:rsidRPr="00781112">
        <w:rPr>
          <w:rFonts w:cs="Arial"/>
          <w:color w:val="000000" w:themeColor="text1"/>
          <w:szCs w:val="16"/>
        </w:rPr>
        <w:br/>
        <w:t>Presented proposed targets for all indicators to Colorado LEA Special Education Directors.</w:t>
      </w:r>
      <w:r w:rsidRPr="00781112">
        <w:rPr>
          <w:rFonts w:cs="Arial"/>
          <w:color w:val="000000" w:themeColor="text1"/>
          <w:szCs w:val="16"/>
        </w:rPr>
        <w:br/>
        <w:t>Held a 2-month public comment period to solicit public comments through a broad CDE-wide communication plan made up of a dedicated webpage with short videos and surveys for each indicator, CDE Facebook page, CDE Twitter Account, a CDE webpage news story, CDE’s Weekly Newsletter, and notifications to our parent advocacy agencies.</w:t>
      </w:r>
      <w:r w:rsidRPr="00781112">
        <w:rPr>
          <w:rFonts w:cs="Arial"/>
          <w:color w:val="000000" w:themeColor="text1"/>
          <w:szCs w:val="16"/>
        </w:rPr>
        <w:br/>
        <w:t xml:space="preserve"> </w:t>
      </w:r>
      <w:r w:rsidRPr="00781112">
        <w:rPr>
          <w:rFonts w:cs="Arial"/>
          <w:color w:val="000000" w:themeColor="text1"/>
          <w:szCs w:val="16"/>
        </w:rPr>
        <w:br/>
        <w:t>Reviewed and considered public comments received through the indicator survey mechanism, finalize all targets with ESSU Executive Director, and published targets on CDE webpage.</w:t>
      </w:r>
    </w:p>
    <w:p w14:paraId="159721AE" w14:textId="2EBB96BA" w:rsidR="00084FF1" w:rsidRPr="00781112" w:rsidRDefault="00084FF1" w:rsidP="000C24C2">
      <w:pPr>
        <w:rPr>
          <w:rFonts w:cs="Arial"/>
          <w:b/>
          <w:color w:val="000000" w:themeColor="text1"/>
          <w:szCs w:val="16"/>
        </w:rPr>
      </w:pPr>
      <w:r w:rsidRPr="00781112">
        <w:rPr>
          <w:rFonts w:cs="Arial"/>
          <w:b/>
          <w:color w:val="000000" w:themeColor="text1"/>
          <w:szCs w:val="16"/>
        </w:rPr>
        <w:t xml:space="preserve">Apply stakeholder </w:t>
      </w:r>
      <w:r w:rsidR="00EE0EC5">
        <w:rPr>
          <w:rFonts w:cs="Arial"/>
          <w:b/>
          <w:color w:val="000000" w:themeColor="text1"/>
          <w:szCs w:val="16"/>
        </w:rPr>
        <w:t>engagement</w:t>
      </w:r>
      <w:r w:rsidR="00EE0EC5" w:rsidRPr="00781112">
        <w:rPr>
          <w:rFonts w:cs="Arial"/>
          <w:b/>
          <w:color w:val="000000" w:themeColor="text1"/>
          <w:szCs w:val="16"/>
        </w:rPr>
        <w:t xml:space="preserve"> </w:t>
      </w:r>
      <w:r w:rsidRPr="00781112">
        <w:rPr>
          <w:rFonts w:cs="Arial"/>
          <w:b/>
          <w:color w:val="000000" w:themeColor="text1"/>
          <w:szCs w:val="16"/>
        </w:rPr>
        <w:t>from introduction to all Part B results indicators (y/n)</w:t>
      </w:r>
    </w:p>
    <w:p w14:paraId="2E10E7B0" w14:textId="00B67F00" w:rsidR="00FB0D0A" w:rsidRPr="00781112" w:rsidRDefault="002B7490" w:rsidP="004369B2">
      <w:pPr>
        <w:rPr>
          <w:color w:val="000000" w:themeColor="text1"/>
        </w:rPr>
      </w:pPr>
      <w:r w:rsidRPr="00781112">
        <w:rPr>
          <w:color w:val="000000" w:themeColor="text1"/>
        </w:rPr>
        <w:t>NO</w:t>
      </w:r>
    </w:p>
    <w:p w14:paraId="039304C3" w14:textId="77777777" w:rsidR="00F72E24" w:rsidRPr="00781112" w:rsidRDefault="00F72E24" w:rsidP="00F72E24">
      <w:pPr>
        <w:rPr>
          <w:b/>
          <w:color w:val="000000" w:themeColor="text1"/>
        </w:rPr>
      </w:pPr>
      <w:r w:rsidRPr="00781112">
        <w:rPr>
          <w:b/>
          <w:color w:val="000000" w:themeColor="text1"/>
        </w:rPr>
        <w:t>Number of Parent Members:</w:t>
      </w:r>
    </w:p>
    <w:p w14:paraId="3A2A60D7" w14:textId="5F5224C2" w:rsidR="00F72E24" w:rsidRPr="00781112" w:rsidRDefault="00F72E24" w:rsidP="00F72E24">
      <w:pPr>
        <w:rPr>
          <w:color w:val="000000" w:themeColor="text1"/>
          <w:szCs w:val="16"/>
        </w:rPr>
      </w:pPr>
      <w:r w:rsidRPr="00781112">
        <w:rPr>
          <w:color w:val="000000" w:themeColor="text1"/>
          <w:szCs w:val="16"/>
        </w:rPr>
        <w:t>228</w:t>
      </w:r>
    </w:p>
    <w:p w14:paraId="06D1F432" w14:textId="77777777" w:rsidR="00F72E24" w:rsidRPr="00781112" w:rsidRDefault="00F72E24" w:rsidP="00F72E24">
      <w:pPr>
        <w:rPr>
          <w:b/>
          <w:color w:val="000000" w:themeColor="text1"/>
        </w:rPr>
      </w:pPr>
      <w:r w:rsidRPr="00781112">
        <w:rPr>
          <w:b/>
          <w:color w:val="000000" w:themeColor="text1"/>
        </w:rPr>
        <w:t>Parent Members Engagement:</w:t>
      </w:r>
    </w:p>
    <w:p w14:paraId="243421D1" w14:textId="676E0957" w:rsidR="00F72E24" w:rsidRPr="00781112" w:rsidRDefault="00F72E24" w:rsidP="00F72E24">
      <w:pPr>
        <w:rPr>
          <w:b/>
          <w:color w:val="000000" w:themeColor="text1"/>
        </w:rPr>
      </w:pPr>
      <w:r w:rsidRPr="00781112">
        <w:rPr>
          <w:b/>
          <w:color w:val="000000" w:themeColor="text1"/>
        </w:rPr>
        <w:t>Describe how the parent members of the State Advisory Panel, parent center staff, parents from local and statewide advocacy and advisory committees, and individual parents were engaged in setting targets, analyzing data, developing improvement strategies, and evaluating progress.</w:t>
      </w:r>
    </w:p>
    <w:p w14:paraId="5A19969A" w14:textId="0D5C2CEC" w:rsidR="00F72E24" w:rsidRPr="00781112" w:rsidRDefault="00F72E24" w:rsidP="00F72E24">
      <w:pPr>
        <w:rPr>
          <w:color w:val="000000" w:themeColor="text1"/>
          <w:szCs w:val="16"/>
        </w:rPr>
      </w:pPr>
      <w:r w:rsidRPr="00781112">
        <w:rPr>
          <w:color w:val="000000" w:themeColor="text1"/>
          <w:szCs w:val="16"/>
        </w:rPr>
        <w:t xml:space="preserve">CDE met with parent members of CSEAC's Student Outcomes Committee to analyze and evaluate progress of Indicator 8 data, discuss and request input on parent survey data, response rate, representativeness, how the data can be used to improve outcomes, and how to ensure the needs of small or underrepresented communities are met. </w:t>
      </w:r>
      <w:r w:rsidRPr="00781112">
        <w:rPr>
          <w:color w:val="000000" w:themeColor="text1"/>
          <w:szCs w:val="16"/>
        </w:rPr>
        <w:br/>
      </w:r>
      <w:r w:rsidRPr="00781112">
        <w:rPr>
          <w:color w:val="000000" w:themeColor="text1"/>
          <w:szCs w:val="16"/>
        </w:rPr>
        <w:br/>
        <w:t xml:space="preserve">CDE met with parent and field members of CSEAC to review results and evaluate progress of all Indicators in the SPP/APR. </w:t>
      </w:r>
      <w:r w:rsidRPr="00781112">
        <w:rPr>
          <w:color w:val="000000" w:themeColor="text1"/>
          <w:szCs w:val="16"/>
        </w:rPr>
        <w:br/>
      </w:r>
      <w:r w:rsidRPr="00781112">
        <w:rPr>
          <w:color w:val="000000" w:themeColor="text1"/>
          <w:szCs w:val="16"/>
        </w:rPr>
        <w:br/>
        <w:t xml:space="preserve">CDE, with support and in-person facilitation by staff from the IDEA Data Center (IDC), convened a broad stakeholder group composed of parent and community representatives from Colorado Disability Law, Advocacy Denver, the Arc of Colorado, PEAK Parent Center, and the Colorado State Education Advisory Council (CSEAC) in addition to Special Education Directors. The </w:t>
      </w:r>
      <w:proofErr w:type="gramStart"/>
      <w:r w:rsidRPr="00781112">
        <w:rPr>
          <w:color w:val="000000" w:themeColor="text1"/>
          <w:szCs w:val="16"/>
        </w:rPr>
        <w:t>Indicator</w:t>
      </w:r>
      <w:proofErr w:type="gramEnd"/>
      <w:r w:rsidRPr="00781112">
        <w:rPr>
          <w:color w:val="000000" w:themeColor="text1"/>
          <w:szCs w:val="16"/>
        </w:rPr>
        <w:t xml:space="preserve"> 4A and 4B definitions and Colorado’s current calculations were explained in detail. IDC staff led a discussion on the intended outcomes on students and AUs of collecting and reporting this Indicator data. IDC presented various scenarios and the group examined the impact of each of the changes in determining significant discrepancies to the State’s methodology. IDC staff led a consensus building activity that led to the </w:t>
      </w:r>
      <w:proofErr w:type="gramStart"/>
      <w:r w:rsidRPr="00781112">
        <w:rPr>
          <w:color w:val="000000" w:themeColor="text1"/>
          <w:szCs w:val="16"/>
        </w:rPr>
        <w:t>Indicator</w:t>
      </w:r>
      <w:proofErr w:type="gramEnd"/>
      <w:r w:rsidRPr="00781112">
        <w:rPr>
          <w:color w:val="000000" w:themeColor="text1"/>
          <w:szCs w:val="16"/>
        </w:rPr>
        <w:t xml:space="preserve"> 4A stakeholder recommendation to the state to:</w:t>
      </w:r>
      <w:r w:rsidRPr="00781112">
        <w:rPr>
          <w:color w:val="000000" w:themeColor="text1"/>
          <w:szCs w:val="16"/>
        </w:rPr>
        <w:br/>
        <w:t>1.</w:t>
      </w:r>
      <w:r w:rsidRPr="00781112">
        <w:rPr>
          <w:color w:val="000000" w:themeColor="text1"/>
          <w:szCs w:val="16"/>
        </w:rPr>
        <w:tab/>
        <w:t xml:space="preserve">Lower the threshold from 4 times the state’s rate to 2.0 times the state’s rate. </w:t>
      </w:r>
      <w:r w:rsidRPr="00781112">
        <w:rPr>
          <w:color w:val="000000" w:themeColor="text1"/>
          <w:szCs w:val="16"/>
        </w:rPr>
        <w:br/>
        <w:t>2. AUs who fall between 1.5 and 2.0 will receive a warning letter</w:t>
      </w:r>
      <w:r w:rsidRPr="00781112">
        <w:rPr>
          <w:color w:val="000000" w:themeColor="text1"/>
          <w:szCs w:val="16"/>
        </w:rPr>
        <w:br/>
        <w:t>3.</w:t>
      </w:r>
      <w:r w:rsidRPr="00781112">
        <w:rPr>
          <w:color w:val="000000" w:themeColor="text1"/>
          <w:szCs w:val="16"/>
        </w:rPr>
        <w:tab/>
        <w:t xml:space="preserve">Eliminate the 3-consecutive school years measurement period and use 1 school year </w:t>
      </w:r>
      <w:r w:rsidRPr="00781112">
        <w:rPr>
          <w:color w:val="000000" w:themeColor="text1"/>
          <w:szCs w:val="16"/>
        </w:rPr>
        <w:br/>
        <w:t>4. Target for this indicator will remain at 0%.</w:t>
      </w:r>
      <w:r w:rsidRPr="00781112">
        <w:rPr>
          <w:color w:val="000000" w:themeColor="text1"/>
          <w:szCs w:val="16"/>
        </w:rPr>
        <w:br/>
      </w:r>
      <w:r w:rsidRPr="00781112">
        <w:rPr>
          <w:color w:val="000000" w:themeColor="text1"/>
          <w:szCs w:val="16"/>
        </w:rPr>
        <w:br/>
        <w:t xml:space="preserve">IDC staff led a consensus building activity that led to the </w:t>
      </w:r>
      <w:proofErr w:type="gramStart"/>
      <w:r w:rsidRPr="00781112">
        <w:rPr>
          <w:color w:val="000000" w:themeColor="text1"/>
          <w:szCs w:val="16"/>
        </w:rPr>
        <w:t>Indicator</w:t>
      </w:r>
      <w:proofErr w:type="gramEnd"/>
      <w:r w:rsidRPr="00781112">
        <w:rPr>
          <w:color w:val="000000" w:themeColor="text1"/>
          <w:szCs w:val="16"/>
        </w:rPr>
        <w:t xml:space="preserve"> 4B stakeholder recommendation to the state to:</w:t>
      </w:r>
      <w:r w:rsidRPr="00781112">
        <w:rPr>
          <w:color w:val="000000" w:themeColor="text1"/>
          <w:szCs w:val="16"/>
        </w:rPr>
        <w:br/>
        <w:t>1. Lower the threshold from 4 times the state’s rate to 1.5 times the state’s rate</w:t>
      </w:r>
      <w:r w:rsidRPr="00781112">
        <w:rPr>
          <w:color w:val="000000" w:themeColor="text1"/>
          <w:szCs w:val="16"/>
        </w:rPr>
        <w:br/>
        <w:t>2.</w:t>
      </w:r>
      <w:r w:rsidRPr="00781112">
        <w:rPr>
          <w:color w:val="000000" w:themeColor="text1"/>
          <w:szCs w:val="16"/>
        </w:rPr>
        <w:tab/>
        <w:t xml:space="preserve">Eliminate the 3-consecutive school years measurement period and use 1 school year </w:t>
      </w:r>
      <w:r w:rsidRPr="00781112">
        <w:rPr>
          <w:color w:val="000000" w:themeColor="text1"/>
          <w:szCs w:val="16"/>
        </w:rPr>
        <w:br/>
        <w:t>3. Minimum cell/n size of 5 or more students of a particular race category will remain unchanged</w:t>
      </w:r>
      <w:r w:rsidRPr="00781112">
        <w:rPr>
          <w:color w:val="000000" w:themeColor="text1"/>
          <w:szCs w:val="16"/>
        </w:rPr>
        <w:br/>
        <w:t>4.</w:t>
      </w:r>
      <w:r w:rsidRPr="00781112">
        <w:rPr>
          <w:color w:val="000000" w:themeColor="text1"/>
          <w:szCs w:val="16"/>
        </w:rPr>
        <w:tab/>
        <w:t xml:space="preserve">Since this is a compliance indicator, the target remains at 0%. </w:t>
      </w:r>
      <w:r w:rsidRPr="00781112">
        <w:rPr>
          <w:color w:val="000000" w:themeColor="text1"/>
          <w:szCs w:val="16"/>
        </w:rPr>
        <w:br/>
      </w:r>
      <w:r w:rsidRPr="00781112">
        <w:rPr>
          <w:color w:val="000000" w:themeColor="text1"/>
          <w:szCs w:val="16"/>
        </w:rPr>
        <w:br/>
        <w:t xml:space="preserve">The change to our threshold and removal of the consecutive school year requirement will result in a reasonably designed methodology to determine if significant discrepancies are occurring. </w:t>
      </w:r>
      <w:r w:rsidRPr="00781112">
        <w:rPr>
          <w:color w:val="000000" w:themeColor="text1"/>
          <w:szCs w:val="16"/>
        </w:rPr>
        <w:br/>
        <w:t xml:space="preserve">These changes to Colorado’s definition of significant discrepancy and methodology were announced to AUs, publicly posted on our webpage, and will be effective with SY 2024-2025 reporting period. </w:t>
      </w:r>
      <w:r w:rsidRPr="00781112">
        <w:rPr>
          <w:color w:val="000000" w:themeColor="text1"/>
          <w:szCs w:val="16"/>
        </w:rPr>
        <w:br/>
      </w:r>
      <w:r w:rsidRPr="00781112">
        <w:rPr>
          <w:color w:val="000000" w:themeColor="text1"/>
          <w:szCs w:val="16"/>
        </w:rPr>
        <w:br/>
        <w:t>To engage parents around secondary transition topics that influence Indicators 1, 2, 13, and 14, CDE added four additional training modules to address the needs of families and district personnel. A total of ten modules have been developed. Each online training session was attended by 15-20 parents.</w:t>
      </w:r>
      <w:r w:rsidRPr="00781112">
        <w:rPr>
          <w:color w:val="000000" w:themeColor="text1"/>
          <w:szCs w:val="16"/>
        </w:rPr>
        <w:br/>
        <w:t>7. Analyze a Transition IEP</w:t>
      </w:r>
      <w:r w:rsidRPr="00781112">
        <w:rPr>
          <w:color w:val="000000" w:themeColor="text1"/>
          <w:szCs w:val="16"/>
        </w:rPr>
        <w:br/>
        <w:t>8. PSGs Career/College Planning</w:t>
      </w:r>
      <w:r w:rsidRPr="00781112">
        <w:rPr>
          <w:color w:val="000000" w:themeColor="text1"/>
          <w:szCs w:val="16"/>
        </w:rPr>
        <w:br/>
        <w:t>9. Planning and Preparing Parents to Manage Adult Services</w:t>
      </w:r>
      <w:r w:rsidRPr="00781112">
        <w:rPr>
          <w:color w:val="000000" w:themeColor="text1"/>
          <w:szCs w:val="16"/>
        </w:rPr>
        <w:br/>
        <w:t>10. Parent Panel</w:t>
      </w:r>
      <w:r w:rsidRPr="00781112">
        <w:rPr>
          <w:color w:val="000000" w:themeColor="text1"/>
          <w:szCs w:val="16"/>
        </w:rPr>
        <w:br/>
      </w:r>
      <w:r w:rsidRPr="00781112">
        <w:rPr>
          <w:color w:val="000000" w:themeColor="text1"/>
          <w:szCs w:val="16"/>
        </w:rPr>
        <w:br/>
        <w:t>All sessions were recorded, will be closed captioned, and added to the CDE website along with accessible resources for parents to add to their toolkit. Parents will be pulled together in the Spring for additional discussions to further explore current needs.</w:t>
      </w:r>
      <w:r w:rsidRPr="00781112">
        <w:rPr>
          <w:color w:val="000000" w:themeColor="text1"/>
          <w:szCs w:val="16"/>
        </w:rPr>
        <w:br/>
        <w:t>The secondary transition specialist presents at CDEs Parent Encouraging Parents conferences to provide families with information regarding transition services and agency linkages. Each session is attended by 25-30 parents, anxious to hear more about how to best support their student.</w:t>
      </w:r>
      <w:r w:rsidRPr="00781112">
        <w:rPr>
          <w:color w:val="000000" w:themeColor="text1"/>
          <w:szCs w:val="16"/>
        </w:rPr>
        <w:br/>
        <w:t xml:space="preserve">CDE sponsors an annual Transition Leadership Institute which included a parent track created and presented in collaboration with staff from our parent centers, PEAK Parent Center and Thrive Center. Sessions included: “The Power of Circles of Support”,” Parent Panel: Parent Perspectives of Transition Planning”, and “Effective Collaboration in the IEP Process”.  </w:t>
      </w:r>
      <w:r w:rsidRPr="00781112">
        <w:rPr>
          <w:color w:val="000000" w:themeColor="text1"/>
          <w:szCs w:val="16"/>
        </w:rPr>
        <w:br/>
      </w:r>
      <w:r w:rsidRPr="00781112">
        <w:rPr>
          <w:color w:val="000000" w:themeColor="text1"/>
          <w:szCs w:val="16"/>
        </w:rPr>
        <w:br/>
        <w:t xml:space="preserve">For FFY 2020, 45 parent members were engaged in small group virtual presentations were held with parent members from each of these groups: the Colorado Special Education Advisory Committee (CSEAC), PEAK, The ARC of Colorado, Disability Law Colorado, Parent Partnerships for Equity, and the Preschool School Special Education Advisory Committee (PSSEAC). During these meetings, participants were encouraged to ask questions about the history and performance </w:t>
      </w:r>
      <w:proofErr w:type="gramStart"/>
      <w:r w:rsidRPr="00781112">
        <w:rPr>
          <w:color w:val="000000" w:themeColor="text1"/>
          <w:szCs w:val="16"/>
        </w:rPr>
        <w:t>on</w:t>
      </w:r>
      <w:proofErr w:type="gramEnd"/>
      <w:r w:rsidRPr="00781112">
        <w:rPr>
          <w:color w:val="000000" w:themeColor="text1"/>
          <w:szCs w:val="16"/>
        </w:rPr>
        <w:t xml:space="preserve"> each indicator and to complete the surveys for the indicators. Follow-up emails, with the link to the dedicated webpage, were sent to each group when the public comment period opened, so that they </w:t>
      </w:r>
      <w:proofErr w:type="gramStart"/>
      <w:r w:rsidRPr="00781112">
        <w:rPr>
          <w:color w:val="000000" w:themeColor="text1"/>
          <w:szCs w:val="16"/>
        </w:rPr>
        <w:t>can</w:t>
      </w:r>
      <w:proofErr w:type="gramEnd"/>
      <w:r w:rsidRPr="00781112">
        <w:rPr>
          <w:color w:val="000000" w:themeColor="text1"/>
          <w:szCs w:val="16"/>
        </w:rPr>
        <w:t xml:space="preserve"> share with their constituents.</w:t>
      </w:r>
    </w:p>
    <w:p w14:paraId="22B36B69" w14:textId="77777777" w:rsidR="00F72E24" w:rsidRPr="00781112" w:rsidRDefault="00F72E24" w:rsidP="00F72E24">
      <w:pPr>
        <w:rPr>
          <w:b/>
          <w:color w:val="000000" w:themeColor="text1"/>
        </w:rPr>
      </w:pPr>
      <w:r w:rsidRPr="00781112">
        <w:rPr>
          <w:b/>
          <w:color w:val="000000" w:themeColor="text1"/>
        </w:rPr>
        <w:t>Activities to Improve Outcomes for Children with Disabilities:</w:t>
      </w:r>
    </w:p>
    <w:p w14:paraId="362D1ECF" w14:textId="77777777" w:rsidR="006457D1" w:rsidRPr="006457D1" w:rsidRDefault="006457D1" w:rsidP="006457D1">
      <w:pPr>
        <w:rPr>
          <w:b/>
          <w:color w:val="000000" w:themeColor="text1"/>
        </w:rPr>
      </w:pPr>
      <w:r w:rsidRPr="006457D1">
        <w:rPr>
          <w:b/>
          <w:color w:val="000000" w:themeColor="text1"/>
        </w:rPr>
        <w:t>The activities conducted to increase the capacity of diverse groups of parents to support the development of implementation activities designed to improve outcomes for children with disabilities.</w:t>
      </w:r>
    </w:p>
    <w:p w14:paraId="3BDE813D" w14:textId="522F6FB0" w:rsidR="00F72E24" w:rsidRPr="00781112" w:rsidRDefault="00F72E24" w:rsidP="00F72E24">
      <w:pPr>
        <w:rPr>
          <w:color w:val="000000" w:themeColor="text1"/>
          <w:szCs w:val="16"/>
        </w:rPr>
      </w:pPr>
      <w:r w:rsidRPr="00781112">
        <w:rPr>
          <w:color w:val="000000" w:themeColor="text1"/>
          <w:szCs w:val="16"/>
        </w:rPr>
        <w:t>Parents Encouraging Parents (PEP) Conferences</w:t>
      </w:r>
      <w:r w:rsidRPr="00781112">
        <w:rPr>
          <w:color w:val="000000" w:themeColor="text1"/>
          <w:szCs w:val="16"/>
        </w:rPr>
        <w:br/>
        <w:t xml:space="preserve">FFY 2022 - The CDE coordinated two 2-day conferences attended by a total of 75 parents. Locations were chosen in different regions in the state to support conference access for diverse groups of parents. During the Parents Encouraging Parents conferences, parent participants had the opportunity to attend educational breakout sessions over topics relevant to improving outcomes for children with disabilities. Session Topics included: Early Intervention and Preschool Special Education, IEP Basics (Overview of the IEP Process), Secondary Transition IEPs (Planning for Successful Post-School Outcomes), Resource Overviews (Speakers from PEAK Parent Center, Colorado Special Education Advisory Committee and The Arc of Colorado), Improving IEP Teams: Resolving Conflicts, Behavior Strategies, Tips from a Parent Liaison, Strategies for Parents of Students with </w:t>
      </w:r>
      <w:r w:rsidRPr="00781112">
        <w:rPr>
          <w:color w:val="000000" w:themeColor="text1"/>
          <w:szCs w:val="16"/>
        </w:rPr>
        <w:lastRenderedPageBreak/>
        <w:t xml:space="preserve">Significant Support Needs, Mental Health: The Impact of Trauma, Meaningful Engagement in the IEP Process, and Considerations for Multilingual Learners. Each presentation was facilitated by a professional who specialized in the topic area. Presentations and accompanying materials (including materials that were translated into other </w:t>
      </w:r>
      <w:proofErr w:type="gramStart"/>
      <w:r w:rsidRPr="00781112">
        <w:rPr>
          <w:color w:val="000000" w:themeColor="text1"/>
          <w:szCs w:val="16"/>
        </w:rPr>
        <w:t>language</w:t>
      </w:r>
      <w:proofErr w:type="gramEnd"/>
      <w:r w:rsidRPr="00781112">
        <w:rPr>
          <w:color w:val="000000" w:themeColor="text1"/>
          <w:szCs w:val="16"/>
        </w:rPr>
        <w:t xml:space="preserve">) were uploaded to a centralized, online folder for participants to access post-event. These educational sessions include information, resource materials, and an opportunity for parents to ask questions of the presenters. </w:t>
      </w:r>
      <w:r w:rsidRPr="00781112">
        <w:rPr>
          <w:color w:val="000000" w:themeColor="text1"/>
          <w:szCs w:val="16"/>
        </w:rPr>
        <w:br/>
      </w:r>
      <w:r w:rsidRPr="00781112">
        <w:rPr>
          <w:color w:val="000000" w:themeColor="text1"/>
          <w:szCs w:val="16"/>
        </w:rPr>
        <w:br/>
        <w:t>Colorado Special Education Advisory Committee (CSEAC)</w:t>
      </w:r>
      <w:r w:rsidRPr="00781112">
        <w:rPr>
          <w:color w:val="000000" w:themeColor="text1"/>
          <w:szCs w:val="16"/>
        </w:rPr>
        <w:br/>
        <w:t>The Colorado Special Education Advisory Committee (CSEAC) parent members participated in stakeholder feedback groups, subcommittees and constituent input groups, and informational sessions to identify the unmet needs of students with disabilities and develop strategies and plans to address the identified unmet needs.</w:t>
      </w:r>
      <w:r w:rsidRPr="00781112">
        <w:rPr>
          <w:color w:val="000000" w:themeColor="text1"/>
          <w:szCs w:val="16"/>
        </w:rPr>
        <w:br/>
      </w:r>
      <w:r w:rsidRPr="00781112">
        <w:rPr>
          <w:color w:val="000000" w:themeColor="text1"/>
          <w:szCs w:val="16"/>
        </w:rPr>
        <w:br/>
        <w:t xml:space="preserve">During FFY 2020, small group virtual presentations were held with parent members from each of these groups: CSEAC, PEAK, The Arc of Colorado, Disability Law Colorado, Parent Partnerships for Equity, and PSSEAC. During these meetings, participants were encouraged to ask questions about the history and performance </w:t>
      </w:r>
      <w:proofErr w:type="gramStart"/>
      <w:r w:rsidRPr="00781112">
        <w:rPr>
          <w:color w:val="000000" w:themeColor="text1"/>
          <w:szCs w:val="16"/>
        </w:rPr>
        <w:t>on</w:t>
      </w:r>
      <w:proofErr w:type="gramEnd"/>
      <w:r w:rsidRPr="00781112">
        <w:rPr>
          <w:color w:val="000000" w:themeColor="text1"/>
          <w:szCs w:val="16"/>
        </w:rPr>
        <w:t xml:space="preserve"> each indicator and to complete the surveys for the indicators. Follow-up emails, with the link to the dedicated webpage, were sent to each group when the public comment period opened, so that they can share with their constituents.</w:t>
      </w:r>
      <w:r w:rsidRPr="00781112">
        <w:rPr>
          <w:color w:val="000000" w:themeColor="text1"/>
          <w:szCs w:val="16"/>
        </w:rPr>
        <w:br/>
        <w:t>For the public comment period, to increase capacity of diverse group of parents who might not be familiar with the SPP-APR, we created a series of webinars explaining each of the indicators, proposed targets, and improvement strategies. These webinars were posted along with the link to an indicator input survey, so that parents can educate themselves on the contents before providing feedback to each indicator.</w:t>
      </w:r>
    </w:p>
    <w:p w14:paraId="6210CD83" w14:textId="77777777" w:rsidR="00F72E24" w:rsidRPr="00781112" w:rsidRDefault="00F72E24" w:rsidP="00F72E24">
      <w:pPr>
        <w:rPr>
          <w:b/>
          <w:color w:val="000000" w:themeColor="text1"/>
        </w:rPr>
      </w:pPr>
      <w:r w:rsidRPr="00781112">
        <w:rPr>
          <w:b/>
          <w:color w:val="000000" w:themeColor="text1"/>
        </w:rPr>
        <w:t>Soliciting Public Input:</w:t>
      </w:r>
    </w:p>
    <w:p w14:paraId="39A8F7F4" w14:textId="036934F6" w:rsidR="00F72E24" w:rsidRPr="00781112" w:rsidRDefault="00F72E24" w:rsidP="00F72E24">
      <w:pPr>
        <w:rPr>
          <w:b/>
          <w:color w:val="000000" w:themeColor="text1"/>
        </w:rPr>
      </w:pPr>
      <w:r w:rsidRPr="00781112">
        <w:rPr>
          <w:b/>
          <w:color w:val="000000" w:themeColor="text1"/>
        </w:rPr>
        <w:t>The mechanisms and timelines for soliciting public input for setting targets, analyzing data, developing improvement strategies, and evaluating progress.</w:t>
      </w:r>
    </w:p>
    <w:p w14:paraId="223D0B8E" w14:textId="16A98311" w:rsidR="00F72E24" w:rsidRPr="00781112" w:rsidRDefault="00F72E24" w:rsidP="00F72E24">
      <w:pPr>
        <w:rPr>
          <w:color w:val="000000" w:themeColor="text1"/>
          <w:szCs w:val="16"/>
        </w:rPr>
      </w:pPr>
      <w:r w:rsidRPr="00781112">
        <w:rPr>
          <w:color w:val="000000" w:themeColor="text1"/>
          <w:szCs w:val="16"/>
        </w:rPr>
        <w:t>Nov. 8, 2021- January 7, 2022 - Solicited public comments through a broad CDE-wide communication plan including a dedicated webpage with short videos and surveys for each indicator, CDE Facebook page, CDE Twitter Account, CDE webpage news story, CDE’s Weekly Newsletter, “The Scoop”, and additional notifications to our parent advocacy agencies.</w:t>
      </w:r>
    </w:p>
    <w:p w14:paraId="60517C6B" w14:textId="77777777" w:rsidR="001628C0" w:rsidRPr="00781112" w:rsidRDefault="001628C0" w:rsidP="001628C0">
      <w:pPr>
        <w:rPr>
          <w:b/>
          <w:color w:val="000000" w:themeColor="text1"/>
        </w:rPr>
      </w:pPr>
      <w:r w:rsidRPr="00781112">
        <w:rPr>
          <w:b/>
          <w:color w:val="000000" w:themeColor="text1"/>
        </w:rPr>
        <w:t>Making Results Available to the Public:</w:t>
      </w:r>
    </w:p>
    <w:p w14:paraId="311EF023" w14:textId="34EDFFF0" w:rsidR="001628C0" w:rsidRPr="00781112" w:rsidRDefault="001628C0" w:rsidP="001628C0">
      <w:pPr>
        <w:rPr>
          <w:b/>
          <w:color w:val="000000" w:themeColor="text1"/>
        </w:rPr>
      </w:pPr>
      <w:r w:rsidRPr="00781112">
        <w:rPr>
          <w:b/>
          <w:color w:val="000000" w:themeColor="text1"/>
        </w:rPr>
        <w:t>The mechanisms and timelines for making the results of the target setting, data analysis, development of the improvement strategies, and evaluation available to the public.</w:t>
      </w:r>
    </w:p>
    <w:p w14:paraId="0AEF38F9" w14:textId="1C0CFAA1" w:rsidR="001628C0" w:rsidRPr="00781112" w:rsidRDefault="001628C0" w:rsidP="001628C0">
      <w:pPr>
        <w:rPr>
          <w:color w:val="000000" w:themeColor="text1"/>
          <w:szCs w:val="16"/>
        </w:rPr>
      </w:pPr>
      <w:r w:rsidRPr="00781112">
        <w:rPr>
          <w:color w:val="000000" w:themeColor="text1"/>
          <w:szCs w:val="16"/>
        </w:rPr>
        <w:t>Results of changes made to Indicator 4, which will be effective with SY 2024-25, were publicly posted to our webpage on November 2, 2023. These changes were made with feedback from an in-person meeting of a diverse group of stakeholders.  The CDE sent a separate notification to each of the stakeholder groups that participated in meetings during the course of the process.</w:t>
      </w:r>
      <w:r w:rsidRPr="00781112">
        <w:rPr>
          <w:color w:val="000000" w:themeColor="text1"/>
          <w:szCs w:val="16"/>
        </w:rPr>
        <w:br/>
      </w:r>
      <w:r w:rsidRPr="00781112">
        <w:rPr>
          <w:color w:val="000000" w:themeColor="text1"/>
          <w:szCs w:val="16"/>
        </w:rPr>
        <w:br/>
        <w:t xml:space="preserve">Within 120 days, the CDE will publish the final results of the FFY2022 SPP/APR on </w:t>
      </w:r>
      <w:proofErr w:type="gramStart"/>
      <w:r w:rsidRPr="00781112">
        <w:rPr>
          <w:color w:val="000000" w:themeColor="text1"/>
          <w:szCs w:val="16"/>
        </w:rPr>
        <w:t>it’s</w:t>
      </w:r>
      <w:proofErr w:type="gramEnd"/>
      <w:r w:rsidRPr="00781112">
        <w:rPr>
          <w:color w:val="000000" w:themeColor="text1"/>
          <w:szCs w:val="16"/>
        </w:rPr>
        <w:t xml:space="preserve"> website.</w:t>
      </w:r>
    </w:p>
    <w:p w14:paraId="7432C5B0" w14:textId="77777777" w:rsidR="00F72E24" w:rsidRPr="00781112" w:rsidRDefault="00F72E24" w:rsidP="004369B2">
      <w:pPr>
        <w:rPr>
          <w:color w:val="000000" w:themeColor="text1"/>
        </w:rPr>
      </w:pPr>
    </w:p>
    <w:p w14:paraId="41976EFD" w14:textId="52C6C218" w:rsidR="00AF5649" w:rsidRPr="00781112" w:rsidRDefault="00AF5649" w:rsidP="004369B2">
      <w:pPr>
        <w:rPr>
          <w:color w:val="000000" w:themeColor="text1"/>
        </w:rPr>
      </w:pPr>
      <w:r w:rsidRPr="00781112">
        <w:rPr>
          <w:b/>
          <w:color w:val="000000" w:themeColor="text1"/>
        </w:rPr>
        <w:t>Reporting to the Public</w:t>
      </w:r>
    </w:p>
    <w:p w14:paraId="6989C68F" w14:textId="670AF917" w:rsidR="00AF5649" w:rsidRPr="00781112" w:rsidRDefault="00AF5649" w:rsidP="004369B2">
      <w:pPr>
        <w:rPr>
          <w:b/>
          <w:color w:val="000000" w:themeColor="text1"/>
        </w:rPr>
      </w:pPr>
      <w:r w:rsidRPr="00781112">
        <w:rPr>
          <w:b/>
          <w:color w:val="000000" w:themeColor="text1"/>
        </w:rPr>
        <w:t>How and where the State reported to the public on the FFY 2021 performance of each LEA located in the State on the targets in the SPP/APR as soon as practicable, but no later than 120 days following the State’s submission of its FFY 2021 APR, as required by 34 CFR §300.602(b)(1)(</w:t>
      </w:r>
      <w:proofErr w:type="spellStart"/>
      <w:r w:rsidRPr="00781112">
        <w:rPr>
          <w:b/>
          <w:color w:val="000000" w:themeColor="text1"/>
        </w:rPr>
        <w:t>i</w:t>
      </w:r>
      <w:proofErr w:type="spellEnd"/>
      <w:r w:rsidRPr="00781112">
        <w:rPr>
          <w:b/>
          <w:color w:val="000000" w:themeColor="text1"/>
        </w:rPr>
        <w:t>)(A); and a description of where, on its Web site, a complete copy of the State’s SPP/APR, including any revision</w:t>
      </w:r>
      <w:r w:rsidR="00EE0EC5">
        <w:rPr>
          <w:b/>
          <w:color w:val="000000" w:themeColor="text1"/>
        </w:rPr>
        <w:t>s</w:t>
      </w:r>
      <w:r w:rsidRPr="00781112">
        <w:rPr>
          <w:b/>
          <w:color w:val="000000" w:themeColor="text1"/>
        </w:rPr>
        <w:t xml:space="preserve"> if the State has revised the targets that it submitted with its FFY 2021 APR in 2023, is available.</w:t>
      </w:r>
    </w:p>
    <w:p w14:paraId="4B111ECA" w14:textId="48A73890" w:rsidR="000C24C2" w:rsidRPr="00781112" w:rsidRDefault="002B7490" w:rsidP="007925C6">
      <w:pPr>
        <w:rPr>
          <w:rFonts w:cs="Arial"/>
          <w:color w:val="000000" w:themeColor="text1"/>
          <w:szCs w:val="16"/>
        </w:rPr>
      </w:pPr>
      <w:r w:rsidRPr="00781112">
        <w:rPr>
          <w:rFonts w:cs="Arial"/>
          <w:color w:val="000000" w:themeColor="text1"/>
          <w:szCs w:val="16"/>
        </w:rPr>
        <w:t xml:space="preserve">Within 120 days following the submission of the FFY2021 SPP/APR to the U.S. Department of Education, the CDE posted the FFY2021 performance of each AU on the following website: </w:t>
      </w:r>
      <w:r w:rsidRPr="00781112">
        <w:rPr>
          <w:rFonts w:cs="Arial"/>
          <w:color w:val="000000" w:themeColor="text1"/>
          <w:szCs w:val="16"/>
        </w:rPr>
        <w:br/>
        <w:t xml:space="preserve">http://www.cde.state.co.us/cdesped/AUperformanceprofiles.asp </w:t>
      </w:r>
      <w:r w:rsidRPr="00781112">
        <w:rPr>
          <w:rFonts w:cs="Arial"/>
          <w:color w:val="000000" w:themeColor="text1"/>
          <w:szCs w:val="16"/>
        </w:rPr>
        <w:br/>
        <w:t>A complete and final copy of the State’s SPP/APR was also posted on the following website:</w:t>
      </w:r>
      <w:r w:rsidRPr="00781112">
        <w:rPr>
          <w:rFonts w:cs="Arial"/>
          <w:color w:val="000000" w:themeColor="text1"/>
          <w:szCs w:val="16"/>
        </w:rPr>
        <w:br/>
        <w:t xml:space="preserve">http://www.cde.state.co.us/cdesped/spp-apr </w:t>
      </w:r>
    </w:p>
    <w:p w14:paraId="5231B97D" w14:textId="77777777" w:rsidR="00466646" w:rsidRPr="00781112" w:rsidRDefault="00466646" w:rsidP="007925C6">
      <w:pPr>
        <w:rPr>
          <w:rFonts w:cs="Arial"/>
          <w:color w:val="000000" w:themeColor="text1"/>
          <w:szCs w:val="16"/>
        </w:rPr>
      </w:pPr>
    </w:p>
    <w:p w14:paraId="149B9F3D" w14:textId="71D786D9" w:rsidR="00AA4DAF" w:rsidRPr="00781112" w:rsidRDefault="00684B51" w:rsidP="008645AD">
      <w:pPr>
        <w:pStyle w:val="Heading2"/>
      </w:pPr>
      <w:r w:rsidRPr="00781112">
        <w:t xml:space="preserve">Intro - </w:t>
      </w:r>
      <w:r w:rsidR="006B0FD9" w:rsidRPr="00781112">
        <w:t xml:space="preserve">Prior FFY Required </w:t>
      </w:r>
      <w:r w:rsidR="00AA4DAF" w:rsidRPr="00781112">
        <w:t xml:space="preserve">Actions </w:t>
      </w:r>
    </w:p>
    <w:p w14:paraId="66CEC339" w14:textId="2D6DB901" w:rsidR="000C24C2" w:rsidRPr="00781112" w:rsidRDefault="002B7490" w:rsidP="000B4AA4">
      <w:pPr>
        <w:rPr>
          <w:rFonts w:cs="Arial"/>
          <w:color w:val="000000" w:themeColor="text1"/>
          <w:szCs w:val="16"/>
        </w:rPr>
      </w:pPr>
      <w:r w:rsidRPr="00781112">
        <w:rPr>
          <w:rFonts w:cs="Arial"/>
          <w:color w:val="000000" w:themeColor="text1"/>
          <w:szCs w:val="16"/>
        </w:rPr>
        <w:t xml:space="preserve">The State's IDEA Part B determination for both 2022 and 2023 is Needs Assistance. In the State's 2023 determination letter, the Department advised the State of available sources of technical assistance, including OSEP-funded technical assistance centers, and required the State to work with appropriate entities. The Department directed the State to determine the results elements and/or compliance indicators, and improvement strategies, on which it will focus its use of available technical assistance, </w:t>
      </w:r>
      <w:proofErr w:type="gramStart"/>
      <w:r w:rsidRPr="00781112">
        <w:rPr>
          <w:rFonts w:cs="Arial"/>
          <w:color w:val="000000" w:themeColor="text1"/>
          <w:szCs w:val="16"/>
        </w:rPr>
        <w:t>in order to</w:t>
      </w:r>
      <w:proofErr w:type="gramEnd"/>
      <w:r w:rsidRPr="00781112">
        <w:rPr>
          <w:rFonts w:cs="Arial"/>
          <w:color w:val="000000" w:themeColor="text1"/>
          <w:szCs w:val="16"/>
        </w:rPr>
        <w:t xml:space="preserve"> improve its performance. The State must report, with its FFY 2022 SPP/APR submission, due February 1, 2024, on: (1) the technical assistance sources from which the State received assistance; and (2) the actions the State took </w:t>
      </w:r>
      <w:proofErr w:type="gramStart"/>
      <w:r w:rsidRPr="00781112">
        <w:rPr>
          <w:rFonts w:cs="Arial"/>
          <w:color w:val="000000" w:themeColor="text1"/>
          <w:szCs w:val="16"/>
        </w:rPr>
        <w:t>as a result of</w:t>
      </w:r>
      <w:proofErr w:type="gramEnd"/>
      <w:r w:rsidRPr="00781112">
        <w:rPr>
          <w:rFonts w:cs="Arial"/>
          <w:color w:val="000000" w:themeColor="text1"/>
          <w:szCs w:val="16"/>
        </w:rPr>
        <w:t xml:space="preserve"> that technical assistance.</w:t>
      </w:r>
    </w:p>
    <w:p w14:paraId="6ECA4985" w14:textId="77777777" w:rsidR="008C56EE" w:rsidRPr="00781112" w:rsidRDefault="008C56EE" w:rsidP="000B4AA4">
      <w:pPr>
        <w:rPr>
          <w:rFonts w:cs="Arial"/>
          <w:color w:val="000000" w:themeColor="text1"/>
          <w:szCs w:val="16"/>
        </w:rPr>
      </w:pPr>
    </w:p>
    <w:p w14:paraId="615D9F24" w14:textId="59B47E84" w:rsidR="009F764E" w:rsidRPr="00781112" w:rsidRDefault="007639D7" w:rsidP="004369B2">
      <w:pPr>
        <w:rPr>
          <w:b/>
          <w:color w:val="000000" w:themeColor="text1"/>
        </w:rPr>
      </w:pPr>
      <w:r>
        <w:rPr>
          <w:b/>
          <w:color w:val="000000" w:themeColor="text1"/>
        </w:rPr>
        <w:t>Response to actions required in FFY 2021 SPP/APR</w:t>
      </w:r>
    </w:p>
    <w:p w14:paraId="3302C1DF" w14:textId="2D8F36EA" w:rsidR="000C24C2" w:rsidRPr="00781112" w:rsidRDefault="002B7490" w:rsidP="000E33D0">
      <w:pPr>
        <w:rPr>
          <w:rFonts w:cs="Arial"/>
          <w:color w:val="000000" w:themeColor="text1"/>
          <w:szCs w:val="16"/>
        </w:rPr>
      </w:pPr>
      <w:r w:rsidRPr="00781112">
        <w:rPr>
          <w:rFonts w:cs="Arial"/>
          <w:color w:val="000000" w:themeColor="text1"/>
          <w:szCs w:val="16"/>
        </w:rPr>
        <w:t>CDE’s Dispute Resolution team accessed support from NCSI to solicit stakeholder input from nine members of disability rights organizations on OSEP GSM Guidance: Area of Concern: PEAK Parent Center, DLC, Advocacy Denver, CSEAC, ARC of Central Mountains. Stakeholder input was used to develop policy, procedure, and practice to implement "area of concern" as part of GSM responsibility.</w:t>
      </w:r>
      <w:r w:rsidRPr="00781112">
        <w:rPr>
          <w:rFonts w:cs="Arial"/>
          <w:color w:val="000000" w:themeColor="text1"/>
          <w:szCs w:val="16"/>
        </w:rPr>
        <w:br/>
      </w:r>
      <w:r w:rsidRPr="00781112">
        <w:rPr>
          <w:rFonts w:cs="Arial"/>
          <w:color w:val="000000" w:themeColor="text1"/>
          <w:szCs w:val="16"/>
        </w:rPr>
        <w:br/>
        <w:t xml:space="preserve">CDE's Secondary Transition team accessed support from NTACT to improve performance on Indicators 1, 2, 13, and 14. NTACT staff are facilitating a Post School Outcomes Data Dig with AUs on February 22, 2024 to explore and analyze the AUs' PSO data to discover patterns, meaningful insights, and valuable knowledge to deepen their understanding of the data to assist in guiding program decisions. Through year-long consultation and meetings with NTACT, Colorado has developed a Colorado Technical Assistance Action Plan for the implementation of a statewide Sequence of Services (SOS) to create consistent statewide services for students with disabilities by September 2025. This is a collaborative effort between the Dept of Education, the CO Division of Vocational Rehabilitation, and the LEAs to implement evidence-based transition services with fidelity. The work began with four communities and has now expanded to eleven. NTACT staff </w:t>
      </w:r>
      <w:proofErr w:type="gramStart"/>
      <w:r w:rsidRPr="00781112">
        <w:rPr>
          <w:rFonts w:cs="Arial"/>
          <w:color w:val="000000" w:themeColor="text1"/>
          <w:szCs w:val="16"/>
        </w:rPr>
        <w:t>has</w:t>
      </w:r>
      <w:proofErr w:type="gramEnd"/>
      <w:r w:rsidRPr="00781112">
        <w:rPr>
          <w:rFonts w:cs="Arial"/>
          <w:color w:val="000000" w:themeColor="text1"/>
          <w:szCs w:val="16"/>
        </w:rPr>
        <w:t xml:space="preserve"> met with LEAs preparing them for the implementation of the SOS pilot programs. Colorado continues to work with NTACT to develop a strategic plan that supports SOS scale-up up supporting the implementation timeline of 9/2023 - 9/2025.</w:t>
      </w:r>
      <w:r w:rsidRPr="00781112">
        <w:rPr>
          <w:rFonts w:cs="Arial"/>
          <w:color w:val="000000" w:themeColor="text1"/>
          <w:szCs w:val="16"/>
        </w:rPr>
        <w:br/>
      </w:r>
      <w:r w:rsidRPr="00781112">
        <w:rPr>
          <w:rFonts w:cs="Arial"/>
          <w:color w:val="000000" w:themeColor="text1"/>
          <w:szCs w:val="16"/>
        </w:rPr>
        <w:br/>
        <w:t xml:space="preserve">CDE accessed support from the IDEA Data Center (IDC) to plan and facilitate a broad stakeholder meeting to revisit and revise Indicator 4 definitions that meet OSEP's expectation of a reasonably designed methodology. The recommendations from the stakeholder group were approved by CDE and the changes to the definitions used for Indicators 4A and 4B were publicly announced and will be effective with the 2024-25 SY. </w:t>
      </w:r>
      <w:r w:rsidRPr="00781112">
        <w:rPr>
          <w:rFonts w:cs="Arial"/>
          <w:color w:val="000000" w:themeColor="text1"/>
          <w:szCs w:val="16"/>
        </w:rPr>
        <w:br/>
      </w:r>
      <w:r w:rsidRPr="00781112">
        <w:rPr>
          <w:rFonts w:cs="Arial"/>
          <w:color w:val="000000" w:themeColor="text1"/>
          <w:szCs w:val="16"/>
        </w:rPr>
        <w:br/>
        <w:t xml:space="preserve">CDE continues to work with NCSI on reviewing Indicator 17 to provide facilitation for a stakeholder meeting. As last year, the individuals selected for the </w:t>
      </w:r>
      <w:r w:rsidRPr="00781112">
        <w:rPr>
          <w:rFonts w:cs="Arial"/>
          <w:color w:val="000000" w:themeColor="text1"/>
          <w:szCs w:val="16"/>
        </w:rPr>
        <w:lastRenderedPageBreak/>
        <w:t>focus group were purposefully selected to ensure multiple perspectives from sites that had been part of previous implementation or had direct involvement in the project. Included in the focus groups were classroom general education teachers, special education teachers, campus principals, and special education directors. CDE worked with NCSI to develop a set of uniform questions that would be presented to both the entire group and to smaller, subset of the group. Information collected from the focus group is currently being utilized as CDE considers potential modification to the project.</w:t>
      </w:r>
      <w:r w:rsidRPr="00781112">
        <w:rPr>
          <w:rFonts w:cs="Arial"/>
          <w:color w:val="000000" w:themeColor="text1"/>
          <w:szCs w:val="16"/>
        </w:rPr>
        <w:br/>
      </w:r>
      <w:r w:rsidRPr="00781112">
        <w:rPr>
          <w:rFonts w:cs="Arial"/>
          <w:color w:val="000000" w:themeColor="text1"/>
          <w:szCs w:val="16"/>
        </w:rPr>
        <w:br/>
        <w:t xml:space="preserve">CDE's Special Education Preschool team accessed support from DaSY and ECTA. The actions taken as a result of this technical assistance include: the development of critical questions tied to the I-7 Data Quality Profiles (DaSY); the development of a communication plan for AUs that ensures baseline data entry rating is finalized as close as possible to the initial IEP meeting (ECTA); utilizing LRE resources from ECTA to inform communications and discussions with </w:t>
      </w:r>
      <w:proofErr w:type="gramStart"/>
      <w:r w:rsidRPr="00781112">
        <w:rPr>
          <w:rFonts w:cs="Arial"/>
          <w:color w:val="000000" w:themeColor="text1"/>
          <w:szCs w:val="16"/>
        </w:rPr>
        <w:t>AUs;</w:t>
      </w:r>
      <w:proofErr w:type="gramEnd"/>
      <w:r w:rsidRPr="00781112">
        <w:rPr>
          <w:rFonts w:cs="Arial"/>
          <w:color w:val="000000" w:themeColor="text1"/>
          <w:szCs w:val="16"/>
        </w:rPr>
        <w:t xml:space="preserve"> </w:t>
      </w:r>
    </w:p>
    <w:p w14:paraId="4A252D01" w14:textId="7879CF0B" w:rsidR="00CE6EB0" w:rsidRPr="00781112" w:rsidRDefault="00684B51" w:rsidP="008645AD">
      <w:pPr>
        <w:pStyle w:val="Heading2"/>
      </w:pPr>
      <w:r w:rsidRPr="00781112">
        <w:t xml:space="preserve">Intro - </w:t>
      </w:r>
      <w:r w:rsidR="00CE6EB0" w:rsidRPr="00781112">
        <w:t>OSEP Response</w:t>
      </w:r>
    </w:p>
    <w:p w14:paraId="75883DD0" w14:textId="26E7A768" w:rsidR="000C24C2" w:rsidRPr="00781112" w:rsidRDefault="002B7490" w:rsidP="001F692C">
      <w:pPr>
        <w:rPr>
          <w:rFonts w:cs="Arial"/>
          <w:color w:val="000000" w:themeColor="text1"/>
          <w:szCs w:val="16"/>
        </w:rPr>
      </w:pPr>
      <w:r w:rsidRPr="00781112">
        <w:rPr>
          <w:rFonts w:cs="Arial"/>
          <w:color w:val="000000" w:themeColor="text1"/>
          <w:szCs w:val="16"/>
        </w:rPr>
        <w:t xml:space="preserve">The State's determinations for both 2022 and 2023 were Needs Assistance. Pursuant to Section 616(e)(1) of the IDEA and 34 C.F.R. § 300.604(a), OSEP's June 23, </w:t>
      </w:r>
      <w:proofErr w:type="gramStart"/>
      <w:r w:rsidRPr="00781112">
        <w:rPr>
          <w:rFonts w:cs="Arial"/>
          <w:color w:val="000000" w:themeColor="text1"/>
          <w:szCs w:val="16"/>
        </w:rPr>
        <w:t>2023</w:t>
      </w:r>
      <w:proofErr w:type="gramEnd"/>
      <w:r w:rsidRPr="00781112">
        <w:rPr>
          <w:rFonts w:cs="Arial"/>
          <w:color w:val="000000" w:themeColor="text1"/>
          <w:szCs w:val="16"/>
        </w:rPr>
        <w:t xml:space="preserve"> determination letter informed the State that it must report with its FFY 2022 SPP/APR submission, due February 1, 2024, on: (1) the technical assistance sources from which the State received assistance; and (2) the actions the State took as a result of that technical assistance. The State provided the required information.</w:t>
      </w:r>
    </w:p>
    <w:p w14:paraId="53B509C2" w14:textId="7458BB00" w:rsidR="00CE6EB0" w:rsidRPr="00781112" w:rsidRDefault="00684B51" w:rsidP="008645AD">
      <w:pPr>
        <w:pStyle w:val="Heading2"/>
      </w:pPr>
      <w:r w:rsidRPr="00781112">
        <w:t>Intro - Required Actions</w:t>
      </w:r>
    </w:p>
    <w:p w14:paraId="4593FA49" w14:textId="4CE6B2B1" w:rsidR="000C24C2" w:rsidRPr="00781112" w:rsidRDefault="002B7490" w:rsidP="001F692C">
      <w:pPr>
        <w:rPr>
          <w:rFonts w:cs="Arial"/>
          <w:color w:val="000000" w:themeColor="text1"/>
          <w:szCs w:val="16"/>
        </w:rPr>
      </w:pPr>
      <w:r w:rsidRPr="00781112">
        <w:rPr>
          <w:rFonts w:cs="Arial"/>
          <w:color w:val="000000" w:themeColor="text1"/>
          <w:szCs w:val="16"/>
        </w:rPr>
        <w:t xml:space="preserve">The State's IDEA Part B determination for both 2023 and 2024 is Needs Assistance. In the State's 2024 determination letter, the Department advised the State of available sources of technical assistance, including OSEP-funded technical assistance centers, and required the State to work with appropriate entities. The Department directed the State to determine the results elements and/or compliance indicators, and improvement strategies, on which it will focus its use of available technical assistance, </w:t>
      </w:r>
      <w:proofErr w:type="gramStart"/>
      <w:r w:rsidRPr="00781112">
        <w:rPr>
          <w:rFonts w:cs="Arial"/>
          <w:color w:val="000000" w:themeColor="text1"/>
          <w:szCs w:val="16"/>
        </w:rPr>
        <w:t>in order to</w:t>
      </w:r>
      <w:proofErr w:type="gramEnd"/>
      <w:r w:rsidRPr="00781112">
        <w:rPr>
          <w:rFonts w:cs="Arial"/>
          <w:color w:val="000000" w:themeColor="text1"/>
          <w:szCs w:val="16"/>
        </w:rPr>
        <w:t xml:space="preserve"> improve its performance. The State must report, with its FFY 2023 SPP/APR submission, due February 1, 2025, on: (1) the technical assistance sources from which the State received assistance; and (2) the actions the State took </w:t>
      </w:r>
      <w:proofErr w:type="gramStart"/>
      <w:r w:rsidRPr="00781112">
        <w:rPr>
          <w:rFonts w:cs="Arial"/>
          <w:color w:val="000000" w:themeColor="text1"/>
          <w:szCs w:val="16"/>
        </w:rPr>
        <w:t>as a result of</w:t>
      </w:r>
      <w:proofErr w:type="gramEnd"/>
      <w:r w:rsidRPr="00781112">
        <w:rPr>
          <w:rFonts w:cs="Arial"/>
          <w:color w:val="000000" w:themeColor="text1"/>
          <w:szCs w:val="16"/>
        </w:rPr>
        <w:t xml:space="preserve"> that technical assistance.</w:t>
      </w:r>
    </w:p>
    <w:p w14:paraId="42393C4C" w14:textId="77777777" w:rsidR="00D37BF0" w:rsidRPr="00781112" w:rsidRDefault="00D37BF0">
      <w:pPr>
        <w:spacing w:before="0" w:after="200" w:line="276" w:lineRule="auto"/>
        <w:rPr>
          <w:rFonts w:eastAsiaTheme="majorEastAsia" w:cs="Arial"/>
          <w:b/>
          <w:bCs/>
          <w:color w:val="000000" w:themeColor="text1"/>
          <w:szCs w:val="16"/>
        </w:rPr>
      </w:pPr>
      <w:r w:rsidRPr="00781112">
        <w:rPr>
          <w:rFonts w:cs="Arial"/>
          <w:color w:val="000000" w:themeColor="text1"/>
          <w:szCs w:val="16"/>
        </w:rPr>
        <w:br w:type="page"/>
      </w:r>
    </w:p>
    <w:p w14:paraId="38F1108C" w14:textId="1387D8AF" w:rsidR="00EB0146" w:rsidRPr="00781112" w:rsidRDefault="00EB0146" w:rsidP="000444E2">
      <w:pPr>
        <w:pStyle w:val="Heading1"/>
        <w:rPr>
          <w:color w:val="000000" w:themeColor="text1"/>
          <w:sz w:val="22"/>
        </w:rPr>
      </w:pPr>
      <w:r w:rsidRPr="00781112">
        <w:rPr>
          <w:color w:val="000000" w:themeColor="text1"/>
          <w:sz w:val="22"/>
        </w:rPr>
        <w:lastRenderedPageBreak/>
        <w:t>Indicator 1: Graduation</w:t>
      </w:r>
      <w:bookmarkEnd w:id="1"/>
      <w:bookmarkEnd w:id="2"/>
    </w:p>
    <w:p w14:paraId="5D906D37" w14:textId="00C8F8B1" w:rsidR="009A62A4" w:rsidRPr="00781112" w:rsidRDefault="009A62A4" w:rsidP="00A018D4">
      <w:pPr>
        <w:rPr>
          <w:color w:val="000000" w:themeColor="text1"/>
          <w:szCs w:val="20"/>
        </w:rPr>
      </w:pPr>
      <w:r w:rsidRPr="00781112">
        <w:rPr>
          <w:b/>
          <w:color w:val="000000" w:themeColor="text1"/>
          <w:sz w:val="20"/>
          <w:szCs w:val="20"/>
        </w:rPr>
        <w:t>Instructions and Measurement</w:t>
      </w:r>
    </w:p>
    <w:p w14:paraId="13149CC2" w14:textId="77777777" w:rsidR="004B782D" w:rsidRPr="00781112" w:rsidRDefault="004B782D" w:rsidP="004369B2">
      <w:pPr>
        <w:rPr>
          <w:color w:val="000000" w:themeColor="text1"/>
        </w:rPr>
      </w:pPr>
      <w:bookmarkStart w:id="4" w:name="_Toc392159259"/>
      <w:r w:rsidRPr="00781112">
        <w:rPr>
          <w:b/>
          <w:color w:val="000000" w:themeColor="text1"/>
        </w:rPr>
        <w:t>Monitoring Priority:</w:t>
      </w:r>
      <w:r w:rsidRPr="00781112">
        <w:rPr>
          <w:color w:val="000000" w:themeColor="text1"/>
        </w:rPr>
        <w:t xml:space="preserve"> FAPE in the LRE </w:t>
      </w:r>
    </w:p>
    <w:p w14:paraId="18CE8669" w14:textId="0A91E220" w:rsidR="00531ED7" w:rsidRPr="00781112" w:rsidRDefault="004B782D" w:rsidP="009340E3">
      <w:pPr>
        <w:rPr>
          <w:color w:val="000000" w:themeColor="text1"/>
        </w:rPr>
      </w:pPr>
      <w:r w:rsidRPr="00781112">
        <w:rPr>
          <w:b/>
          <w:color w:val="000000" w:themeColor="text1"/>
        </w:rPr>
        <w:t>Results indicator:</w:t>
      </w:r>
      <w:r w:rsidRPr="00781112">
        <w:rPr>
          <w:color w:val="000000" w:themeColor="text1"/>
        </w:rPr>
        <w:t xml:space="preserve"> Percent of youth with</w:t>
      </w:r>
      <w:r w:rsidR="005F5514" w:rsidRPr="00781112">
        <w:rPr>
          <w:color w:val="000000" w:themeColor="text1"/>
        </w:rPr>
        <w:t xml:space="preserve"> Individualized Education </w:t>
      </w:r>
      <w:r w:rsidR="00DA7FAE" w:rsidRPr="00781112">
        <w:rPr>
          <w:color w:val="000000" w:themeColor="text1"/>
        </w:rPr>
        <w:t>Programs</w:t>
      </w:r>
      <w:r w:rsidRPr="00781112">
        <w:rPr>
          <w:color w:val="000000" w:themeColor="text1"/>
        </w:rPr>
        <w:t xml:space="preserve"> </w:t>
      </w:r>
      <w:r w:rsidR="005F5514" w:rsidRPr="00781112">
        <w:rPr>
          <w:color w:val="000000" w:themeColor="text1"/>
        </w:rPr>
        <w:t>(</w:t>
      </w:r>
      <w:r w:rsidRPr="00781112">
        <w:rPr>
          <w:color w:val="000000" w:themeColor="text1"/>
        </w:rPr>
        <w:t>IEPs</w:t>
      </w:r>
      <w:r w:rsidR="005F5514" w:rsidRPr="00781112">
        <w:rPr>
          <w:color w:val="000000" w:themeColor="text1"/>
        </w:rPr>
        <w:t>)</w:t>
      </w:r>
      <w:r w:rsidRPr="00781112">
        <w:rPr>
          <w:color w:val="000000" w:themeColor="text1"/>
        </w:rPr>
        <w:t xml:space="preserve"> </w:t>
      </w:r>
      <w:r w:rsidR="003068D4" w:rsidRPr="00781112">
        <w:rPr>
          <w:color w:val="000000" w:themeColor="text1"/>
        </w:rPr>
        <w:t>exiting</w:t>
      </w:r>
      <w:r w:rsidR="00EF4CAF" w:rsidRPr="00781112">
        <w:rPr>
          <w:color w:val="000000" w:themeColor="text1"/>
        </w:rPr>
        <w:t xml:space="preserve"> </w:t>
      </w:r>
      <w:r w:rsidR="00EF4CAF" w:rsidRPr="00781112">
        <w:rPr>
          <w:rFonts w:cs="Arial"/>
          <w:szCs w:val="16"/>
        </w:rPr>
        <w:t>special education due to graduating</w:t>
      </w:r>
      <w:r w:rsidR="003068D4" w:rsidRPr="00781112">
        <w:rPr>
          <w:color w:val="000000" w:themeColor="text1"/>
        </w:rPr>
        <w:t xml:space="preserve"> </w:t>
      </w:r>
      <w:r w:rsidRPr="00781112">
        <w:rPr>
          <w:color w:val="000000" w:themeColor="text1"/>
        </w:rPr>
        <w:t>with a regular</w:t>
      </w:r>
      <w:r w:rsidR="005F5514" w:rsidRPr="00781112">
        <w:rPr>
          <w:color w:val="000000" w:themeColor="text1"/>
        </w:rPr>
        <w:t xml:space="preserve"> high school diploma</w:t>
      </w:r>
      <w:r w:rsidRPr="00781112">
        <w:rPr>
          <w:color w:val="000000" w:themeColor="text1"/>
        </w:rPr>
        <w:t>.</w:t>
      </w:r>
      <w:r w:rsidR="00552927" w:rsidRPr="00781112">
        <w:rPr>
          <w:color w:val="000000" w:themeColor="text1"/>
        </w:rPr>
        <w:t xml:space="preserve"> </w:t>
      </w:r>
      <w:r w:rsidRPr="00781112">
        <w:rPr>
          <w:color w:val="000000" w:themeColor="text1"/>
        </w:rPr>
        <w:t>(20 U.S.C. 1416 (a)(3)(A))</w:t>
      </w:r>
    </w:p>
    <w:p w14:paraId="6446BBA4" w14:textId="09E75AD8" w:rsidR="005F5514" w:rsidRPr="00781112" w:rsidRDefault="00460298" w:rsidP="004369B2">
      <w:pPr>
        <w:rPr>
          <w:rFonts w:cs="Arial"/>
          <w:bCs/>
          <w:color w:val="000000" w:themeColor="text1"/>
          <w:szCs w:val="16"/>
        </w:rPr>
      </w:pPr>
      <w:r w:rsidRPr="00781112">
        <w:rPr>
          <w:rFonts w:cs="Arial"/>
          <w:b/>
          <w:bCs/>
          <w:color w:val="000000" w:themeColor="text1"/>
          <w:szCs w:val="16"/>
        </w:rPr>
        <w:t>Data Source</w:t>
      </w:r>
    </w:p>
    <w:p w14:paraId="08997539" w14:textId="281A6713" w:rsidR="005F5514" w:rsidRPr="00781112" w:rsidRDefault="00460298" w:rsidP="003A6167">
      <w:pPr>
        <w:rPr>
          <w:rFonts w:cs="Arial"/>
          <w:color w:val="000000" w:themeColor="text1"/>
          <w:szCs w:val="16"/>
        </w:rPr>
      </w:pPr>
      <w:r w:rsidRPr="00781112">
        <w:rPr>
          <w:rFonts w:cs="Arial"/>
          <w:color w:val="000000" w:themeColor="text1"/>
          <w:szCs w:val="16"/>
          <w:shd w:val="clear" w:color="auto" w:fill="FFFFFF"/>
        </w:rPr>
        <w:t xml:space="preserve">Same data as used for reporting to the Department </w:t>
      </w:r>
      <w:r w:rsidR="001A0C28" w:rsidRPr="00781112">
        <w:rPr>
          <w:rFonts w:cs="Arial"/>
          <w:szCs w:val="16"/>
          <w:shd w:val="clear" w:color="auto" w:fill="FFFFFF"/>
        </w:rPr>
        <w:t>under section 618 of the Individuals with Disabilities Education Act (IDEA), using the definitions in ED</w:t>
      </w:r>
      <w:r w:rsidR="001A0C28" w:rsidRPr="00BA3DBE">
        <w:rPr>
          <w:rFonts w:cs="Arial"/>
          <w:i/>
          <w:iCs/>
          <w:szCs w:val="16"/>
          <w:shd w:val="clear" w:color="auto" w:fill="FFFFFF"/>
        </w:rPr>
        <w:t>Facts</w:t>
      </w:r>
      <w:r w:rsidR="001A0C28" w:rsidRPr="00781112">
        <w:rPr>
          <w:rFonts w:cs="Arial"/>
          <w:szCs w:val="16"/>
          <w:shd w:val="clear" w:color="auto" w:fill="FFFFFF"/>
        </w:rPr>
        <w:t xml:space="preserve"> file specification FS009</w:t>
      </w:r>
      <w:r w:rsidRPr="00781112">
        <w:rPr>
          <w:rFonts w:cs="Arial"/>
          <w:color w:val="000000" w:themeColor="text1"/>
          <w:szCs w:val="16"/>
          <w:shd w:val="clear" w:color="auto" w:fill="FFFFFF"/>
        </w:rPr>
        <w:t>.</w:t>
      </w:r>
    </w:p>
    <w:p w14:paraId="453C54CF" w14:textId="0B94BC61" w:rsidR="005F5514" w:rsidRPr="00781112" w:rsidRDefault="005F5514" w:rsidP="004369B2">
      <w:pPr>
        <w:rPr>
          <w:color w:val="000000" w:themeColor="text1"/>
        </w:rPr>
      </w:pPr>
      <w:r w:rsidRPr="00781112">
        <w:rPr>
          <w:b/>
          <w:color w:val="000000" w:themeColor="text1"/>
        </w:rPr>
        <w:t>Measurement</w:t>
      </w:r>
    </w:p>
    <w:p w14:paraId="368E5D32" w14:textId="2D879251" w:rsidR="005F5514" w:rsidRPr="00781112" w:rsidRDefault="005F5514" w:rsidP="003A6167">
      <w:pPr>
        <w:rPr>
          <w:rFonts w:cs="Arial"/>
          <w:color w:val="000000" w:themeColor="text1"/>
          <w:szCs w:val="16"/>
        </w:rPr>
      </w:pPr>
      <w:r w:rsidRPr="00781112">
        <w:rPr>
          <w:rFonts w:cs="Arial"/>
          <w:color w:val="000000" w:themeColor="text1"/>
          <w:szCs w:val="16"/>
          <w:shd w:val="clear" w:color="auto" w:fill="FFFFFF"/>
        </w:rPr>
        <w:t xml:space="preserve">States </w:t>
      </w:r>
      <w:r w:rsidR="0084727C" w:rsidRPr="00781112">
        <w:rPr>
          <w:rFonts w:cs="Arial"/>
          <w:szCs w:val="16"/>
          <w:shd w:val="clear" w:color="auto" w:fill="FFFFFF"/>
        </w:rPr>
        <w:t xml:space="preserve">must report a percentage using the number of </w:t>
      </w:r>
      <w:proofErr w:type="gramStart"/>
      <w:r w:rsidR="0084727C" w:rsidRPr="00781112">
        <w:rPr>
          <w:rFonts w:cs="Arial"/>
          <w:szCs w:val="16"/>
          <w:shd w:val="clear" w:color="auto" w:fill="FFFFFF"/>
        </w:rPr>
        <w:t>youth</w:t>
      </w:r>
      <w:proofErr w:type="gramEnd"/>
      <w:r w:rsidR="0084727C" w:rsidRPr="00781112">
        <w:rPr>
          <w:rFonts w:cs="Arial"/>
          <w:szCs w:val="16"/>
          <w:shd w:val="clear" w:color="auto" w:fill="FFFFFF"/>
        </w:rPr>
        <w:t xml:space="preserve"> with IEPs (ages 14-21) who exited special education due to graduating with a regular high school diploma in the numerator and the number of all youth with IEPs who </w:t>
      </w:r>
      <w:r w:rsidR="00CB505C" w:rsidRPr="00781112">
        <w:rPr>
          <w:rFonts w:cs="Arial"/>
          <w:szCs w:val="16"/>
          <w:shd w:val="clear" w:color="auto" w:fill="FFFFFF"/>
        </w:rPr>
        <w:t>exited</w:t>
      </w:r>
      <w:r w:rsidR="0084727C" w:rsidRPr="00781112">
        <w:rPr>
          <w:rFonts w:cs="Arial"/>
          <w:szCs w:val="16"/>
          <w:shd w:val="clear" w:color="auto" w:fill="FFFFFF"/>
        </w:rPr>
        <w:t xml:space="preserve"> high school (ages 14-21) in the denominator</w:t>
      </w:r>
      <w:r w:rsidRPr="00781112">
        <w:rPr>
          <w:rFonts w:cs="Arial"/>
          <w:color w:val="000000" w:themeColor="text1"/>
          <w:szCs w:val="16"/>
          <w:shd w:val="clear" w:color="auto" w:fill="FFFFFF"/>
        </w:rPr>
        <w:t>.</w:t>
      </w:r>
    </w:p>
    <w:p w14:paraId="3C528AFB" w14:textId="76079BAD" w:rsidR="005F5514" w:rsidRPr="00781112" w:rsidRDefault="005F5514" w:rsidP="004369B2">
      <w:pPr>
        <w:rPr>
          <w:color w:val="000000" w:themeColor="text1"/>
        </w:rPr>
      </w:pPr>
      <w:r w:rsidRPr="00781112">
        <w:rPr>
          <w:b/>
          <w:color w:val="000000" w:themeColor="text1"/>
        </w:rPr>
        <w:t>Instructions</w:t>
      </w:r>
    </w:p>
    <w:p w14:paraId="675BD796" w14:textId="6D333C0C" w:rsidR="005F5514" w:rsidRPr="00781112" w:rsidRDefault="005F5514" w:rsidP="004369B2">
      <w:pPr>
        <w:rPr>
          <w:i/>
          <w:color w:val="000000" w:themeColor="text1"/>
        </w:rPr>
      </w:pPr>
      <w:r w:rsidRPr="00781112">
        <w:rPr>
          <w:i/>
          <w:color w:val="000000" w:themeColor="text1"/>
        </w:rPr>
        <w:t>Sampling is not allowed.</w:t>
      </w:r>
    </w:p>
    <w:p w14:paraId="496A7DDE" w14:textId="6293C168" w:rsidR="005F5514" w:rsidRPr="00781112" w:rsidRDefault="00815B9B" w:rsidP="003A6167">
      <w:pPr>
        <w:rPr>
          <w:rFonts w:cs="Arial"/>
          <w:color w:val="000000" w:themeColor="text1"/>
          <w:szCs w:val="16"/>
        </w:rPr>
      </w:pPr>
      <w:r w:rsidRPr="00781112">
        <w:t xml:space="preserve">Data for this indicator </w:t>
      </w:r>
      <w:proofErr w:type="gramStart"/>
      <w:r w:rsidRPr="00781112">
        <w:t>are</w:t>
      </w:r>
      <w:proofErr w:type="gramEnd"/>
      <w:r w:rsidRPr="00781112">
        <w:t xml:space="preserve"> “lag” data. </w:t>
      </w:r>
      <w:r w:rsidR="005F5514" w:rsidRPr="00781112">
        <w:rPr>
          <w:rFonts w:cs="Arial"/>
          <w:color w:val="000000" w:themeColor="text1"/>
          <w:szCs w:val="16"/>
        </w:rPr>
        <w:t xml:space="preserve">Describe the results of the State’s examination of the data for the year before the reporting year (e.g., for </w:t>
      </w:r>
      <w:r w:rsidR="007639D7">
        <w:rPr>
          <w:rFonts w:cs="Arial"/>
          <w:color w:val="000000" w:themeColor="text1"/>
          <w:szCs w:val="16"/>
        </w:rPr>
        <w:t>the FFY 202</w:t>
      </w:r>
      <w:r w:rsidR="00061459">
        <w:rPr>
          <w:rFonts w:cs="Arial"/>
          <w:color w:val="000000" w:themeColor="text1"/>
          <w:szCs w:val="16"/>
        </w:rPr>
        <w:t>2</w:t>
      </w:r>
      <w:r w:rsidR="007639D7">
        <w:rPr>
          <w:rFonts w:cs="Arial"/>
          <w:color w:val="000000" w:themeColor="text1"/>
          <w:szCs w:val="16"/>
        </w:rPr>
        <w:t xml:space="preserve"> SPP/APR, use data from 202</w:t>
      </w:r>
      <w:r w:rsidR="00061459">
        <w:rPr>
          <w:rFonts w:cs="Arial"/>
          <w:color w:val="000000" w:themeColor="text1"/>
          <w:szCs w:val="16"/>
        </w:rPr>
        <w:t>1</w:t>
      </w:r>
      <w:r w:rsidR="007639D7">
        <w:rPr>
          <w:rFonts w:cs="Arial"/>
          <w:color w:val="000000" w:themeColor="text1"/>
          <w:szCs w:val="16"/>
        </w:rPr>
        <w:t>-202</w:t>
      </w:r>
      <w:r w:rsidR="00061459">
        <w:rPr>
          <w:rFonts w:cs="Arial"/>
          <w:color w:val="000000" w:themeColor="text1"/>
          <w:szCs w:val="16"/>
        </w:rPr>
        <w:t>2</w:t>
      </w:r>
      <w:r w:rsidR="005F5514" w:rsidRPr="00781112">
        <w:rPr>
          <w:rFonts w:cs="Arial"/>
          <w:color w:val="000000" w:themeColor="text1"/>
          <w:szCs w:val="16"/>
        </w:rPr>
        <w:t xml:space="preserve">), and compare the results to the target. </w:t>
      </w:r>
    </w:p>
    <w:p w14:paraId="7E94BD74" w14:textId="77777777" w:rsidR="003069AE" w:rsidRPr="00781112" w:rsidRDefault="003069AE" w:rsidP="003069AE">
      <w:proofErr w:type="gramStart"/>
      <w:r w:rsidRPr="00781112">
        <w:t>Include</w:t>
      </w:r>
      <w:proofErr w:type="gramEnd"/>
      <w:r w:rsidRPr="00781112">
        <w:t xml:space="preserve"> in the denominator the following exiting categories: (a) graduated with a regular high school diploma; (b) graduated with a state-defined alternate diploma; (c) received a certificate; (d) reached maximum age; or (e) dropped out. </w:t>
      </w:r>
    </w:p>
    <w:p w14:paraId="6D62B3B3" w14:textId="4F597FD3" w:rsidR="003069AE" w:rsidRPr="00781112" w:rsidRDefault="003069AE" w:rsidP="003A6167">
      <w:r w:rsidRPr="00781112">
        <w:t xml:space="preserve">Do not include in the denominator the number of youths with IEPs who exited special education due to: (a) transferring to regular education; or (b) who moved but are known to be continuing in an educational program. </w:t>
      </w:r>
    </w:p>
    <w:p w14:paraId="156B8877" w14:textId="52998CDB" w:rsidR="005F5514" w:rsidRPr="00781112" w:rsidRDefault="005F5514" w:rsidP="003A6167">
      <w:pPr>
        <w:rPr>
          <w:rFonts w:cs="Arial"/>
          <w:color w:val="000000" w:themeColor="text1"/>
          <w:szCs w:val="16"/>
        </w:rPr>
      </w:pPr>
      <w:r w:rsidRPr="00781112">
        <w:rPr>
          <w:rFonts w:cs="Arial"/>
          <w:color w:val="000000" w:themeColor="text1"/>
          <w:szCs w:val="16"/>
        </w:rPr>
        <w:t xml:space="preserve">Provide a narrative that describes the conditions youth must meet </w:t>
      </w:r>
      <w:proofErr w:type="gramStart"/>
      <w:r w:rsidRPr="00781112">
        <w:rPr>
          <w:rFonts w:cs="Arial"/>
          <w:color w:val="000000" w:themeColor="text1"/>
          <w:szCs w:val="16"/>
        </w:rPr>
        <w:t>in order to</w:t>
      </w:r>
      <w:proofErr w:type="gramEnd"/>
      <w:r w:rsidRPr="00781112">
        <w:rPr>
          <w:rFonts w:cs="Arial"/>
          <w:color w:val="000000" w:themeColor="text1"/>
          <w:szCs w:val="16"/>
        </w:rPr>
        <w:t xml:space="preserve"> graduate with a regular high school diploma. If the conditions that youth with IEPs must meet </w:t>
      </w:r>
      <w:proofErr w:type="gramStart"/>
      <w:r w:rsidRPr="00781112">
        <w:rPr>
          <w:rFonts w:cs="Arial"/>
          <w:color w:val="000000" w:themeColor="text1"/>
          <w:szCs w:val="16"/>
        </w:rPr>
        <w:t>in order to</w:t>
      </w:r>
      <w:proofErr w:type="gramEnd"/>
      <w:r w:rsidRPr="00781112">
        <w:rPr>
          <w:rFonts w:cs="Arial"/>
          <w:color w:val="000000" w:themeColor="text1"/>
          <w:szCs w:val="16"/>
        </w:rPr>
        <w:t xml:space="preserve"> graduate with a regular high school diploma are different, please explain.</w:t>
      </w:r>
    </w:p>
    <w:p w14:paraId="17C36F54" w14:textId="0B0AD4FB" w:rsidR="00B34EE6" w:rsidRPr="00781112" w:rsidRDefault="00B0742B" w:rsidP="008645AD">
      <w:pPr>
        <w:pStyle w:val="Heading2"/>
      </w:pPr>
      <w:r w:rsidRPr="00781112">
        <w:t>1</w:t>
      </w:r>
      <w:r w:rsidR="00684B51" w:rsidRPr="00781112">
        <w:t xml:space="preserve"> </w:t>
      </w:r>
      <w:r w:rsidRPr="00781112">
        <w:t xml:space="preserve">- </w:t>
      </w:r>
      <w:r w:rsidR="007742F1" w:rsidRPr="00781112">
        <w:t xml:space="preserve">Indicator </w:t>
      </w:r>
      <w:r w:rsidR="00B34EE6" w:rsidRPr="00781112">
        <w:t xml:space="preserve">Data </w:t>
      </w:r>
    </w:p>
    <w:bookmarkEnd w:id="4"/>
    <w:p w14:paraId="7BB99CB8" w14:textId="1745E070" w:rsidR="005E59DB" w:rsidRPr="00781112" w:rsidRDefault="005E59DB" w:rsidP="00B65C2C">
      <w:pPr>
        <w:rPr>
          <w:b/>
          <w:color w:val="000000" w:themeColor="text1"/>
        </w:rPr>
      </w:pPr>
      <w:r w:rsidRPr="00781112">
        <w:rPr>
          <w:b/>
          <w:color w:val="000000" w:themeColor="text1"/>
        </w:rPr>
        <w:t>Historical Data</w:t>
      </w:r>
    </w:p>
    <w:tbl>
      <w:tblPr>
        <w:tblStyle w:val="TableGrid"/>
        <w:tblW w:w="0" w:type="auto"/>
        <w:tblLayout w:type="fixed"/>
        <w:tblLook w:val="04A0" w:firstRow="1" w:lastRow="0" w:firstColumn="1" w:lastColumn="0" w:noHBand="0" w:noVBand="1"/>
        <w:tblCaption w:val="B01BASELINEDATA"/>
      </w:tblPr>
      <w:tblGrid>
        <w:gridCol w:w="1797"/>
        <w:gridCol w:w="1798"/>
      </w:tblGrid>
      <w:tr w:rsidR="008F3F33" w:rsidRPr="00781112" w14:paraId="58873103" w14:textId="77777777" w:rsidTr="0033429D">
        <w:trPr>
          <w:trHeight w:val="311"/>
          <w:tblHeader/>
        </w:trPr>
        <w:tc>
          <w:tcPr>
            <w:tcW w:w="1797" w:type="dxa"/>
          </w:tcPr>
          <w:p w14:paraId="3521E7AE" w14:textId="2CED297B" w:rsidR="008F3F33" w:rsidRPr="00781112" w:rsidRDefault="008F3F33" w:rsidP="0033429D">
            <w:pPr>
              <w:jc w:val="center"/>
              <w:rPr>
                <w:b/>
                <w:color w:val="000000" w:themeColor="text1"/>
              </w:rPr>
            </w:pPr>
            <w:r w:rsidRPr="00781112">
              <w:rPr>
                <w:rFonts w:cs="Arial"/>
                <w:b/>
                <w:color w:val="000000" w:themeColor="text1"/>
                <w:szCs w:val="16"/>
              </w:rPr>
              <w:t>Baseline Year</w:t>
            </w:r>
          </w:p>
        </w:tc>
        <w:tc>
          <w:tcPr>
            <w:tcW w:w="1798" w:type="dxa"/>
          </w:tcPr>
          <w:p w14:paraId="70C1DEA4" w14:textId="362D12BF" w:rsidR="008F3F33" w:rsidRPr="00781112" w:rsidRDefault="008F3F33" w:rsidP="0033429D">
            <w:pPr>
              <w:jc w:val="center"/>
              <w:rPr>
                <w:b/>
                <w:color w:val="000000" w:themeColor="text1"/>
              </w:rPr>
            </w:pPr>
            <w:r w:rsidRPr="00781112">
              <w:rPr>
                <w:b/>
                <w:color w:val="000000" w:themeColor="text1"/>
              </w:rPr>
              <w:t>Baseline Data</w:t>
            </w:r>
          </w:p>
        </w:tc>
      </w:tr>
      <w:tr w:rsidR="008F3F33" w:rsidRPr="00781112" w14:paraId="1079C891" w14:textId="77777777" w:rsidTr="0033429D">
        <w:trPr>
          <w:trHeight w:val="311"/>
        </w:trPr>
        <w:tc>
          <w:tcPr>
            <w:tcW w:w="1797" w:type="dxa"/>
            <w:vAlign w:val="center"/>
          </w:tcPr>
          <w:p w14:paraId="55702E9C" w14:textId="3300C91F" w:rsidR="008F3F33" w:rsidRPr="00781112" w:rsidRDefault="008F3F33" w:rsidP="0033429D">
            <w:pPr>
              <w:jc w:val="center"/>
              <w:rPr>
                <w:b/>
                <w:color w:val="000000" w:themeColor="text1"/>
              </w:rPr>
            </w:pPr>
            <w:r w:rsidRPr="00781112">
              <w:rPr>
                <w:rFonts w:cs="Arial"/>
                <w:color w:val="000000" w:themeColor="text1"/>
                <w:szCs w:val="16"/>
              </w:rPr>
              <w:t>2020</w:t>
            </w:r>
          </w:p>
        </w:tc>
        <w:tc>
          <w:tcPr>
            <w:tcW w:w="1798" w:type="dxa"/>
            <w:vAlign w:val="center"/>
          </w:tcPr>
          <w:p w14:paraId="4BB8ED70" w14:textId="40307D5C" w:rsidR="008F3F33" w:rsidRPr="00781112" w:rsidRDefault="008F3F33" w:rsidP="0033429D">
            <w:pPr>
              <w:jc w:val="center"/>
              <w:rPr>
                <w:b/>
                <w:color w:val="000000" w:themeColor="text1"/>
              </w:rPr>
            </w:pPr>
            <w:r w:rsidRPr="00781112">
              <w:rPr>
                <w:rFonts w:cs="Arial"/>
                <w:color w:val="000000" w:themeColor="text1"/>
                <w:szCs w:val="16"/>
              </w:rPr>
              <w:t>79.27%</w:t>
            </w:r>
          </w:p>
        </w:tc>
      </w:tr>
    </w:tbl>
    <w:p w14:paraId="04BDDA65" w14:textId="77777777" w:rsidR="008F3F33" w:rsidRPr="00781112" w:rsidRDefault="008F3F33" w:rsidP="00B65C2C">
      <w:pPr>
        <w:rPr>
          <w:b/>
          <w:bCs/>
          <w:color w:val="000000" w:themeColor="text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B01HISTDATA"/>
      </w:tblPr>
      <w:tblGrid>
        <w:gridCol w:w="1798"/>
        <w:gridCol w:w="1798"/>
        <w:gridCol w:w="1798"/>
        <w:gridCol w:w="1798"/>
        <w:gridCol w:w="1798"/>
        <w:gridCol w:w="1800"/>
      </w:tblGrid>
      <w:tr w:rsidR="005C29F8" w:rsidRPr="00781112" w14:paraId="6EF7C6D0" w14:textId="1CEAEBAE" w:rsidTr="00087EB9">
        <w:trPr>
          <w:trHeight w:val="350"/>
        </w:trPr>
        <w:tc>
          <w:tcPr>
            <w:tcW w:w="833" w:type="pct"/>
            <w:tcBorders>
              <w:bottom w:val="single" w:sz="4" w:space="0" w:color="auto"/>
            </w:tcBorders>
            <w:shd w:val="clear" w:color="auto" w:fill="auto"/>
          </w:tcPr>
          <w:p w14:paraId="4483C39A" w14:textId="77777777" w:rsidR="007F24E2" w:rsidRPr="00781112" w:rsidRDefault="007F24E2" w:rsidP="00CD2DF5">
            <w:pPr>
              <w:jc w:val="center"/>
              <w:rPr>
                <w:rFonts w:cs="Arial"/>
                <w:b/>
                <w:color w:val="000000" w:themeColor="text1"/>
                <w:szCs w:val="16"/>
              </w:rPr>
            </w:pPr>
            <w:r w:rsidRPr="00781112">
              <w:rPr>
                <w:rFonts w:cs="Arial"/>
                <w:b/>
                <w:color w:val="000000" w:themeColor="text1"/>
                <w:szCs w:val="16"/>
              </w:rPr>
              <w:t>FFY</w:t>
            </w:r>
          </w:p>
        </w:tc>
        <w:tc>
          <w:tcPr>
            <w:tcW w:w="833" w:type="pct"/>
            <w:shd w:val="clear" w:color="auto" w:fill="auto"/>
          </w:tcPr>
          <w:p w14:paraId="0DF3D5A6" w14:textId="2DA8A75D" w:rsidR="007F24E2" w:rsidRPr="00781112" w:rsidRDefault="002B7490" w:rsidP="00894709">
            <w:pPr>
              <w:jc w:val="center"/>
              <w:rPr>
                <w:rFonts w:cs="Arial"/>
                <w:b/>
                <w:color w:val="000000" w:themeColor="text1"/>
                <w:szCs w:val="16"/>
              </w:rPr>
            </w:pPr>
            <w:r w:rsidRPr="00781112">
              <w:rPr>
                <w:rFonts w:cs="Arial"/>
                <w:b/>
                <w:color w:val="000000" w:themeColor="text1"/>
                <w:szCs w:val="16"/>
              </w:rPr>
              <w:t>2017</w:t>
            </w:r>
          </w:p>
        </w:tc>
        <w:tc>
          <w:tcPr>
            <w:tcW w:w="833" w:type="pct"/>
            <w:shd w:val="clear" w:color="auto" w:fill="auto"/>
          </w:tcPr>
          <w:p w14:paraId="5E57E797" w14:textId="6309195B" w:rsidR="007F24E2" w:rsidRPr="00781112" w:rsidRDefault="002B7490" w:rsidP="00894709">
            <w:pPr>
              <w:jc w:val="center"/>
              <w:rPr>
                <w:rFonts w:cs="Arial"/>
                <w:b/>
                <w:color w:val="000000" w:themeColor="text1"/>
                <w:szCs w:val="16"/>
              </w:rPr>
            </w:pPr>
            <w:r w:rsidRPr="00781112">
              <w:rPr>
                <w:rFonts w:cs="Arial"/>
                <w:b/>
                <w:color w:val="000000" w:themeColor="text1"/>
                <w:szCs w:val="16"/>
              </w:rPr>
              <w:t>2018</w:t>
            </w:r>
          </w:p>
        </w:tc>
        <w:tc>
          <w:tcPr>
            <w:tcW w:w="833" w:type="pct"/>
            <w:shd w:val="clear" w:color="auto" w:fill="auto"/>
          </w:tcPr>
          <w:p w14:paraId="6D5C8516" w14:textId="2F8BF9E2" w:rsidR="007F24E2" w:rsidRPr="00781112" w:rsidRDefault="002B7490" w:rsidP="00894709">
            <w:pPr>
              <w:jc w:val="center"/>
              <w:rPr>
                <w:rFonts w:cs="Arial"/>
                <w:b/>
                <w:color w:val="000000" w:themeColor="text1"/>
                <w:szCs w:val="16"/>
              </w:rPr>
            </w:pPr>
            <w:r w:rsidRPr="00781112">
              <w:rPr>
                <w:rFonts w:cs="Arial"/>
                <w:b/>
                <w:color w:val="000000" w:themeColor="text1"/>
                <w:szCs w:val="16"/>
              </w:rPr>
              <w:t>2019</w:t>
            </w:r>
          </w:p>
        </w:tc>
        <w:tc>
          <w:tcPr>
            <w:tcW w:w="833" w:type="pct"/>
            <w:shd w:val="clear" w:color="auto" w:fill="auto"/>
          </w:tcPr>
          <w:p w14:paraId="116A9927" w14:textId="1D308C81" w:rsidR="007F24E2" w:rsidRPr="00781112" w:rsidRDefault="002B7490" w:rsidP="00894709">
            <w:pPr>
              <w:jc w:val="center"/>
              <w:rPr>
                <w:rFonts w:cs="Arial"/>
                <w:b/>
                <w:color w:val="000000" w:themeColor="text1"/>
                <w:szCs w:val="16"/>
              </w:rPr>
            </w:pPr>
            <w:r w:rsidRPr="00781112">
              <w:rPr>
                <w:rFonts w:cs="Arial"/>
                <w:b/>
                <w:color w:val="000000" w:themeColor="text1"/>
                <w:szCs w:val="16"/>
              </w:rPr>
              <w:t>2020</w:t>
            </w:r>
          </w:p>
        </w:tc>
        <w:tc>
          <w:tcPr>
            <w:tcW w:w="834" w:type="pct"/>
            <w:shd w:val="clear" w:color="auto" w:fill="auto"/>
          </w:tcPr>
          <w:p w14:paraId="41821FE5" w14:textId="02E4CA44" w:rsidR="007F24E2" w:rsidRPr="00781112" w:rsidRDefault="002B7490" w:rsidP="00894709">
            <w:pPr>
              <w:jc w:val="center"/>
              <w:rPr>
                <w:rFonts w:cs="Arial"/>
                <w:b/>
                <w:color w:val="000000" w:themeColor="text1"/>
                <w:szCs w:val="16"/>
              </w:rPr>
            </w:pPr>
            <w:r w:rsidRPr="00781112">
              <w:rPr>
                <w:rFonts w:cs="Arial"/>
                <w:b/>
                <w:color w:val="000000" w:themeColor="text1"/>
                <w:szCs w:val="16"/>
              </w:rPr>
              <w:t>2021</w:t>
            </w:r>
          </w:p>
        </w:tc>
      </w:tr>
      <w:tr w:rsidR="005C29F8" w:rsidRPr="00781112" w14:paraId="69850889" w14:textId="5FBD9A23" w:rsidTr="0033429D">
        <w:trPr>
          <w:trHeight w:val="357"/>
        </w:trPr>
        <w:tc>
          <w:tcPr>
            <w:tcW w:w="833" w:type="pct"/>
            <w:shd w:val="clear" w:color="auto" w:fill="auto"/>
            <w:vAlign w:val="center"/>
          </w:tcPr>
          <w:p w14:paraId="329304B6" w14:textId="1D4FEA84" w:rsidR="007F24E2" w:rsidRPr="00781112" w:rsidRDefault="007F24E2" w:rsidP="00BA3DBE">
            <w:pPr>
              <w:jc w:val="center"/>
              <w:rPr>
                <w:rFonts w:cs="Arial"/>
                <w:color w:val="000000" w:themeColor="text1"/>
                <w:szCs w:val="16"/>
              </w:rPr>
            </w:pPr>
            <w:r w:rsidRPr="00781112">
              <w:rPr>
                <w:rFonts w:cs="Arial"/>
                <w:color w:val="000000" w:themeColor="text1"/>
                <w:szCs w:val="16"/>
              </w:rPr>
              <w:t>Target &gt;=</w:t>
            </w:r>
          </w:p>
        </w:tc>
        <w:tc>
          <w:tcPr>
            <w:tcW w:w="833" w:type="pct"/>
            <w:shd w:val="clear" w:color="auto" w:fill="auto"/>
            <w:vAlign w:val="center"/>
          </w:tcPr>
          <w:p w14:paraId="4D288A5D" w14:textId="1DE49DCD" w:rsidR="007F24E2" w:rsidRPr="00781112" w:rsidRDefault="002B7490" w:rsidP="00E0321D">
            <w:pPr>
              <w:jc w:val="center"/>
              <w:rPr>
                <w:rFonts w:cs="Arial"/>
                <w:color w:val="000000" w:themeColor="text1"/>
                <w:szCs w:val="16"/>
              </w:rPr>
            </w:pPr>
            <w:r w:rsidRPr="00781112">
              <w:rPr>
                <w:rFonts w:cs="Arial"/>
                <w:color w:val="000000" w:themeColor="text1"/>
                <w:szCs w:val="16"/>
              </w:rPr>
              <w:t>75.00%</w:t>
            </w:r>
          </w:p>
        </w:tc>
        <w:tc>
          <w:tcPr>
            <w:tcW w:w="833" w:type="pct"/>
            <w:shd w:val="clear" w:color="auto" w:fill="auto"/>
            <w:vAlign w:val="center"/>
          </w:tcPr>
          <w:p w14:paraId="2751003B" w14:textId="66867EC3" w:rsidR="007F24E2" w:rsidRPr="00781112" w:rsidRDefault="002B7490" w:rsidP="00E0321D">
            <w:pPr>
              <w:jc w:val="center"/>
              <w:rPr>
                <w:rFonts w:cs="Arial"/>
                <w:color w:val="000000" w:themeColor="text1"/>
                <w:szCs w:val="16"/>
              </w:rPr>
            </w:pPr>
            <w:r w:rsidRPr="00781112">
              <w:rPr>
                <w:rFonts w:cs="Arial"/>
                <w:color w:val="000000" w:themeColor="text1"/>
                <w:szCs w:val="16"/>
              </w:rPr>
              <w:t>76.60%</w:t>
            </w:r>
          </w:p>
        </w:tc>
        <w:tc>
          <w:tcPr>
            <w:tcW w:w="833" w:type="pct"/>
            <w:shd w:val="clear" w:color="auto" w:fill="auto"/>
            <w:vAlign w:val="center"/>
          </w:tcPr>
          <w:p w14:paraId="6982A73B" w14:textId="50B9EF02" w:rsidR="007F24E2" w:rsidRPr="00781112" w:rsidRDefault="002B7490" w:rsidP="00E0321D">
            <w:pPr>
              <w:jc w:val="center"/>
              <w:rPr>
                <w:rFonts w:cs="Arial"/>
                <w:color w:val="000000" w:themeColor="text1"/>
                <w:szCs w:val="16"/>
              </w:rPr>
            </w:pPr>
            <w:r w:rsidRPr="00781112">
              <w:rPr>
                <w:rFonts w:cs="Arial"/>
                <w:color w:val="000000" w:themeColor="text1"/>
                <w:szCs w:val="16"/>
              </w:rPr>
              <w:t>78.20%</w:t>
            </w:r>
          </w:p>
        </w:tc>
        <w:tc>
          <w:tcPr>
            <w:tcW w:w="833" w:type="pct"/>
            <w:shd w:val="clear" w:color="auto" w:fill="auto"/>
            <w:vAlign w:val="center"/>
          </w:tcPr>
          <w:p w14:paraId="54566D6E" w14:textId="0812F659" w:rsidR="007F24E2" w:rsidRPr="00781112" w:rsidRDefault="002B7490" w:rsidP="00E0321D">
            <w:pPr>
              <w:jc w:val="center"/>
              <w:rPr>
                <w:rFonts w:cs="Arial"/>
                <w:color w:val="000000" w:themeColor="text1"/>
                <w:szCs w:val="16"/>
              </w:rPr>
            </w:pPr>
            <w:r w:rsidRPr="00781112">
              <w:rPr>
                <w:rFonts w:cs="Arial"/>
                <w:color w:val="000000" w:themeColor="text1"/>
                <w:szCs w:val="16"/>
              </w:rPr>
              <w:t>79.27%</w:t>
            </w:r>
          </w:p>
        </w:tc>
        <w:tc>
          <w:tcPr>
            <w:tcW w:w="834" w:type="pct"/>
            <w:shd w:val="clear" w:color="auto" w:fill="auto"/>
            <w:vAlign w:val="center"/>
          </w:tcPr>
          <w:p w14:paraId="12B0FD7D" w14:textId="7E3C835D" w:rsidR="007F24E2" w:rsidRPr="00781112" w:rsidRDefault="002B7490" w:rsidP="00E0321D">
            <w:pPr>
              <w:jc w:val="center"/>
              <w:rPr>
                <w:rFonts w:cs="Arial"/>
                <w:color w:val="000000" w:themeColor="text1"/>
                <w:szCs w:val="16"/>
              </w:rPr>
            </w:pPr>
            <w:r w:rsidRPr="00781112">
              <w:rPr>
                <w:rFonts w:cs="Arial"/>
                <w:color w:val="000000" w:themeColor="text1"/>
                <w:szCs w:val="16"/>
              </w:rPr>
              <w:t>79.27%</w:t>
            </w:r>
          </w:p>
        </w:tc>
      </w:tr>
      <w:tr w:rsidR="005C29F8" w:rsidRPr="00781112" w14:paraId="146BC5C2" w14:textId="426AC9C6" w:rsidTr="0033429D">
        <w:trPr>
          <w:trHeight w:val="85"/>
        </w:trPr>
        <w:tc>
          <w:tcPr>
            <w:tcW w:w="833" w:type="pct"/>
            <w:shd w:val="clear" w:color="auto" w:fill="auto"/>
            <w:vAlign w:val="center"/>
          </w:tcPr>
          <w:p w14:paraId="2FA56C27" w14:textId="77777777" w:rsidR="007F24E2" w:rsidRPr="00781112" w:rsidRDefault="007F24E2" w:rsidP="00BA3DBE">
            <w:pPr>
              <w:jc w:val="center"/>
              <w:rPr>
                <w:rFonts w:cs="Arial"/>
                <w:color w:val="000000" w:themeColor="text1"/>
                <w:szCs w:val="16"/>
              </w:rPr>
            </w:pPr>
            <w:r w:rsidRPr="00781112">
              <w:rPr>
                <w:rFonts w:cs="Arial"/>
                <w:color w:val="000000" w:themeColor="text1"/>
                <w:szCs w:val="16"/>
              </w:rPr>
              <w:t>Data</w:t>
            </w:r>
          </w:p>
        </w:tc>
        <w:tc>
          <w:tcPr>
            <w:tcW w:w="833" w:type="pct"/>
            <w:shd w:val="clear" w:color="auto" w:fill="auto"/>
            <w:vAlign w:val="center"/>
          </w:tcPr>
          <w:p w14:paraId="7832DBB9" w14:textId="0E41C477" w:rsidR="007F24E2" w:rsidRPr="00781112" w:rsidRDefault="002B7490" w:rsidP="00E0321D">
            <w:pPr>
              <w:jc w:val="center"/>
              <w:rPr>
                <w:rFonts w:cs="Arial"/>
                <w:color w:val="000000" w:themeColor="text1"/>
                <w:szCs w:val="16"/>
              </w:rPr>
            </w:pPr>
            <w:r w:rsidRPr="00781112">
              <w:rPr>
                <w:rFonts w:cs="Arial"/>
                <w:color w:val="000000" w:themeColor="text1"/>
                <w:szCs w:val="16"/>
              </w:rPr>
              <w:t>75.43%</w:t>
            </w:r>
          </w:p>
        </w:tc>
        <w:tc>
          <w:tcPr>
            <w:tcW w:w="833" w:type="pct"/>
            <w:shd w:val="clear" w:color="auto" w:fill="auto"/>
            <w:vAlign w:val="center"/>
          </w:tcPr>
          <w:p w14:paraId="522433F4" w14:textId="15824FD9" w:rsidR="007F24E2" w:rsidRPr="00781112" w:rsidRDefault="002B7490" w:rsidP="00E0321D">
            <w:pPr>
              <w:jc w:val="center"/>
              <w:rPr>
                <w:rFonts w:cs="Arial"/>
                <w:color w:val="000000" w:themeColor="text1"/>
                <w:szCs w:val="16"/>
              </w:rPr>
            </w:pPr>
            <w:r w:rsidRPr="00781112">
              <w:rPr>
                <w:rFonts w:cs="Arial"/>
                <w:color w:val="000000" w:themeColor="text1"/>
                <w:szCs w:val="16"/>
              </w:rPr>
              <w:t>74.12%</w:t>
            </w:r>
          </w:p>
        </w:tc>
        <w:tc>
          <w:tcPr>
            <w:tcW w:w="833" w:type="pct"/>
            <w:tcBorders>
              <w:bottom w:val="single" w:sz="4" w:space="0" w:color="auto"/>
            </w:tcBorders>
            <w:shd w:val="clear" w:color="auto" w:fill="auto"/>
            <w:vAlign w:val="center"/>
          </w:tcPr>
          <w:p w14:paraId="51E9F945" w14:textId="1DED232A" w:rsidR="007F24E2" w:rsidRPr="00781112" w:rsidRDefault="002B7490" w:rsidP="00E0321D">
            <w:pPr>
              <w:jc w:val="center"/>
              <w:rPr>
                <w:rFonts w:cs="Arial"/>
                <w:color w:val="000000" w:themeColor="text1"/>
                <w:szCs w:val="16"/>
              </w:rPr>
            </w:pPr>
            <w:r w:rsidRPr="00781112">
              <w:rPr>
                <w:rFonts w:cs="Arial"/>
                <w:color w:val="000000" w:themeColor="text1"/>
                <w:szCs w:val="16"/>
              </w:rPr>
              <w:t>76.50%</w:t>
            </w:r>
          </w:p>
        </w:tc>
        <w:tc>
          <w:tcPr>
            <w:tcW w:w="833" w:type="pct"/>
            <w:tcBorders>
              <w:bottom w:val="single" w:sz="4" w:space="0" w:color="auto"/>
            </w:tcBorders>
            <w:shd w:val="clear" w:color="auto" w:fill="auto"/>
            <w:vAlign w:val="center"/>
          </w:tcPr>
          <w:p w14:paraId="180CBFE9" w14:textId="01D5E7B3" w:rsidR="007F24E2" w:rsidRPr="00781112" w:rsidRDefault="002B7490" w:rsidP="00E0321D">
            <w:pPr>
              <w:jc w:val="center"/>
              <w:rPr>
                <w:rFonts w:cs="Arial"/>
                <w:color w:val="000000" w:themeColor="text1"/>
                <w:szCs w:val="16"/>
              </w:rPr>
            </w:pPr>
            <w:r w:rsidRPr="00781112">
              <w:rPr>
                <w:rFonts w:cs="Arial"/>
                <w:color w:val="000000" w:themeColor="text1"/>
                <w:szCs w:val="16"/>
              </w:rPr>
              <w:t>79.27%</w:t>
            </w:r>
          </w:p>
        </w:tc>
        <w:tc>
          <w:tcPr>
            <w:tcW w:w="834" w:type="pct"/>
            <w:tcBorders>
              <w:bottom w:val="single" w:sz="4" w:space="0" w:color="auto"/>
            </w:tcBorders>
            <w:shd w:val="clear" w:color="auto" w:fill="auto"/>
            <w:vAlign w:val="center"/>
          </w:tcPr>
          <w:p w14:paraId="3C2AFA14" w14:textId="153E7CE5" w:rsidR="007F24E2" w:rsidRPr="00781112" w:rsidRDefault="002B7490" w:rsidP="00E0321D">
            <w:pPr>
              <w:jc w:val="center"/>
              <w:rPr>
                <w:rFonts w:cs="Arial"/>
                <w:color w:val="000000" w:themeColor="text1"/>
                <w:szCs w:val="16"/>
              </w:rPr>
            </w:pPr>
            <w:r w:rsidRPr="00781112">
              <w:rPr>
                <w:rFonts w:cs="Arial"/>
                <w:color w:val="000000" w:themeColor="text1"/>
                <w:szCs w:val="16"/>
              </w:rPr>
              <w:t>81.47%</w:t>
            </w:r>
          </w:p>
        </w:tc>
      </w:tr>
    </w:tbl>
    <w:p w14:paraId="43E7AA4B" w14:textId="77777777" w:rsidR="00654A4B" w:rsidRPr="00781112" w:rsidRDefault="00654A4B" w:rsidP="00B65C2C">
      <w:pPr>
        <w:rPr>
          <w:color w:val="000000" w:themeColor="text1"/>
        </w:rPr>
      </w:pPr>
    </w:p>
    <w:p w14:paraId="058E572E" w14:textId="747B93F2" w:rsidR="005E59DB" w:rsidRPr="00781112" w:rsidRDefault="005E59DB" w:rsidP="00B65C2C">
      <w:pPr>
        <w:rPr>
          <w:b/>
          <w:color w:val="000000" w:themeColor="text1"/>
        </w:rPr>
      </w:pPr>
      <w:r w:rsidRPr="00781112">
        <w:rPr>
          <w:b/>
          <w:color w:val="000000" w:themeColor="text1"/>
        </w:rPr>
        <w:t>Targets</w:t>
      </w:r>
    </w:p>
    <w:tbl>
      <w:tblPr>
        <w:tblW w:w="352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B01TARGETS"/>
      </w:tblPr>
      <w:tblGrid>
        <w:gridCol w:w="1157"/>
        <w:gridCol w:w="1611"/>
        <w:gridCol w:w="1611"/>
        <w:gridCol w:w="1611"/>
        <w:gridCol w:w="1610"/>
      </w:tblGrid>
      <w:tr w:rsidR="00BE7AF0" w:rsidRPr="00781112" w14:paraId="2AA1A231" w14:textId="4E09135F" w:rsidTr="001A31FD">
        <w:trPr>
          <w:trHeight w:val="366"/>
        </w:trPr>
        <w:tc>
          <w:tcPr>
            <w:tcW w:w="761" w:type="pct"/>
            <w:tcBorders>
              <w:bottom w:val="single" w:sz="4" w:space="0" w:color="auto"/>
            </w:tcBorders>
            <w:shd w:val="clear" w:color="auto" w:fill="auto"/>
          </w:tcPr>
          <w:p w14:paraId="40B33FED" w14:textId="77777777" w:rsidR="00BE7AF0" w:rsidRPr="00781112" w:rsidRDefault="00BE7AF0" w:rsidP="00373F78">
            <w:pPr>
              <w:jc w:val="center"/>
              <w:rPr>
                <w:b/>
                <w:color w:val="000000" w:themeColor="text1"/>
              </w:rPr>
            </w:pPr>
            <w:r w:rsidRPr="00781112">
              <w:rPr>
                <w:b/>
                <w:color w:val="000000" w:themeColor="text1"/>
              </w:rPr>
              <w:t>FFY</w:t>
            </w:r>
          </w:p>
        </w:tc>
        <w:tc>
          <w:tcPr>
            <w:tcW w:w="1060" w:type="pct"/>
            <w:shd w:val="clear" w:color="auto" w:fill="auto"/>
          </w:tcPr>
          <w:p w14:paraId="71086D9D" w14:textId="38ED494E" w:rsidR="00BE7AF0" w:rsidRPr="00781112" w:rsidRDefault="00BE7AF0" w:rsidP="00373F78">
            <w:pPr>
              <w:jc w:val="center"/>
              <w:rPr>
                <w:b/>
                <w:color w:val="000000" w:themeColor="text1"/>
              </w:rPr>
            </w:pPr>
            <w:r w:rsidRPr="00781112">
              <w:rPr>
                <w:b/>
                <w:color w:val="000000" w:themeColor="text1"/>
              </w:rPr>
              <w:t>2022</w:t>
            </w:r>
          </w:p>
        </w:tc>
        <w:tc>
          <w:tcPr>
            <w:tcW w:w="1060" w:type="pct"/>
          </w:tcPr>
          <w:p w14:paraId="4D39066B" w14:textId="301F6A49" w:rsidR="00BE7AF0" w:rsidRPr="00781112" w:rsidRDefault="00BE7AF0" w:rsidP="00373F78">
            <w:pPr>
              <w:jc w:val="center"/>
              <w:rPr>
                <w:b/>
                <w:color w:val="000000" w:themeColor="text1"/>
              </w:rPr>
            </w:pPr>
            <w:r w:rsidRPr="00781112">
              <w:rPr>
                <w:rFonts w:cs="Arial"/>
                <w:b/>
                <w:color w:val="000000" w:themeColor="text1"/>
                <w:szCs w:val="16"/>
              </w:rPr>
              <w:t>2023</w:t>
            </w:r>
          </w:p>
        </w:tc>
        <w:tc>
          <w:tcPr>
            <w:tcW w:w="1060" w:type="pct"/>
          </w:tcPr>
          <w:p w14:paraId="1FB807B9" w14:textId="403D43E4" w:rsidR="00BE7AF0" w:rsidRPr="00781112" w:rsidRDefault="00BE7AF0" w:rsidP="00373F78">
            <w:pPr>
              <w:jc w:val="center"/>
              <w:rPr>
                <w:b/>
                <w:color w:val="000000" w:themeColor="text1"/>
              </w:rPr>
            </w:pPr>
            <w:r w:rsidRPr="00781112">
              <w:rPr>
                <w:rFonts w:cs="Arial"/>
                <w:b/>
                <w:color w:val="000000" w:themeColor="text1"/>
                <w:szCs w:val="16"/>
              </w:rPr>
              <w:t>2024</w:t>
            </w:r>
          </w:p>
        </w:tc>
        <w:tc>
          <w:tcPr>
            <w:tcW w:w="1060" w:type="pct"/>
          </w:tcPr>
          <w:p w14:paraId="720CF74E" w14:textId="096265B6" w:rsidR="00BE7AF0" w:rsidRPr="00781112" w:rsidRDefault="00BE7AF0" w:rsidP="00373F78">
            <w:pPr>
              <w:jc w:val="center"/>
              <w:rPr>
                <w:b/>
                <w:color w:val="000000" w:themeColor="text1"/>
              </w:rPr>
            </w:pPr>
            <w:r w:rsidRPr="00781112">
              <w:rPr>
                <w:rFonts w:cs="Arial"/>
                <w:b/>
                <w:color w:val="000000" w:themeColor="text1"/>
                <w:szCs w:val="16"/>
              </w:rPr>
              <w:t>2025</w:t>
            </w:r>
          </w:p>
        </w:tc>
      </w:tr>
      <w:tr w:rsidR="00BE7AF0" w:rsidRPr="00781112" w14:paraId="30C65E4A" w14:textId="7AB118F2" w:rsidTr="001A31FD">
        <w:trPr>
          <w:trHeight w:val="374"/>
        </w:trPr>
        <w:tc>
          <w:tcPr>
            <w:tcW w:w="761" w:type="pct"/>
            <w:shd w:val="clear" w:color="auto" w:fill="auto"/>
            <w:vAlign w:val="center"/>
          </w:tcPr>
          <w:p w14:paraId="15D80559" w14:textId="5A8166E8" w:rsidR="00BE7AF0" w:rsidRPr="00781112" w:rsidRDefault="00BE7AF0" w:rsidP="00BA3DBE">
            <w:pPr>
              <w:jc w:val="center"/>
              <w:rPr>
                <w:rFonts w:cs="Arial"/>
                <w:color w:val="000000" w:themeColor="text1"/>
                <w:szCs w:val="16"/>
              </w:rPr>
            </w:pPr>
            <w:r w:rsidRPr="00781112">
              <w:rPr>
                <w:rFonts w:cs="Arial"/>
                <w:color w:val="000000" w:themeColor="text1"/>
                <w:szCs w:val="16"/>
              </w:rPr>
              <w:t>Target &gt;=</w:t>
            </w:r>
          </w:p>
        </w:tc>
        <w:tc>
          <w:tcPr>
            <w:tcW w:w="1060" w:type="pct"/>
            <w:shd w:val="clear" w:color="auto" w:fill="auto"/>
            <w:vAlign w:val="center"/>
          </w:tcPr>
          <w:p w14:paraId="5C1E2097" w14:textId="7100F4DF" w:rsidR="00BE7AF0" w:rsidRPr="00781112" w:rsidRDefault="00BE7AF0" w:rsidP="00373F78">
            <w:pPr>
              <w:jc w:val="center"/>
              <w:rPr>
                <w:rFonts w:cs="Arial"/>
                <w:color w:val="000000" w:themeColor="text1"/>
                <w:szCs w:val="16"/>
              </w:rPr>
            </w:pPr>
            <w:r w:rsidRPr="00781112">
              <w:rPr>
                <w:rFonts w:cs="Arial"/>
                <w:color w:val="000000" w:themeColor="text1"/>
                <w:szCs w:val="16"/>
              </w:rPr>
              <w:t>79.83%</w:t>
            </w:r>
          </w:p>
        </w:tc>
        <w:tc>
          <w:tcPr>
            <w:tcW w:w="1060" w:type="pct"/>
          </w:tcPr>
          <w:p w14:paraId="7717027B" w14:textId="1C4C1650" w:rsidR="00BE7AF0" w:rsidRPr="00781112" w:rsidRDefault="00BE7AF0" w:rsidP="00373F78">
            <w:pPr>
              <w:jc w:val="center"/>
              <w:rPr>
                <w:rFonts w:cs="Arial"/>
                <w:color w:val="000000" w:themeColor="text1"/>
                <w:szCs w:val="16"/>
              </w:rPr>
            </w:pPr>
            <w:r w:rsidRPr="00781112">
              <w:rPr>
                <w:color w:val="000000" w:themeColor="text1"/>
                <w:szCs w:val="16"/>
              </w:rPr>
              <w:t>81.09%</w:t>
            </w:r>
          </w:p>
        </w:tc>
        <w:tc>
          <w:tcPr>
            <w:tcW w:w="1060" w:type="pct"/>
          </w:tcPr>
          <w:p w14:paraId="48C73194" w14:textId="78C93C75" w:rsidR="00BE7AF0" w:rsidRPr="00781112" w:rsidRDefault="00BE7AF0" w:rsidP="00373F78">
            <w:pPr>
              <w:jc w:val="center"/>
              <w:rPr>
                <w:rFonts w:cs="Arial"/>
                <w:color w:val="000000" w:themeColor="text1"/>
                <w:szCs w:val="16"/>
              </w:rPr>
            </w:pPr>
            <w:r w:rsidRPr="00781112">
              <w:rPr>
                <w:color w:val="000000" w:themeColor="text1"/>
                <w:szCs w:val="16"/>
              </w:rPr>
              <w:t>82.35%</w:t>
            </w:r>
          </w:p>
        </w:tc>
        <w:tc>
          <w:tcPr>
            <w:tcW w:w="1060" w:type="pct"/>
          </w:tcPr>
          <w:p w14:paraId="1CC5CF36" w14:textId="47158C2B" w:rsidR="00BE7AF0" w:rsidRPr="00781112" w:rsidRDefault="00BE7AF0" w:rsidP="00373F78">
            <w:pPr>
              <w:jc w:val="center"/>
              <w:rPr>
                <w:rFonts w:cs="Arial"/>
                <w:color w:val="000000" w:themeColor="text1"/>
                <w:szCs w:val="16"/>
              </w:rPr>
            </w:pPr>
            <w:r w:rsidRPr="00781112">
              <w:rPr>
                <w:color w:val="000000" w:themeColor="text1"/>
                <w:szCs w:val="16"/>
              </w:rPr>
              <w:t>83.61%</w:t>
            </w:r>
          </w:p>
        </w:tc>
      </w:tr>
    </w:tbl>
    <w:p w14:paraId="346A80A2" w14:textId="77777777" w:rsidR="00654A4B" w:rsidRPr="00781112" w:rsidRDefault="00654A4B" w:rsidP="004369B2">
      <w:pPr>
        <w:rPr>
          <w:color w:val="000000" w:themeColor="text1"/>
        </w:rPr>
      </w:pPr>
    </w:p>
    <w:p w14:paraId="451C0051" w14:textId="1929A141" w:rsidR="005E59DB" w:rsidRPr="00781112" w:rsidRDefault="005E59DB">
      <w:pPr>
        <w:rPr>
          <w:b/>
          <w:color w:val="000000" w:themeColor="text1"/>
        </w:rPr>
      </w:pPr>
      <w:r w:rsidRPr="00781112">
        <w:rPr>
          <w:b/>
          <w:color w:val="000000" w:themeColor="text1"/>
        </w:rPr>
        <w:t xml:space="preserve">Targets: Description of Stakeholder Input </w:t>
      </w:r>
    </w:p>
    <w:p w14:paraId="6F475956" w14:textId="6AAE3895" w:rsidR="000C24C2" w:rsidRPr="00781112" w:rsidRDefault="002B7490" w:rsidP="001011BB">
      <w:pPr>
        <w:rPr>
          <w:rFonts w:cs="Arial"/>
          <w:color w:val="000000" w:themeColor="text1"/>
          <w:szCs w:val="16"/>
        </w:rPr>
      </w:pPr>
      <w:r w:rsidRPr="00781112">
        <w:rPr>
          <w:rFonts w:cs="Arial"/>
          <w:color w:val="000000" w:themeColor="text1"/>
          <w:szCs w:val="16"/>
        </w:rPr>
        <w:t>For FFY 2022, to engage parents around secondary transition topics that influence Indicators 1, 2, 13, and 14, CDE added four additional training modules to address the needs of families and district personnel. A total of ten modules have been developed. Each online training session was attended by 15-20 parents.</w:t>
      </w:r>
      <w:r w:rsidRPr="00781112">
        <w:rPr>
          <w:rFonts w:cs="Arial"/>
          <w:color w:val="000000" w:themeColor="text1"/>
          <w:szCs w:val="16"/>
        </w:rPr>
        <w:br/>
        <w:t>7. Analyze a Transition IEP</w:t>
      </w:r>
      <w:r w:rsidRPr="00781112">
        <w:rPr>
          <w:rFonts w:cs="Arial"/>
          <w:color w:val="000000" w:themeColor="text1"/>
          <w:szCs w:val="16"/>
        </w:rPr>
        <w:br/>
        <w:t>8. PSGs Career/College Planning</w:t>
      </w:r>
      <w:r w:rsidRPr="00781112">
        <w:rPr>
          <w:rFonts w:cs="Arial"/>
          <w:color w:val="000000" w:themeColor="text1"/>
          <w:szCs w:val="16"/>
        </w:rPr>
        <w:br/>
        <w:t>9. Planning and Preparing Parents to Manage Adult Services</w:t>
      </w:r>
      <w:r w:rsidRPr="00781112">
        <w:rPr>
          <w:rFonts w:cs="Arial"/>
          <w:color w:val="000000" w:themeColor="text1"/>
          <w:szCs w:val="16"/>
        </w:rPr>
        <w:br/>
        <w:t>10. Parent Panel</w:t>
      </w:r>
      <w:r w:rsidRPr="00781112">
        <w:rPr>
          <w:rFonts w:cs="Arial"/>
          <w:color w:val="000000" w:themeColor="text1"/>
          <w:szCs w:val="16"/>
        </w:rPr>
        <w:br/>
      </w:r>
      <w:r w:rsidRPr="00781112">
        <w:rPr>
          <w:rFonts w:cs="Arial"/>
          <w:color w:val="000000" w:themeColor="text1"/>
          <w:szCs w:val="16"/>
        </w:rPr>
        <w:br/>
        <w:t>All sessions were recorded, will be closed captioned, and added to the CDE website along with accessible resources for parents to add to their toolkit. Parents will be pulled together in the Spring for additional discussions to further explore current needs.</w:t>
      </w:r>
      <w:r w:rsidRPr="00781112">
        <w:rPr>
          <w:rFonts w:cs="Arial"/>
          <w:color w:val="000000" w:themeColor="text1"/>
          <w:szCs w:val="16"/>
        </w:rPr>
        <w:br/>
      </w:r>
      <w:r w:rsidRPr="00781112">
        <w:rPr>
          <w:rFonts w:cs="Arial"/>
          <w:color w:val="000000" w:themeColor="text1"/>
          <w:szCs w:val="16"/>
        </w:rPr>
        <w:br/>
        <w:t xml:space="preserve">For FFY 2021, to engage parents around secondary transition topics that influence Indicators 1, 2, 13, and 14, CDE conducted parent focus groups to determine parent training needs, develop trainings to address needs for families and school district personnel. </w:t>
      </w:r>
      <w:r w:rsidRPr="00781112">
        <w:rPr>
          <w:rFonts w:cs="Arial"/>
          <w:color w:val="000000" w:themeColor="text1"/>
          <w:szCs w:val="16"/>
        </w:rPr>
        <w:br/>
      </w:r>
      <w:r w:rsidRPr="00781112">
        <w:rPr>
          <w:rFonts w:cs="Arial"/>
          <w:color w:val="000000" w:themeColor="text1"/>
          <w:szCs w:val="16"/>
        </w:rPr>
        <w:br/>
        <w:t>Four parent focus groups were held to determine parent training needs: one specifically for Spanish-speaking families.</w:t>
      </w:r>
      <w:r w:rsidRPr="00781112">
        <w:rPr>
          <w:rFonts w:cs="Arial"/>
          <w:color w:val="000000" w:themeColor="text1"/>
          <w:szCs w:val="16"/>
        </w:rPr>
        <w:br/>
      </w:r>
      <w:r w:rsidRPr="00781112">
        <w:rPr>
          <w:rFonts w:cs="Arial"/>
          <w:color w:val="000000" w:themeColor="text1"/>
          <w:szCs w:val="16"/>
        </w:rPr>
        <w:br/>
        <w:t xml:space="preserve">A series of six training modules were developed and made available to parents. </w:t>
      </w:r>
      <w:r w:rsidRPr="00781112">
        <w:rPr>
          <w:rFonts w:cs="Arial"/>
          <w:color w:val="000000" w:themeColor="text1"/>
          <w:szCs w:val="16"/>
        </w:rPr>
        <w:br/>
        <w:t xml:space="preserve">Topics included: </w:t>
      </w:r>
      <w:r w:rsidRPr="00781112">
        <w:rPr>
          <w:rFonts w:cs="Arial"/>
          <w:color w:val="000000" w:themeColor="text1"/>
          <w:szCs w:val="16"/>
        </w:rPr>
        <w:br/>
        <w:t xml:space="preserve">1. What is transition planning? </w:t>
      </w:r>
      <w:r w:rsidRPr="00781112">
        <w:rPr>
          <w:rFonts w:cs="Arial"/>
          <w:color w:val="000000" w:themeColor="text1"/>
          <w:szCs w:val="16"/>
        </w:rPr>
        <w:br/>
        <w:t xml:space="preserve">2. Who helps students reach their goals? </w:t>
      </w:r>
      <w:r w:rsidRPr="00781112">
        <w:rPr>
          <w:rFonts w:cs="Arial"/>
          <w:color w:val="000000" w:themeColor="text1"/>
          <w:szCs w:val="16"/>
        </w:rPr>
        <w:br/>
        <w:t xml:space="preserve">3. What are 18-21 services? </w:t>
      </w:r>
      <w:r w:rsidRPr="00781112">
        <w:rPr>
          <w:rFonts w:cs="Arial"/>
          <w:color w:val="000000" w:themeColor="text1"/>
          <w:szCs w:val="16"/>
        </w:rPr>
        <w:br/>
        <w:t xml:space="preserve">4. Education </w:t>
      </w:r>
      <w:r w:rsidRPr="00781112">
        <w:rPr>
          <w:rFonts w:cs="Arial"/>
          <w:color w:val="000000" w:themeColor="text1"/>
          <w:szCs w:val="16"/>
        </w:rPr>
        <w:br/>
        <w:t xml:space="preserve">5. Employment </w:t>
      </w:r>
      <w:r w:rsidRPr="00781112">
        <w:rPr>
          <w:rFonts w:cs="Arial"/>
          <w:color w:val="000000" w:themeColor="text1"/>
          <w:szCs w:val="16"/>
        </w:rPr>
        <w:br/>
        <w:t xml:space="preserve">6. Success Stories </w:t>
      </w:r>
      <w:r w:rsidRPr="00781112">
        <w:rPr>
          <w:rFonts w:cs="Arial"/>
          <w:color w:val="000000" w:themeColor="text1"/>
          <w:szCs w:val="16"/>
        </w:rPr>
        <w:br/>
      </w:r>
      <w:r w:rsidRPr="00781112">
        <w:rPr>
          <w:rFonts w:cs="Arial"/>
          <w:color w:val="000000" w:themeColor="text1"/>
          <w:szCs w:val="16"/>
        </w:rPr>
        <w:br/>
        <w:t>For FFY 2020, the following mechanisms were used to gather broad stakeholder input:</w:t>
      </w:r>
      <w:r w:rsidRPr="00781112">
        <w:rPr>
          <w:rFonts w:cs="Arial"/>
          <w:color w:val="000000" w:themeColor="text1"/>
          <w:szCs w:val="16"/>
        </w:rPr>
        <w:br/>
      </w:r>
      <w:r w:rsidRPr="00781112">
        <w:rPr>
          <w:rFonts w:cs="Arial"/>
          <w:color w:val="000000" w:themeColor="text1"/>
          <w:szCs w:val="16"/>
        </w:rPr>
        <w:lastRenderedPageBreak/>
        <w:br/>
        <w:t>Identified CDE internal stakeholders and content experts for each indicator:</w:t>
      </w:r>
      <w:r w:rsidRPr="00781112">
        <w:rPr>
          <w:rFonts w:cs="Arial"/>
          <w:color w:val="000000" w:themeColor="text1"/>
          <w:szCs w:val="16"/>
        </w:rPr>
        <w:br/>
        <w:t>1. Scheduled meetings for each CDE internal stakeholder indicator team.</w:t>
      </w:r>
      <w:r w:rsidRPr="00781112">
        <w:rPr>
          <w:rFonts w:cs="Arial"/>
          <w:color w:val="000000" w:themeColor="text1"/>
          <w:szCs w:val="16"/>
        </w:rPr>
        <w:br/>
        <w:t>2. Met with each CDE stakeholder team, explain rules and parameters, Colorado history of indicator, past and current improvement strategies, facilitate discussion, and solicit feedback and develop options for each of the SPP/APR targets.</w:t>
      </w:r>
      <w:r w:rsidRPr="00781112">
        <w:rPr>
          <w:rFonts w:cs="Arial"/>
          <w:color w:val="000000" w:themeColor="text1"/>
          <w:szCs w:val="16"/>
        </w:rPr>
        <w:br/>
        <w:t>3. Met with each CDE stakeholder team to facilitate discussion and come to consensus on targets and improvement strategies to present to the external stakeholder groups.</w:t>
      </w:r>
      <w:r w:rsidRPr="00781112">
        <w:rPr>
          <w:rFonts w:cs="Arial"/>
          <w:color w:val="000000" w:themeColor="text1"/>
          <w:szCs w:val="16"/>
        </w:rPr>
        <w:br/>
        <w:t xml:space="preserve">4. Requested and collected improvement strategies for each indicator from each CDE internal stakeholder team. </w:t>
      </w:r>
      <w:r w:rsidRPr="00781112">
        <w:rPr>
          <w:rFonts w:cs="Arial"/>
          <w:color w:val="000000" w:themeColor="text1"/>
          <w:szCs w:val="16"/>
        </w:rPr>
        <w:br/>
      </w:r>
      <w:r w:rsidRPr="00781112">
        <w:rPr>
          <w:rFonts w:cs="Arial"/>
          <w:color w:val="000000" w:themeColor="text1"/>
          <w:szCs w:val="16"/>
        </w:rPr>
        <w:br/>
        <w:t>Built a survey to collect evidence and information from external stakeholder groups and the public to gain feedback on current SPP/APR indicators to collect the following data:</w:t>
      </w:r>
      <w:r w:rsidRPr="00781112">
        <w:rPr>
          <w:rFonts w:cs="Arial"/>
          <w:color w:val="000000" w:themeColor="text1"/>
          <w:szCs w:val="16"/>
        </w:rPr>
        <w:br/>
        <w:t xml:space="preserve">1. Are targets too high, too low, </w:t>
      </w:r>
      <w:proofErr w:type="gramStart"/>
      <w:r w:rsidRPr="00781112">
        <w:rPr>
          <w:rFonts w:cs="Arial"/>
          <w:color w:val="000000" w:themeColor="text1"/>
          <w:szCs w:val="16"/>
        </w:rPr>
        <w:t>just</w:t>
      </w:r>
      <w:proofErr w:type="gramEnd"/>
      <w:r w:rsidRPr="00781112">
        <w:rPr>
          <w:rFonts w:cs="Arial"/>
          <w:color w:val="000000" w:themeColor="text1"/>
          <w:szCs w:val="16"/>
        </w:rPr>
        <w:t xml:space="preserve"> right?</w:t>
      </w:r>
      <w:r w:rsidRPr="00781112">
        <w:rPr>
          <w:rFonts w:cs="Arial"/>
          <w:color w:val="000000" w:themeColor="text1"/>
          <w:szCs w:val="16"/>
        </w:rPr>
        <w:br/>
        <w:t>2. If the proposed improvement strategies are reasonably calculated to help Colorado reach the proposed targets?</w:t>
      </w:r>
      <w:r w:rsidRPr="00781112">
        <w:rPr>
          <w:rFonts w:cs="Arial"/>
          <w:color w:val="000000" w:themeColor="text1"/>
          <w:szCs w:val="16"/>
        </w:rPr>
        <w:br/>
        <w:t>3. Is the proposed choice of demographic category to be analyzed for representation an appropriate selection?</w:t>
      </w:r>
      <w:r w:rsidRPr="00781112">
        <w:rPr>
          <w:rFonts w:cs="Arial"/>
          <w:color w:val="000000" w:themeColor="text1"/>
          <w:szCs w:val="16"/>
        </w:rPr>
        <w:br/>
      </w:r>
      <w:r w:rsidRPr="00781112">
        <w:rPr>
          <w:rFonts w:cs="Arial"/>
          <w:color w:val="000000" w:themeColor="text1"/>
          <w:szCs w:val="16"/>
        </w:rPr>
        <w:br/>
        <w:t>Built a web page to include:</w:t>
      </w:r>
      <w:r w:rsidRPr="00781112">
        <w:rPr>
          <w:rFonts w:cs="Arial"/>
          <w:color w:val="000000" w:themeColor="text1"/>
          <w:szCs w:val="16"/>
        </w:rPr>
        <w:br/>
        <w:t>1. basic information regarding the SPP/APR and the 6-year target resetting process.</w:t>
      </w:r>
      <w:r w:rsidRPr="00781112">
        <w:rPr>
          <w:rFonts w:cs="Arial"/>
          <w:color w:val="000000" w:themeColor="text1"/>
          <w:szCs w:val="16"/>
        </w:rPr>
        <w:br/>
        <w:t>2. asyncronys access to a series of webinars explaining each of the SPP/APR indicators, proposed targets, and improvement strategies.</w:t>
      </w:r>
      <w:r w:rsidRPr="00781112">
        <w:rPr>
          <w:rFonts w:cs="Arial"/>
          <w:color w:val="000000" w:themeColor="text1"/>
          <w:szCs w:val="16"/>
        </w:rPr>
        <w:br/>
        <w:t>3. a link to an indicator survey to gather information from the public during the comment period. This survey was designed to solicit the following information: (a) Are the proposed targets too high, too low, or appropriate? (b) Are the proposed improvement strategies reasonably calculated to help Colorado reach the proposed targets? (c) Is the proposed demographic group to be analyzed for representation an appropriate selection?</w:t>
      </w:r>
      <w:r w:rsidRPr="00781112">
        <w:rPr>
          <w:rFonts w:cs="Arial"/>
          <w:color w:val="000000" w:themeColor="text1"/>
          <w:szCs w:val="16"/>
        </w:rPr>
        <w:br/>
      </w:r>
      <w:r w:rsidRPr="00781112">
        <w:rPr>
          <w:rFonts w:cs="Arial"/>
          <w:color w:val="000000" w:themeColor="text1"/>
          <w:szCs w:val="16"/>
        </w:rPr>
        <w:br/>
        <w:t>Presented and requested input on agreed on targets and improvement strategies to the following indicator specific advisory councils: Preschool School Special Education Advisory Committee (PSSEAC), and the Secondary Transition Task Force Advisory Committee. Review and incorporate feedback into the final draft of the new targets and share proposed version with ESSU Executive Director for approval.</w:t>
      </w:r>
      <w:r w:rsidRPr="00781112">
        <w:rPr>
          <w:rFonts w:cs="Arial"/>
          <w:color w:val="000000" w:themeColor="text1"/>
          <w:szCs w:val="16"/>
        </w:rPr>
        <w:br/>
        <w:t>Presented proposed targets and gathered additional feedback to the following State advisory groups and advocacy groups: Colorado Special Education Advisory Committee (CSEAC) and Parent Partnerships for Equity Advisory Committee, The Arc of Colorado, PEAK Parent Center, and Disability Law Colorado.</w:t>
      </w:r>
      <w:r w:rsidRPr="00781112">
        <w:rPr>
          <w:rFonts w:cs="Arial"/>
          <w:color w:val="000000" w:themeColor="text1"/>
          <w:szCs w:val="16"/>
        </w:rPr>
        <w:br/>
        <w:t>Presented proposed targets for all indicators to Colorado LEA Special Education Directors.</w:t>
      </w:r>
      <w:r w:rsidRPr="00781112">
        <w:rPr>
          <w:rFonts w:cs="Arial"/>
          <w:color w:val="000000" w:themeColor="text1"/>
          <w:szCs w:val="16"/>
        </w:rPr>
        <w:br/>
        <w:t>Held a 2-month public comment period to solicit public comments through a broad CDE-wide communication plan made up of a dedicated webpage with short videos and surveys for each indicator, CDE Facebook page, CDE Twitter Account, a CDE webpage news story, CDE’s Weekly Newsletter, and notifications to our parent advocacy agencies.</w:t>
      </w:r>
      <w:r w:rsidRPr="00781112">
        <w:rPr>
          <w:rFonts w:cs="Arial"/>
          <w:color w:val="000000" w:themeColor="text1"/>
          <w:szCs w:val="16"/>
        </w:rPr>
        <w:br/>
        <w:t xml:space="preserve"> </w:t>
      </w:r>
      <w:r w:rsidRPr="00781112">
        <w:rPr>
          <w:rFonts w:cs="Arial"/>
          <w:color w:val="000000" w:themeColor="text1"/>
          <w:szCs w:val="16"/>
        </w:rPr>
        <w:br/>
        <w:t>Reviewed and considered public comments received through the indicator survey mechanism, finalize all targets with ESSU Executive Director, and published targets on CDE webpage.</w:t>
      </w:r>
    </w:p>
    <w:p w14:paraId="4026D322" w14:textId="77777777" w:rsidR="00654A4B" w:rsidRPr="00781112" w:rsidRDefault="00654A4B" w:rsidP="00B65C2C">
      <w:pPr>
        <w:rPr>
          <w:color w:val="000000" w:themeColor="text1"/>
        </w:rPr>
      </w:pPr>
    </w:p>
    <w:p w14:paraId="5BFE0C1F" w14:textId="74D590F4" w:rsidR="00995737" w:rsidRPr="00781112" w:rsidRDefault="00995737" w:rsidP="00B65C2C">
      <w:pPr>
        <w:rPr>
          <w:b/>
          <w:bCs/>
          <w:color w:val="000000" w:themeColor="text1"/>
        </w:rPr>
      </w:pPr>
      <w:r w:rsidRPr="00781112">
        <w:rPr>
          <w:b/>
          <w:bCs/>
          <w:color w:val="000000" w:themeColor="text1"/>
        </w:rPr>
        <w:t>Prepopulated Data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B01PREPOPDATA"/>
      </w:tblPr>
      <w:tblGrid>
        <w:gridCol w:w="2909"/>
        <w:gridCol w:w="2130"/>
        <w:gridCol w:w="3507"/>
        <w:gridCol w:w="2244"/>
      </w:tblGrid>
      <w:tr w:rsidR="005C29F8" w:rsidRPr="00781112" w14:paraId="30F51C80" w14:textId="4B2A2ADB" w:rsidTr="00044B5C">
        <w:trPr>
          <w:trHeight w:val="372"/>
          <w:tblHeader/>
        </w:trPr>
        <w:tc>
          <w:tcPr>
            <w:tcW w:w="1348" w:type="pct"/>
            <w:shd w:val="clear" w:color="auto" w:fill="auto"/>
          </w:tcPr>
          <w:p w14:paraId="323D50E8" w14:textId="6779F814" w:rsidR="00866B4D" w:rsidRPr="00781112" w:rsidRDefault="00866B4D" w:rsidP="000B4AA4">
            <w:pPr>
              <w:spacing w:after="0"/>
              <w:jc w:val="center"/>
              <w:rPr>
                <w:rFonts w:cs="Arial"/>
                <w:b/>
                <w:color w:val="000000" w:themeColor="text1"/>
                <w:szCs w:val="16"/>
              </w:rPr>
            </w:pPr>
            <w:r w:rsidRPr="00781112">
              <w:rPr>
                <w:rFonts w:cs="Arial"/>
                <w:b/>
                <w:color w:val="000000" w:themeColor="text1"/>
                <w:szCs w:val="16"/>
              </w:rPr>
              <w:t>Source</w:t>
            </w:r>
          </w:p>
        </w:tc>
        <w:tc>
          <w:tcPr>
            <w:tcW w:w="987" w:type="pct"/>
            <w:shd w:val="clear" w:color="auto" w:fill="auto"/>
          </w:tcPr>
          <w:p w14:paraId="01C2B5F0" w14:textId="1D5140A6" w:rsidR="00866B4D" w:rsidRPr="00781112" w:rsidRDefault="00866B4D" w:rsidP="000B4AA4">
            <w:pPr>
              <w:spacing w:after="0"/>
              <w:jc w:val="center"/>
              <w:rPr>
                <w:rFonts w:cs="Arial"/>
                <w:b/>
                <w:color w:val="000000" w:themeColor="text1"/>
                <w:szCs w:val="16"/>
              </w:rPr>
            </w:pPr>
            <w:r w:rsidRPr="00781112">
              <w:rPr>
                <w:rFonts w:cs="Arial"/>
                <w:b/>
                <w:color w:val="000000" w:themeColor="text1"/>
                <w:szCs w:val="16"/>
              </w:rPr>
              <w:t>Date</w:t>
            </w:r>
          </w:p>
        </w:tc>
        <w:tc>
          <w:tcPr>
            <w:tcW w:w="1625" w:type="pct"/>
            <w:shd w:val="clear" w:color="auto" w:fill="auto"/>
          </w:tcPr>
          <w:p w14:paraId="1FC5546A" w14:textId="059B9945" w:rsidR="00866B4D" w:rsidRPr="00781112" w:rsidRDefault="00866B4D" w:rsidP="000B4AA4">
            <w:pPr>
              <w:spacing w:after="0"/>
              <w:jc w:val="center"/>
              <w:rPr>
                <w:rFonts w:cs="Arial"/>
                <w:b/>
                <w:color w:val="000000" w:themeColor="text1"/>
                <w:szCs w:val="16"/>
              </w:rPr>
            </w:pPr>
            <w:r w:rsidRPr="00781112">
              <w:rPr>
                <w:rFonts w:cs="Arial"/>
                <w:b/>
                <w:color w:val="000000" w:themeColor="text1"/>
                <w:szCs w:val="16"/>
              </w:rPr>
              <w:t>Description</w:t>
            </w:r>
          </w:p>
        </w:tc>
        <w:tc>
          <w:tcPr>
            <w:tcW w:w="1040" w:type="pct"/>
            <w:shd w:val="clear" w:color="auto" w:fill="auto"/>
          </w:tcPr>
          <w:p w14:paraId="189AD2F4" w14:textId="2C14B569" w:rsidR="00866B4D" w:rsidRPr="00781112" w:rsidRDefault="00866B4D" w:rsidP="000B4AA4">
            <w:pPr>
              <w:spacing w:after="0"/>
              <w:jc w:val="center"/>
              <w:rPr>
                <w:rFonts w:cs="Arial"/>
                <w:b/>
                <w:color w:val="000000" w:themeColor="text1"/>
                <w:szCs w:val="16"/>
              </w:rPr>
            </w:pPr>
            <w:r w:rsidRPr="00781112">
              <w:rPr>
                <w:rFonts w:cs="Arial"/>
                <w:b/>
                <w:color w:val="000000" w:themeColor="text1"/>
                <w:szCs w:val="16"/>
              </w:rPr>
              <w:t>Data</w:t>
            </w:r>
          </w:p>
        </w:tc>
      </w:tr>
      <w:tr w:rsidR="005A75AD" w:rsidRPr="00781112" w14:paraId="30B629CE" w14:textId="3D9C8EF1" w:rsidTr="00044B5C">
        <w:trPr>
          <w:trHeight w:val="380"/>
        </w:trPr>
        <w:tc>
          <w:tcPr>
            <w:tcW w:w="1348" w:type="pct"/>
            <w:shd w:val="clear" w:color="auto" w:fill="auto"/>
          </w:tcPr>
          <w:p w14:paraId="73323AED" w14:textId="61550716" w:rsidR="005A75AD" w:rsidRPr="00781112" w:rsidRDefault="005A75AD" w:rsidP="005A75AD">
            <w:pPr>
              <w:jc w:val="center"/>
              <w:rPr>
                <w:rFonts w:cs="Arial"/>
                <w:color w:val="000000" w:themeColor="text1"/>
                <w:szCs w:val="16"/>
              </w:rPr>
            </w:pPr>
            <w:r w:rsidRPr="00781112">
              <w:rPr>
                <w:rFonts w:cs="Arial"/>
                <w:color w:val="000000" w:themeColor="text1"/>
                <w:szCs w:val="16"/>
              </w:rPr>
              <w:t>SY 2021-22 Exiting Data Groups (EDFacts file spec FS009; Data Group 85)</w:t>
            </w:r>
          </w:p>
        </w:tc>
        <w:tc>
          <w:tcPr>
            <w:tcW w:w="987" w:type="pct"/>
            <w:shd w:val="clear" w:color="auto" w:fill="auto"/>
          </w:tcPr>
          <w:p w14:paraId="5E976CB4" w14:textId="15FDC9EF" w:rsidR="005A75AD" w:rsidRPr="00781112" w:rsidRDefault="005A75AD" w:rsidP="005A75AD">
            <w:pPr>
              <w:jc w:val="center"/>
              <w:rPr>
                <w:rFonts w:cs="Arial"/>
                <w:color w:val="000000" w:themeColor="text1"/>
                <w:szCs w:val="16"/>
              </w:rPr>
            </w:pPr>
            <w:r w:rsidRPr="00781112">
              <w:rPr>
                <w:rFonts w:cs="Arial"/>
                <w:color w:val="000000" w:themeColor="text1"/>
                <w:szCs w:val="16"/>
              </w:rPr>
              <w:t>05/24/2023</w:t>
            </w:r>
          </w:p>
        </w:tc>
        <w:tc>
          <w:tcPr>
            <w:tcW w:w="1625" w:type="pct"/>
            <w:shd w:val="clear" w:color="auto" w:fill="auto"/>
          </w:tcPr>
          <w:p w14:paraId="01C211E9" w14:textId="4BA1367C" w:rsidR="005A75AD" w:rsidRPr="00781112" w:rsidRDefault="005A75AD" w:rsidP="005A75AD">
            <w:pPr>
              <w:rPr>
                <w:rFonts w:cs="Arial"/>
                <w:color w:val="000000" w:themeColor="text1"/>
                <w:szCs w:val="16"/>
              </w:rPr>
            </w:pPr>
            <w:r w:rsidRPr="00781112">
              <w:rPr>
                <w:rFonts w:cs="Arial"/>
                <w:szCs w:val="16"/>
              </w:rPr>
              <w:t xml:space="preserve">Number of </w:t>
            </w:r>
            <w:proofErr w:type="gramStart"/>
            <w:r w:rsidRPr="00781112">
              <w:rPr>
                <w:rFonts w:cs="Arial"/>
                <w:szCs w:val="16"/>
              </w:rPr>
              <w:t>youth</w:t>
            </w:r>
            <w:proofErr w:type="gramEnd"/>
            <w:r w:rsidRPr="00781112">
              <w:rPr>
                <w:rFonts w:cs="Arial"/>
                <w:szCs w:val="16"/>
              </w:rPr>
              <w:t xml:space="preserve"> with IEPs (ages 14-21) who exited special education by graduating with a regular high school diploma (a)</w:t>
            </w:r>
          </w:p>
        </w:tc>
        <w:tc>
          <w:tcPr>
            <w:tcW w:w="1040" w:type="pct"/>
            <w:shd w:val="clear" w:color="auto" w:fill="auto"/>
          </w:tcPr>
          <w:p w14:paraId="18434B19" w14:textId="3271491A" w:rsidR="005A75AD" w:rsidRPr="00781112" w:rsidRDefault="005A75AD" w:rsidP="005A75AD">
            <w:pPr>
              <w:jc w:val="center"/>
              <w:rPr>
                <w:rFonts w:cs="Arial"/>
                <w:color w:val="000000" w:themeColor="text1"/>
                <w:szCs w:val="16"/>
              </w:rPr>
            </w:pPr>
            <w:r w:rsidRPr="00781112">
              <w:rPr>
                <w:rFonts w:cs="Arial"/>
                <w:color w:val="000000" w:themeColor="text1"/>
                <w:szCs w:val="16"/>
              </w:rPr>
              <w:t>5,010</w:t>
            </w:r>
          </w:p>
        </w:tc>
      </w:tr>
      <w:tr w:rsidR="005A75AD" w:rsidRPr="00781112" w14:paraId="2E9BAC4B" w14:textId="77777777" w:rsidTr="00044B5C">
        <w:trPr>
          <w:trHeight w:val="380"/>
        </w:trPr>
        <w:tc>
          <w:tcPr>
            <w:tcW w:w="1348" w:type="pct"/>
            <w:shd w:val="clear" w:color="auto" w:fill="auto"/>
          </w:tcPr>
          <w:p w14:paraId="019DE2CA" w14:textId="1C16E7CC" w:rsidR="005A75AD" w:rsidRPr="00781112" w:rsidRDefault="005A75AD" w:rsidP="005A75AD">
            <w:pPr>
              <w:jc w:val="center"/>
              <w:rPr>
                <w:rFonts w:cs="Arial"/>
                <w:color w:val="000000" w:themeColor="text1"/>
                <w:szCs w:val="16"/>
              </w:rPr>
            </w:pPr>
            <w:r w:rsidRPr="00781112">
              <w:rPr>
                <w:rFonts w:cs="Arial"/>
                <w:color w:val="000000" w:themeColor="text1"/>
                <w:szCs w:val="16"/>
              </w:rPr>
              <w:t>SY 2021-22 Exiting Data Groups (EDFacts file spec FS009; Data Group 85)</w:t>
            </w:r>
          </w:p>
        </w:tc>
        <w:tc>
          <w:tcPr>
            <w:tcW w:w="987" w:type="pct"/>
            <w:shd w:val="clear" w:color="auto" w:fill="auto"/>
          </w:tcPr>
          <w:p w14:paraId="21121509" w14:textId="35C72B6A" w:rsidR="005A75AD" w:rsidRPr="00781112" w:rsidRDefault="005A75AD" w:rsidP="005A75AD">
            <w:pPr>
              <w:jc w:val="center"/>
              <w:rPr>
                <w:rFonts w:cs="Arial"/>
                <w:color w:val="000000" w:themeColor="text1"/>
                <w:szCs w:val="16"/>
              </w:rPr>
            </w:pPr>
            <w:r w:rsidRPr="00781112">
              <w:rPr>
                <w:rFonts w:cs="Arial"/>
                <w:color w:val="000000" w:themeColor="text1"/>
                <w:szCs w:val="16"/>
              </w:rPr>
              <w:t>05/24/2023</w:t>
            </w:r>
          </w:p>
        </w:tc>
        <w:tc>
          <w:tcPr>
            <w:tcW w:w="1625" w:type="pct"/>
            <w:shd w:val="clear" w:color="auto" w:fill="auto"/>
          </w:tcPr>
          <w:p w14:paraId="4DBDAFD8" w14:textId="70B6722B" w:rsidR="005A75AD" w:rsidRPr="00781112" w:rsidRDefault="005A75AD" w:rsidP="005A75AD">
            <w:pPr>
              <w:rPr>
                <w:rFonts w:cs="Arial"/>
                <w:color w:val="000000" w:themeColor="text1"/>
                <w:szCs w:val="16"/>
              </w:rPr>
            </w:pPr>
            <w:r w:rsidRPr="00781112">
              <w:rPr>
                <w:rFonts w:cs="Arial"/>
                <w:szCs w:val="16"/>
              </w:rPr>
              <w:t xml:space="preserve">Number of </w:t>
            </w:r>
            <w:proofErr w:type="gramStart"/>
            <w:r w:rsidRPr="00781112">
              <w:rPr>
                <w:rFonts w:cs="Arial"/>
                <w:szCs w:val="16"/>
              </w:rPr>
              <w:t>youth</w:t>
            </w:r>
            <w:proofErr w:type="gramEnd"/>
            <w:r w:rsidRPr="00781112">
              <w:rPr>
                <w:rFonts w:cs="Arial"/>
                <w:szCs w:val="16"/>
              </w:rPr>
              <w:t xml:space="preserve"> with IEPs (ages 14-21) who exited special education by graduating with a state-defined alternate diploma (b)</w:t>
            </w:r>
          </w:p>
        </w:tc>
        <w:tc>
          <w:tcPr>
            <w:tcW w:w="1040" w:type="pct"/>
            <w:shd w:val="clear" w:color="auto" w:fill="auto"/>
          </w:tcPr>
          <w:p w14:paraId="010FD1F1" w14:textId="7C43793B" w:rsidR="005A75AD" w:rsidRPr="00781112" w:rsidRDefault="005A75AD" w:rsidP="005A75AD">
            <w:pPr>
              <w:jc w:val="center"/>
              <w:rPr>
                <w:rFonts w:cs="Arial"/>
                <w:color w:val="000000" w:themeColor="text1"/>
                <w:szCs w:val="16"/>
              </w:rPr>
            </w:pPr>
          </w:p>
        </w:tc>
      </w:tr>
      <w:tr w:rsidR="005A75AD" w:rsidRPr="00781112" w14:paraId="032776B0" w14:textId="77777777" w:rsidTr="00044B5C">
        <w:trPr>
          <w:trHeight w:val="380"/>
        </w:trPr>
        <w:tc>
          <w:tcPr>
            <w:tcW w:w="1348" w:type="pct"/>
            <w:shd w:val="clear" w:color="auto" w:fill="auto"/>
          </w:tcPr>
          <w:p w14:paraId="5813DAD1" w14:textId="06D60F55" w:rsidR="005A75AD" w:rsidRPr="00781112" w:rsidRDefault="005A75AD" w:rsidP="005A75AD">
            <w:pPr>
              <w:jc w:val="center"/>
              <w:rPr>
                <w:rFonts w:cs="Arial"/>
                <w:color w:val="000000" w:themeColor="text1"/>
                <w:szCs w:val="16"/>
              </w:rPr>
            </w:pPr>
            <w:r w:rsidRPr="00781112">
              <w:rPr>
                <w:rFonts w:cs="Arial"/>
                <w:color w:val="000000" w:themeColor="text1"/>
                <w:szCs w:val="16"/>
              </w:rPr>
              <w:t>SY 2021-22 Exiting Data Groups (EDFacts file spec FS009; Data Group 85)</w:t>
            </w:r>
          </w:p>
        </w:tc>
        <w:tc>
          <w:tcPr>
            <w:tcW w:w="987" w:type="pct"/>
            <w:shd w:val="clear" w:color="auto" w:fill="auto"/>
          </w:tcPr>
          <w:p w14:paraId="0CBE5647" w14:textId="5D16DC3C" w:rsidR="005A75AD" w:rsidRPr="00781112" w:rsidRDefault="005A75AD" w:rsidP="005A75AD">
            <w:pPr>
              <w:jc w:val="center"/>
              <w:rPr>
                <w:rFonts w:cs="Arial"/>
                <w:color w:val="000000" w:themeColor="text1"/>
                <w:szCs w:val="16"/>
              </w:rPr>
            </w:pPr>
            <w:r w:rsidRPr="00781112">
              <w:rPr>
                <w:rFonts w:cs="Arial"/>
                <w:color w:val="000000" w:themeColor="text1"/>
                <w:szCs w:val="16"/>
              </w:rPr>
              <w:t>05/24/2023</w:t>
            </w:r>
          </w:p>
        </w:tc>
        <w:tc>
          <w:tcPr>
            <w:tcW w:w="1625" w:type="pct"/>
            <w:shd w:val="clear" w:color="auto" w:fill="auto"/>
          </w:tcPr>
          <w:p w14:paraId="7D0086CE" w14:textId="510BD804" w:rsidR="005A75AD" w:rsidRPr="00781112" w:rsidRDefault="005A75AD" w:rsidP="005A75AD">
            <w:pPr>
              <w:rPr>
                <w:rFonts w:cs="Arial"/>
                <w:color w:val="000000" w:themeColor="text1"/>
                <w:szCs w:val="16"/>
              </w:rPr>
            </w:pPr>
            <w:r w:rsidRPr="00781112">
              <w:rPr>
                <w:rFonts w:cs="Arial"/>
                <w:szCs w:val="16"/>
              </w:rPr>
              <w:t xml:space="preserve">Number of </w:t>
            </w:r>
            <w:proofErr w:type="gramStart"/>
            <w:r w:rsidRPr="00781112">
              <w:rPr>
                <w:rFonts w:cs="Arial"/>
                <w:szCs w:val="16"/>
              </w:rPr>
              <w:t>youth</w:t>
            </w:r>
            <w:proofErr w:type="gramEnd"/>
            <w:r w:rsidRPr="00781112">
              <w:rPr>
                <w:rFonts w:cs="Arial"/>
                <w:szCs w:val="16"/>
              </w:rPr>
              <w:t xml:space="preserve"> with IEPs (ages 14-21) who exited special education by receiving a certificate (c)</w:t>
            </w:r>
          </w:p>
        </w:tc>
        <w:tc>
          <w:tcPr>
            <w:tcW w:w="1040" w:type="pct"/>
            <w:shd w:val="clear" w:color="auto" w:fill="auto"/>
          </w:tcPr>
          <w:p w14:paraId="184082B3" w14:textId="438EC66B" w:rsidR="005A75AD" w:rsidRPr="00781112" w:rsidRDefault="005A75AD" w:rsidP="005A75AD">
            <w:pPr>
              <w:jc w:val="center"/>
              <w:rPr>
                <w:rFonts w:cs="Arial"/>
                <w:color w:val="000000" w:themeColor="text1"/>
                <w:szCs w:val="16"/>
              </w:rPr>
            </w:pPr>
            <w:r w:rsidRPr="00781112">
              <w:rPr>
                <w:rFonts w:cs="Arial"/>
                <w:color w:val="000000" w:themeColor="text1"/>
                <w:szCs w:val="16"/>
              </w:rPr>
              <w:t>128</w:t>
            </w:r>
          </w:p>
        </w:tc>
      </w:tr>
      <w:tr w:rsidR="00E1624B" w:rsidRPr="00781112" w14:paraId="73AB7466" w14:textId="77777777" w:rsidTr="00044B5C">
        <w:trPr>
          <w:trHeight w:val="380"/>
        </w:trPr>
        <w:tc>
          <w:tcPr>
            <w:tcW w:w="1348" w:type="pct"/>
            <w:shd w:val="clear" w:color="auto" w:fill="auto"/>
          </w:tcPr>
          <w:p w14:paraId="4B56ED01" w14:textId="0B62D17A" w:rsidR="00E1624B" w:rsidRPr="00781112" w:rsidRDefault="00E1624B" w:rsidP="00E1624B">
            <w:pPr>
              <w:jc w:val="center"/>
              <w:rPr>
                <w:rFonts w:cs="Arial"/>
                <w:color w:val="000000" w:themeColor="text1"/>
                <w:szCs w:val="16"/>
              </w:rPr>
            </w:pPr>
            <w:r w:rsidRPr="00781112">
              <w:rPr>
                <w:rFonts w:cs="Arial"/>
                <w:color w:val="000000" w:themeColor="text1"/>
                <w:szCs w:val="16"/>
              </w:rPr>
              <w:t>SY 2021-22 Exiting Data Groups (EDFacts file spec FS009; Data Group 85)</w:t>
            </w:r>
          </w:p>
        </w:tc>
        <w:tc>
          <w:tcPr>
            <w:tcW w:w="987" w:type="pct"/>
            <w:shd w:val="clear" w:color="auto" w:fill="auto"/>
          </w:tcPr>
          <w:p w14:paraId="60CF2903" w14:textId="690ADEAE" w:rsidR="00E1624B" w:rsidRPr="00781112" w:rsidRDefault="00E1624B" w:rsidP="00E1624B">
            <w:pPr>
              <w:jc w:val="center"/>
              <w:rPr>
                <w:rFonts w:cs="Arial"/>
                <w:color w:val="000000" w:themeColor="text1"/>
                <w:szCs w:val="16"/>
              </w:rPr>
            </w:pPr>
            <w:r w:rsidRPr="00781112">
              <w:rPr>
                <w:rFonts w:cs="Arial"/>
                <w:color w:val="000000" w:themeColor="text1"/>
                <w:szCs w:val="16"/>
              </w:rPr>
              <w:t>05/24/2023</w:t>
            </w:r>
          </w:p>
        </w:tc>
        <w:tc>
          <w:tcPr>
            <w:tcW w:w="1625" w:type="pct"/>
            <w:shd w:val="clear" w:color="auto" w:fill="auto"/>
          </w:tcPr>
          <w:p w14:paraId="06653647" w14:textId="36FF0607" w:rsidR="00E1624B" w:rsidRPr="00781112" w:rsidRDefault="00E1624B">
            <w:pPr>
              <w:rPr>
                <w:rFonts w:cs="Arial"/>
                <w:szCs w:val="16"/>
              </w:rPr>
            </w:pPr>
            <w:r w:rsidRPr="00781112">
              <w:rPr>
                <w:rFonts w:cs="Arial"/>
                <w:szCs w:val="16"/>
              </w:rPr>
              <w:t xml:space="preserve">Number of </w:t>
            </w:r>
            <w:proofErr w:type="gramStart"/>
            <w:r w:rsidRPr="00781112">
              <w:rPr>
                <w:rFonts w:cs="Arial"/>
                <w:szCs w:val="16"/>
              </w:rPr>
              <w:t>youth</w:t>
            </w:r>
            <w:proofErr w:type="gramEnd"/>
            <w:r w:rsidRPr="00781112">
              <w:rPr>
                <w:rFonts w:cs="Arial"/>
                <w:szCs w:val="16"/>
              </w:rPr>
              <w:t xml:space="preserve"> with IEPs (ages 14-21) who exited special education by reaching maximum age (d)</w:t>
            </w:r>
          </w:p>
        </w:tc>
        <w:tc>
          <w:tcPr>
            <w:tcW w:w="1040" w:type="pct"/>
            <w:shd w:val="clear" w:color="auto" w:fill="auto"/>
          </w:tcPr>
          <w:p w14:paraId="73E001A1" w14:textId="747191F4" w:rsidR="00E1624B" w:rsidRPr="00781112" w:rsidRDefault="00E1624B" w:rsidP="00E1624B">
            <w:pPr>
              <w:jc w:val="center"/>
              <w:rPr>
                <w:rFonts w:cs="Arial"/>
                <w:color w:val="000000" w:themeColor="text1"/>
                <w:szCs w:val="16"/>
              </w:rPr>
            </w:pPr>
            <w:r w:rsidRPr="00781112">
              <w:rPr>
                <w:rFonts w:cs="Arial"/>
                <w:color w:val="000000" w:themeColor="text1"/>
                <w:szCs w:val="16"/>
              </w:rPr>
              <w:t>72</w:t>
            </w:r>
          </w:p>
        </w:tc>
      </w:tr>
      <w:tr w:rsidR="00E1624B" w:rsidRPr="00781112" w14:paraId="14CC53E0" w14:textId="77777777" w:rsidTr="00044B5C">
        <w:trPr>
          <w:trHeight w:val="380"/>
        </w:trPr>
        <w:tc>
          <w:tcPr>
            <w:tcW w:w="1348" w:type="pct"/>
            <w:shd w:val="clear" w:color="auto" w:fill="auto"/>
          </w:tcPr>
          <w:p w14:paraId="3B200D0B" w14:textId="610D9D3D" w:rsidR="00E1624B" w:rsidRPr="00781112" w:rsidRDefault="00E1624B" w:rsidP="00E1624B">
            <w:pPr>
              <w:jc w:val="center"/>
              <w:rPr>
                <w:rFonts w:cs="Arial"/>
                <w:color w:val="000000" w:themeColor="text1"/>
                <w:szCs w:val="16"/>
              </w:rPr>
            </w:pPr>
            <w:r w:rsidRPr="00781112">
              <w:rPr>
                <w:rFonts w:cs="Arial"/>
                <w:color w:val="000000" w:themeColor="text1"/>
                <w:szCs w:val="16"/>
              </w:rPr>
              <w:t>SY 2021-22 Exiting Data Groups (EDFacts file spec FS009; Data Group 85)</w:t>
            </w:r>
          </w:p>
        </w:tc>
        <w:tc>
          <w:tcPr>
            <w:tcW w:w="987" w:type="pct"/>
            <w:shd w:val="clear" w:color="auto" w:fill="auto"/>
          </w:tcPr>
          <w:p w14:paraId="57A125A7" w14:textId="625619CE" w:rsidR="00E1624B" w:rsidRPr="00781112" w:rsidRDefault="00E1624B" w:rsidP="00E1624B">
            <w:pPr>
              <w:jc w:val="center"/>
              <w:rPr>
                <w:rFonts w:cs="Arial"/>
                <w:color w:val="000000" w:themeColor="text1"/>
                <w:szCs w:val="16"/>
              </w:rPr>
            </w:pPr>
            <w:r w:rsidRPr="00781112">
              <w:rPr>
                <w:rFonts w:cs="Arial"/>
                <w:color w:val="000000" w:themeColor="text1"/>
                <w:szCs w:val="16"/>
              </w:rPr>
              <w:t>05/24/2023</w:t>
            </w:r>
          </w:p>
        </w:tc>
        <w:tc>
          <w:tcPr>
            <w:tcW w:w="1625" w:type="pct"/>
            <w:shd w:val="clear" w:color="auto" w:fill="auto"/>
          </w:tcPr>
          <w:p w14:paraId="5C2E5C85" w14:textId="316DABB1" w:rsidR="00E1624B" w:rsidRPr="00781112" w:rsidRDefault="00E1624B" w:rsidP="00E1624B">
            <w:pPr>
              <w:rPr>
                <w:rFonts w:cs="Arial"/>
                <w:szCs w:val="16"/>
              </w:rPr>
            </w:pPr>
            <w:r w:rsidRPr="00781112">
              <w:rPr>
                <w:rFonts w:cs="Arial"/>
                <w:szCs w:val="16"/>
              </w:rPr>
              <w:t xml:space="preserve">Number of </w:t>
            </w:r>
            <w:proofErr w:type="gramStart"/>
            <w:r w:rsidRPr="00781112">
              <w:rPr>
                <w:rFonts w:cs="Arial"/>
                <w:szCs w:val="16"/>
              </w:rPr>
              <w:t>youth</w:t>
            </w:r>
            <w:proofErr w:type="gramEnd"/>
            <w:r w:rsidRPr="00781112">
              <w:rPr>
                <w:rFonts w:cs="Arial"/>
                <w:szCs w:val="16"/>
              </w:rPr>
              <w:t xml:space="preserve"> with IEPs (ages 14-21) who exited special education due to dropping out (e)</w:t>
            </w:r>
          </w:p>
        </w:tc>
        <w:tc>
          <w:tcPr>
            <w:tcW w:w="1040" w:type="pct"/>
            <w:shd w:val="clear" w:color="auto" w:fill="auto"/>
          </w:tcPr>
          <w:p w14:paraId="79A046E2" w14:textId="17FE2759" w:rsidR="00E1624B" w:rsidRPr="00781112" w:rsidRDefault="00E1624B" w:rsidP="00E1624B">
            <w:pPr>
              <w:jc w:val="center"/>
              <w:rPr>
                <w:rFonts w:cs="Arial"/>
                <w:color w:val="000000" w:themeColor="text1"/>
                <w:szCs w:val="16"/>
              </w:rPr>
            </w:pPr>
            <w:r w:rsidRPr="00781112">
              <w:rPr>
                <w:rFonts w:cs="Arial"/>
                <w:color w:val="000000" w:themeColor="text1"/>
                <w:szCs w:val="16"/>
              </w:rPr>
              <w:t>1,197</w:t>
            </w:r>
          </w:p>
        </w:tc>
      </w:tr>
    </w:tbl>
    <w:p w14:paraId="0D2CDC7B" w14:textId="77777777" w:rsidR="00654A4B" w:rsidRPr="00781112" w:rsidRDefault="00654A4B" w:rsidP="00B65C2C">
      <w:pPr>
        <w:rPr>
          <w:color w:val="000000" w:themeColor="text1"/>
        </w:rPr>
      </w:pPr>
    </w:p>
    <w:p w14:paraId="7939D078" w14:textId="3CD6429A" w:rsidR="00995737" w:rsidRPr="00781112" w:rsidRDefault="0047313F" w:rsidP="00C74928">
      <w:pPr>
        <w:keepNext/>
        <w:rPr>
          <w:b/>
          <w:bCs/>
          <w:color w:val="000000" w:themeColor="text1"/>
        </w:rPr>
      </w:pPr>
      <w:r>
        <w:rPr>
          <w:b/>
          <w:bCs/>
          <w:color w:val="000000" w:themeColor="text1"/>
        </w:rPr>
        <w:t>FFY 2022 SPP/APR Data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B01CFFYAPRDATA"/>
      </w:tblPr>
      <w:tblGrid>
        <w:gridCol w:w="1502"/>
        <w:gridCol w:w="1688"/>
        <w:gridCol w:w="1344"/>
        <w:gridCol w:w="2022"/>
        <w:gridCol w:w="1208"/>
        <w:gridCol w:w="1539"/>
        <w:gridCol w:w="1487"/>
      </w:tblGrid>
      <w:tr w:rsidR="0047313F" w:rsidRPr="00781112" w14:paraId="02722994" w14:textId="4BCF686A" w:rsidTr="0047313F">
        <w:trPr>
          <w:trHeight w:val="333"/>
          <w:tblHeader/>
        </w:trPr>
        <w:tc>
          <w:tcPr>
            <w:tcW w:w="696" w:type="pct"/>
            <w:shd w:val="clear" w:color="auto" w:fill="auto"/>
            <w:vAlign w:val="bottom"/>
          </w:tcPr>
          <w:p w14:paraId="272BBF68" w14:textId="161B6D1A" w:rsidR="0047313F" w:rsidRPr="00781112" w:rsidRDefault="0047313F" w:rsidP="0047313F">
            <w:pPr>
              <w:spacing w:after="0"/>
              <w:jc w:val="center"/>
              <w:rPr>
                <w:rFonts w:cs="Arial"/>
                <w:b/>
                <w:color w:val="000000" w:themeColor="text1"/>
                <w:szCs w:val="16"/>
              </w:rPr>
            </w:pPr>
            <w:r w:rsidRPr="00781112">
              <w:rPr>
                <w:rFonts w:cs="Arial"/>
                <w:b/>
                <w:color w:val="000000" w:themeColor="text1"/>
                <w:szCs w:val="16"/>
              </w:rPr>
              <w:t xml:space="preserve">Number of </w:t>
            </w:r>
            <w:proofErr w:type="gramStart"/>
            <w:r w:rsidRPr="00781112">
              <w:rPr>
                <w:rFonts w:cs="Arial"/>
                <w:b/>
                <w:color w:val="000000" w:themeColor="text1"/>
                <w:szCs w:val="16"/>
              </w:rPr>
              <w:t>youth</w:t>
            </w:r>
            <w:proofErr w:type="gramEnd"/>
            <w:r w:rsidRPr="00781112">
              <w:rPr>
                <w:rFonts w:cs="Arial"/>
                <w:b/>
                <w:color w:val="000000" w:themeColor="text1"/>
                <w:szCs w:val="16"/>
              </w:rPr>
              <w:t xml:space="preserve"> with IEPs (ages 14-21) who exited special education due to graduating with a regular high school diploma</w:t>
            </w:r>
          </w:p>
        </w:tc>
        <w:tc>
          <w:tcPr>
            <w:tcW w:w="782" w:type="pct"/>
            <w:shd w:val="clear" w:color="auto" w:fill="auto"/>
            <w:vAlign w:val="bottom"/>
          </w:tcPr>
          <w:p w14:paraId="055EF61F" w14:textId="6ADAF307" w:rsidR="0047313F" w:rsidRPr="00781112" w:rsidRDefault="0047313F" w:rsidP="0047313F">
            <w:pPr>
              <w:spacing w:after="0"/>
              <w:jc w:val="center"/>
              <w:rPr>
                <w:rFonts w:cs="Arial"/>
                <w:b/>
                <w:bCs/>
                <w:color w:val="000000" w:themeColor="text1"/>
                <w:szCs w:val="16"/>
              </w:rPr>
            </w:pPr>
            <w:r w:rsidRPr="00781112">
              <w:rPr>
                <w:b/>
                <w:bCs/>
              </w:rPr>
              <w:t xml:space="preserve">Number of all youth with IEPs who exited special education (ages 14-21)  </w:t>
            </w:r>
          </w:p>
        </w:tc>
        <w:tc>
          <w:tcPr>
            <w:tcW w:w="623" w:type="pct"/>
            <w:shd w:val="clear" w:color="auto" w:fill="auto"/>
            <w:vAlign w:val="bottom"/>
          </w:tcPr>
          <w:p w14:paraId="74998318" w14:textId="02C5ECA9" w:rsidR="0047313F" w:rsidRPr="00073BD7" w:rsidRDefault="0047313F" w:rsidP="0047313F">
            <w:pPr>
              <w:spacing w:after="0"/>
              <w:jc w:val="center"/>
              <w:rPr>
                <w:rFonts w:cs="Arial"/>
                <w:b/>
                <w:bCs/>
                <w:color w:val="000000" w:themeColor="text1"/>
                <w:szCs w:val="16"/>
              </w:rPr>
            </w:pPr>
            <w:r w:rsidRPr="00073BD7">
              <w:rPr>
                <w:b/>
                <w:bCs/>
              </w:rPr>
              <w:t>FFY 2021 Data</w:t>
            </w:r>
          </w:p>
        </w:tc>
        <w:tc>
          <w:tcPr>
            <w:tcW w:w="937" w:type="pct"/>
            <w:shd w:val="clear" w:color="auto" w:fill="auto"/>
            <w:vAlign w:val="bottom"/>
          </w:tcPr>
          <w:p w14:paraId="5A1C61A6" w14:textId="7E14B348" w:rsidR="0047313F" w:rsidRPr="00073BD7" w:rsidRDefault="0047313F" w:rsidP="0047313F">
            <w:pPr>
              <w:spacing w:after="0"/>
              <w:jc w:val="center"/>
              <w:rPr>
                <w:rFonts w:cs="Arial"/>
                <w:b/>
                <w:bCs/>
                <w:color w:val="000000" w:themeColor="text1"/>
                <w:szCs w:val="16"/>
              </w:rPr>
            </w:pPr>
            <w:r w:rsidRPr="00073BD7">
              <w:rPr>
                <w:b/>
                <w:bCs/>
              </w:rPr>
              <w:t>FFY 2022 Target</w:t>
            </w:r>
          </w:p>
        </w:tc>
        <w:tc>
          <w:tcPr>
            <w:tcW w:w="560" w:type="pct"/>
            <w:shd w:val="clear" w:color="auto" w:fill="auto"/>
            <w:vAlign w:val="bottom"/>
          </w:tcPr>
          <w:p w14:paraId="51DD5A1B" w14:textId="7B2ED195" w:rsidR="0047313F" w:rsidRPr="00073BD7" w:rsidRDefault="0047313F" w:rsidP="0047313F">
            <w:pPr>
              <w:spacing w:after="0"/>
              <w:jc w:val="center"/>
              <w:rPr>
                <w:rFonts w:cs="Arial"/>
                <w:b/>
                <w:bCs/>
                <w:color w:val="000000" w:themeColor="text1"/>
                <w:szCs w:val="16"/>
              </w:rPr>
            </w:pPr>
            <w:r w:rsidRPr="00073BD7">
              <w:rPr>
                <w:b/>
                <w:bCs/>
              </w:rPr>
              <w:t>FFY 2022 Data</w:t>
            </w:r>
          </w:p>
        </w:tc>
        <w:tc>
          <w:tcPr>
            <w:tcW w:w="713" w:type="pct"/>
            <w:shd w:val="clear" w:color="auto" w:fill="auto"/>
            <w:vAlign w:val="bottom"/>
          </w:tcPr>
          <w:p w14:paraId="23C86FAA" w14:textId="7FC8D54B" w:rsidR="0047313F" w:rsidRPr="00781112" w:rsidRDefault="0047313F" w:rsidP="0047313F">
            <w:pPr>
              <w:spacing w:after="0"/>
              <w:jc w:val="center"/>
              <w:rPr>
                <w:rFonts w:cs="Arial"/>
                <w:b/>
                <w:color w:val="000000" w:themeColor="text1"/>
                <w:szCs w:val="16"/>
              </w:rPr>
            </w:pPr>
            <w:r w:rsidRPr="00781112">
              <w:rPr>
                <w:rFonts w:cs="Arial"/>
                <w:b/>
                <w:color w:val="000000" w:themeColor="text1"/>
                <w:szCs w:val="16"/>
              </w:rPr>
              <w:t>Status</w:t>
            </w:r>
          </w:p>
        </w:tc>
        <w:tc>
          <w:tcPr>
            <w:tcW w:w="690" w:type="pct"/>
            <w:shd w:val="clear" w:color="auto" w:fill="auto"/>
            <w:vAlign w:val="bottom"/>
          </w:tcPr>
          <w:p w14:paraId="6EE58552" w14:textId="4AA8F220" w:rsidR="0047313F" w:rsidRPr="00781112" w:rsidRDefault="0047313F" w:rsidP="0047313F">
            <w:pPr>
              <w:spacing w:after="0"/>
              <w:jc w:val="center"/>
              <w:rPr>
                <w:rFonts w:cs="Arial"/>
                <w:b/>
                <w:color w:val="000000" w:themeColor="text1"/>
                <w:szCs w:val="16"/>
              </w:rPr>
            </w:pPr>
            <w:r w:rsidRPr="00781112">
              <w:rPr>
                <w:rFonts w:cs="Arial"/>
                <w:b/>
                <w:color w:val="000000" w:themeColor="text1"/>
                <w:szCs w:val="16"/>
              </w:rPr>
              <w:t>Slippage</w:t>
            </w:r>
          </w:p>
        </w:tc>
      </w:tr>
      <w:tr w:rsidR="005C29F8" w:rsidRPr="00781112" w14:paraId="601A0599" w14:textId="76387A52" w:rsidTr="0047313F">
        <w:trPr>
          <w:trHeight w:val="340"/>
        </w:trPr>
        <w:tc>
          <w:tcPr>
            <w:tcW w:w="696" w:type="pct"/>
            <w:shd w:val="clear" w:color="auto" w:fill="auto"/>
            <w:vAlign w:val="center"/>
          </w:tcPr>
          <w:p w14:paraId="70B1C138" w14:textId="6CAA41C3" w:rsidR="0098478C" w:rsidRPr="00781112" w:rsidRDefault="002B7490" w:rsidP="00A018D4">
            <w:pPr>
              <w:jc w:val="center"/>
              <w:rPr>
                <w:rFonts w:cs="Arial"/>
                <w:color w:val="000000" w:themeColor="text1"/>
                <w:szCs w:val="16"/>
              </w:rPr>
            </w:pPr>
            <w:r w:rsidRPr="00781112">
              <w:rPr>
                <w:rFonts w:cs="Arial"/>
                <w:color w:val="000000" w:themeColor="text1"/>
                <w:szCs w:val="16"/>
              </w:rPr>
              <w:t>5,010</w:t>
            </w:r>
          </w:p>
        </w:tc>
        <w:tc>
          <w:tcPr>
            <w:tcW w:w="782" w:type="pct"/>
            <w:shd w:val="clear" w:color="auto" w:fill="auto"/>
          </w:tcPr>
          <w:p w14:paraId="614E7B59" w14:textId="5AA9B72C" w:rsidR="0098478C" w:rsidRPr="00781112" w:rsidRDefault="002B7490" w:rsidP="00A018D4">
            <w:pPr>
              <w:jc w:val="center"/>
              <w:rPr>
                <w:rFonts w:cs="Arial"/>
                <w:color w:val="000000" w:themeColor="text1"/>
                <w:szCs w:val="16"/>
              </w:rPr>
            </w:pPr>
            <w:r w:rsidRPr="00781112">
              <w:rPr>
                <w:rFonts w:cs="Arial"/>
                <w:color w:val="000000" w:themeColor="text1"/>
                <w:szCs w:val="16"/>
              </w:rPr>
              <w:t>6,407</w:t>
            </w:r>
          </w:p>
        </w:tc>
        <w:tc>
          <w:tcPr>
            <w:tcW w:w="623" w:type="pct"/>
            <w:shd w:val="clear" w:color="auto" w:fill="auto"/>
          </w:tcPr>
          <w:p w14:paraId="02406DF0" w14:textId="52BAECC6" w:rsidR="0098478C" w:rsidRPr="00781112" w:rsidRDefault="002B7490" w:rsidP="00A018D4">
            <w:pPr>
              <w:jc w:val="center"/>
              <w:rPr>
                <w:rFonts w:cs="Arial"/>
                <w:color w:val="000000" w:themeColor="text1"/>
                <w:szCs w:val="16"/>
              </w:rPr>
            </w:pPr>
            <w:r w:rsidRPr="00781112">
              <w:rPr>
                <w:rFonts w:cs="Arial"/>
                <w:color w:val="000000" w:themeColor="text1"/>
                <w:szCs w:val="16"/>
              </w:rPr>
              <w:t>81.47%</w:t>
            </w:r>
          </w:p>
        </w:tc>
        <w:tc>
          <w:tcPr>
            <w:tcW w:w="937" w:type="pct"/>
            <w:shd w:val="clear" w:color="auto" w:fill="auto"/>
          </w:tcPr>
          <w:p w14:paraId="2398C001" w14:textId="76ED9E04" w:rsidR="0098478C" w:rsidRPr="00781112" w:rsidRDefault="002B7490" w:rsidP="00A018D4">
            <w:pPr>
              <w:jc w:val="center"/>
              <w:rPr>
                <w:rFonts w:cs="Arial"/>
                <w:color w:val="000000" w:themeColor="text1"/>
                <w:szCs w:val="16"/>
              </w:rPr>
            </w:pPr>
            <w:r w:rsidRPr="00781112">
              <w:rPr>
                <w:rFonts w:cs="Arial"/>
                <w:color w:val="000000" w:themeColor="text1"/>
                <w:szCs w:val="16"/>
              </w:rPr>
              <w:t>79.83%</w:t>
            </w:r>
          </w:p>
        </w:tc>
        <w:tc>
          <w:tcPr>
            <w:tcW w:w="560" w:type="pct"/>
            <w:shd w:val="clear" w:color="auto" w:fill="auto"/>
          </w:tcPr>
          <w:p w14:paraId="4A53AF2D" w14:textId="3BE4EB07" w:rsidR="0098478C" w:rsidRPr="00781112" w:rsidRDefault="002B7490" w:rsidP="00A018D4">
            <w:pPr>
              <w:jc w:val="center"/>
              <w:rPr>
                <w:rFonts w:cs="Arial"/>
                <w:color w:val="000000" w:themeColor="text1"/>
                <w:szCs w:val="16"/>
              </w:rPr>
            </w:pPr>
            <w:r w:rsidRPr="00781112">
              <w:rPr>
                <w:rFonts w:cs="Arial"/>
                <w:color w:val="000000" w:themeColor="text1"/>
                <w:szCs w:val="16"/>
              </w:rPr>
              <w:t>78.20%</w:t>
            </w:r>
          </w:p>
        </w:tc>
        <w:tc>
          <w:tcPr>
            <w:tcW w:w="713" w:type="pct"/>
            <w:shd w:val="clear" w:color="auto" w:fill="auto"/>
          </w:tcPr>
          <w:p w14:paraId="0A60DC85" w14:textId="479F7096" w:rsidR="0098478C" w:rsidRPr="00781112" w:rsidRDefault="002B7490" w:rsidP="00A018D4">
            <w:pPr>
              <w:jc w:val="center"/>
              <w:rPr>
                <w:rFonts w:cs="Arial"/>
                <w:color w:val="000000" w:themeColor="text1"/>
                <w:szCs w:val="16"/>
              </w:rPr>
            </w:pPr>
            <w:r w:rsidRPr="00781112">
              <w:rPr>
                <w:rFonts w:cs="Arial"/>
                <w:color w:val="000000" w:themeColor="text1"/>
                <w:szCs w:val="16"/>
              </w:rPr>
              <w:t>Did not meet target</w:t>
            </w:r>
          </w:p>
        </w:tc>
        <w:tc>
          <w:tcPr>
            <w:tcW w:w="690" w:type="pct"/>
            <w:shd w:val="clear" w:color="auto" w:fill="auto"/>
          </w:tcPr>
          <w:p w14:paraId="6FB98C67" w14:textId="68AEDB07" w:rsidR="0098478C" w:rsidRPr="00781112" w:rsidRDefault="002B7490" w:rsidP="00A018D4">
            <w:pPr>
              <w:jc w:val="center"/>
              <w:rPr>
                <w:rFonts w:cs="Arial"/>
                <w:color w:val="000000" w:themeColor="text1"/>
                <w:szCs w:val="16"/>
              </w:rPr>
            </w:pPr>
            <w:r w:rsidRPr="00781112">
              <w:rPr>
                <w:rFonts w:cs="Arial"/>
                <w:color w:val="000000" w:themeColor="text1"/>
                <w:szCs w:val="16"/>
              </w:rPr>
              <w:t>Slippage</w:t>
            </w:r>
          </w:p>
        </w:tc>
      </w:tr>
    </w:tbl>
    <w:p w14:paraId="68A148EF" w14:textId="201EE2DF" w:rsidR="00120808" w:rsidRPr="00781112" w:rsidRDefault="00120808" w:rsidP="004369B2">
      <w:pPr>
        <w:rPr>
          <w:b/>
          <w:color w:val="000000" w:themeColor="text1"/>
        </w:rPr>
      </w:pPr>
      <w:r w:rsidRPr="00781112">
        <w:rPr>
          <w:b/>
          <w:color w:val="000000" w:themeColor="text1"/>
        </w:rPr>
        <w:t>Provide reasons for slippage, if applicable</w:t>
      </w:r>
    </w:p>
    <w:p w14:paraId="57093C7C" w14:textId="103154AB" w:rsidR="002D145D" w:rsidRPr="00781112" w:rsidRDefault="002B7490" w:rsidP="00AD3C71">
      <w:pPr>
        <w:rPr>
          <w:rFonts w:cs="Arial"/>
          <w:color w:val="000000" w:themeColor="text1"/>
          <w:szCs w:val="16"/>
        </w:rPr>
      </w:pPr>
      <w:r w:rsidRPr="00781112">
        <w:rPr>
          <w:rFonts w:cs="Arial"/>
          <w:color w:val="000000" w:themeColor="text1"/>
          <w:szCs w:val="16"/>
        </w:rPr>
        <w:t xml:space="preserve">Slippage is the result of a reset due to the impact of COVID 19 on schools and school policies. Colorado's AUs saw an increase in students graduating in SY 2020-21 and a decrease in students being reported as dropping out due to the impact of school closures and online learning during COVID. AUs reported graduating more students than they would have due to local policies that were temporarily implemented due to the pandemic. We are now </w:t>
      </w:r>
      <w:r w:rsidRPr="00781112">
        <w:rPr>
          <w:rFonts w:cs="Arial"/>
          <w:color w:val="000000" w:themeColor="text1"/>
          <w:szCs w:val="16"/>
        </w:rPr>
        <w:lastRenderedPageBreak/>
        <w:t>recovering from those inflated numbers and our graduation rate for SY 2021-22 is just 0.6% below pre-COVID levels and our dropout rate for SY 2021-22 is only .08% greater than pre-COVID numbers. We also saw more students exiting this year with a certificate and aging out than last year.</w:t>
      </w:r>
    </w:p>
    <w:p w14:paraId="2BB119D0" w14:textId="387277D1" w:rsidR="005E59DB" w:rsidRPr="00781112" w:rsidRDefault="005E59DB" w:rsidP="004369B2">
      <w:pPr>
        <w:rPr>
          <w:color w:val="000000" w:themeColor="text1"/>
        </w:rPr>
      </w:pPr>
      <w:r w:rsidRPr="00781112">
        <w:rPr>
          <w:b/>
          <w:color w:val="000000" w:themeColor="text1"/>
        </w:rPr>
        <w:t xml:space="preserve">Graduation Conditions </w:t>
      </w:r>
    </w:p>
    <w:p w14:paraId="44381070" w14:textId="5786BC0C" w:rsidR="005E59DB" w:rsidRPr="00781112" w:rsidRDefault="00C14D48" w:rsidP="00552927">
      <w:pPr>
        <w:rPr>
          <w:rFonts w:cs="Arial"/>
          <w:b/>
          <w:i/>
          <w:color w:val="000000" w:themeColor="text1"/>
          <w:szCs w:val="16"/>
        </w:rPr>
      </w:pPr>
      <w:r w:rsidRPr="00781112">
        <w:rPr>
          <w:rFonts w:cs="Arial"/>
          <w:b/>
          <w:color w:val="000000" w:themeColor="text1"/>
          <w:szCs w:val="16"/>
        </w:rPr>
        <w:t xml:space="preserve">Provide a narrative that describes the conditions youth must meet </w:t>
      </w:r>
      <w:proofErr w:type="gramStart"/>
      <w:r w:rsidRPr="00781112">
        <w:rPr>
          <w:rFonts w:cs="Arial"/>
          <w:b/>
          <w:color w:val="000000" w:themeColor="text1"/>
          <w:szCs w:val="16"/>
        </w:rPr>
        <w:t>in order to</w:t>
      </w:r>
      <w:proofErr w:type="gramEnd"/>
      <w:r w:rsidRPr="00781112">
        <w:rPr>
          <w:rFonts w:cs="Arial"/>
          <w:b/>
          <w:color w:val="000000" w:themeColor="text1"/>
          <w:szCs w:val="16"/>
        </w:rPr>
        <w:t xml:space="preserve"> graduate with a regular high school diploma. </w:t>
      </w:r>
    </w:p>
    <w:p w14:paraId="7C1B3984" w14:textId="08BD1460" w:rsidR="002D145D" w:rsidRPr="00781112" w:rsidRDefault="002B7490" w:rsidP="006618C8">
      <w:pPr>
        <w:rPr>
          <w:rFonts w:cs="Arial"/>
          <w:color w:val="000000" w:themeColor="text1"/>
          <w:szCs w:val="16"/>
        </w:rPr>
      </w:pPr>
      <w:r w:rsidRPr="00781112">
        <w:rPr>
          <w:rFonts w:cs="Arial"/>
          <w:color w:val="000000" w:themeColor="text1"/>
          <w:szCs w:val="16"/>
        </w:rPr>
        <w:t>Under Colorado law, “each school district board of education retains the authority to develop its own unique high school graduation requirements, so long as those local high school graduation requirements meet or exceed any minimum standards or basic core competencies or skills identified in the comprehensive set of guidelines for high school graduation developed by the state board pursuant to this paragraph.” 22-2-106(</w:t>
      </w:r>
      <w:proofErr w:type="gramStart"/>
      <w:r w:rsidRPr="00781112">
        <w:rPr>
          <w:rFonts w:cs="Arial"/>
          <w:color w:val="000000" w:themeColor="text1"/>
          <w:szCs w:val="16"/>
        </w:rPr>
        <w:t>1)(</w:t>
      </w:r>
      <w:proofErr w:type="gramEnd"/>
      <w:r w:rsidRPr="00781112">
        <w:rPr>
          <w:rFonts w:cs="Arial"/>
          <w:color w:val="000000" w:themeColor="text1"/>
          <w:szCs w:val="16"/>
        </w:rPr>
        <w:t xml:space="preserve">a.5) C.R.S. There are no specific courses, or numbers of courses, required by the state’s graduation guidelines, and there are no legislated course requirements other than one course in Civics: “Satisfactory completion of a course on the civil government of the United States and the state of Colorado . . . shall be a condition of high school graduation in the public schools of this state.” 22-1-104 (3)(a) C.R.S. </w:t>
      </w:r>
      <w:r w:rsidRPr="00781112">
        <w:rPr>
          <w:rFonts w:cs="Arial"/>
          <w:color w:val="000000" w:themeColor="text1"/>
          <w:szCs w:val="16"/>
        </w:rPr>
        <w:br/>
        <w:t>Youth with IEPs must meet the same requirements as youth without IEPs in order to graduate with a regular high school diploma.</w:t>
      </w:r>
    </w:p>
    <w:p w14:paraId="58C36CC8" w14:textId="7DE9B0CE" w:rsidR="00F672DF" w:rsidRPr="00781112" w:rsidRDefault="00F672DF" w:rsidP="006618C8">
      <w:pPr>
        <w:rPr>
          <w:rFonts w:cs="Arial"/>
          <w:b/>
          <w:color w:val="000000" w:themeColor="text1"/>
          <w:szCs w:val="16"/>
        </w:rPr>
      </w:pPr>
      <w:r w:rsidRPr="00781112">
        <w:rPr>
          <w:rFonts w:cs="Arial"/>
          <w:b/>
          <w:color w:val="000000" w:themeColor="text1"/>
          <w:szCs w:val="16"/>
        </w:rPr>
        <w:t>Are the conditions that youth with IEPs must meet to graduate with a regular high school diploma different from the conditions noted above? (yes/no)</w:t>
      </w:r>
    </w:p>
    <w:p w14:paraId="0930BD95" w14:textId="4EF39A81" w:rsidR="00F672DF" w:rsidRPr="00781112" w:rsidRDefault="00F672DF" w:rsidP="006618C8">
      <w:pPr>
        <w:rPr>
          <w:rFonts w:cs="Arial"/>
          <w:color w:val="000000" w:themeColor="text1"/>
          <w:szCs w:val="16"/>
        </w:rPr>
      </w:pPr>
      <w:r w:rsidRPr="00781112">
        <w:rPr>
          <w:rFonts w:cs="Arial"/>
          <w:color w:val="000000" w:themeColor="text1"/>
          <w:szCs w:val="16"/>
        </w:rPr>
        <w:t>NO</w:t>
      </w:r>
    </w:p>
    <w:p w14:paraId="51BF8B64" w14:textId="746664C9" w:rsidR="0098478C" w:rsidRPr="00781112" w:rsidRDefault="0098478C" w:rsidP="004369B2">
      <w:pPr>
        <w:rPr>
          <w:b/>
          <w:color w:val="000000" w:themeColor="text1"/>
        </w:rPr>
      </w:pPr>
      <w:r w:rsidRPr="00781112">
        <w:rPr>
          <w:b/>
          <w:color w:val="000000" w:themeColor="text1"/>
        </w:rPr>
        <w:t>Provide additional information about this indicator (optional)</w:t>
      </w:r>
    </w:p>
    <w:p w14:paraId="2CDAC437" w14:textId="58A5CDB2" w:rsidR="002D145D" w:rsidRPr="00781112" w:rsidRDefault="002D145D" w:rsidP="000E33D0">
      <w:pPr>
        <w:rPr>
          <w:rFonts w:cs="Arial"/>
          <w:color w:val="000000" w:themeColor="text1"/>
          <w:szCs w:val="16"/>
        </w:rPr>
      </w:pPr>
    </w:p>
    <w:p w14:paraId="7D2A5658" w14:textId="39995CE7" w:rsidR="000C60E1" w:rsidRPr="00781112" w:rsidRDefault="00B0742B" w:rsidP="008645AD">
      <w:pPr>
        <w:pStyle w:val="Heading2"/>
      </w:pPr>
      <w:bookmarkStart w:id="5" w:name="_Toc382082358"/>
      <w:r w:rsidRPr="00781112">
        <w:t>1</w:t>
      </w:r>
      <w:r w:rsidR="00684B51" w:rsidRPr="00781112">
        <w:t xml:space="preserve"> </w:t>
      </w:r>
      <w:r w:rsidRPr="00781112">
        <w:t xml:space="preserve">- </w:t>
      </w:r>
      <w:r w:rsidR="002D145D" w:rsidRPr="00781112">
        <w:t>Prior FFY Required Actions</w:t>
      </w:r>
    </w:p>
    <w:p w14:paraId="42534530" w14:textId="7BEF428C" w:rsidR="002D145D" w:rsidRPr="00781112" w:rsidRDefault="002B7490" w:rsidP="00CE5723">
      <w:pPr>
        <w:rPr>
          <w:rFonts w:cs="Arial"/>
          <w:color w:val="000000" w:themeColor="text1"/>
          <w:szCs w:val="16"/>
        </w:rPr>
      </w:pPr>
      <w:r w:rsidRPr="00781112">
        <w:rPr>
          <w:rFonts w:cs="Arial"/>
          <w:color w:val="000000" w:themeColor="text1"/>
          <w:szCs w:val="16"/>
        </w:rPr>
        <w:t>None</w:t>
      </w:r>
    </w:p>
    <w:p w14:paraId="12317A47" w14:textId="75A98BEA" w:rsidR="00A2794A" w:rsidRPr="00781112" w:rsidRDefault="00A2794A" w:rsidP="00CE5723">
      <w:pPr>
        <w:rPr>
          <w:rFonts w:cs="Arial"/>
          <w:color w:val="000000" w:themeColor="text1"/>
          <w:szCs w:val="16"/>
        </w:rPr>
      </w:pPr>
    </w:p>
    <w:p w14:paraId="0D99EF95" w14:textId="4B8DDAD7" w:rsidR="004C462E" w:rsidRPr="00781112" w:rsidRDefault="00862B20" w:rsidP="008645AD">
      <w:pPr>
        <w:pStyle w:val="Heading2"/>
      </w:pPr>
      <w:r w:rsidRPr="00781112">
        <w:t>1</w:t>
      </w:r>
      <w:r w:rsidR="00684B51" w:rsidRPr="00781112">
        <w:t xml:space="preserve"> </w:t>
      </w:r>
      <w:r w:rsidRPr="00781112">
        <w:t xml:space="preserve">- </w:t>
      </w:r>
      <w:r w:rsidR="004C462E" w:rsidRPr="00781112">
        <w:t>OSEP Response</w:t>
      </w:r>
    </w:p>
    <w:p w14:paraId="47549565" w14:textId="0718C089" w:rsidR="002D145D" w:rsidRPr="00781112" w:rsidRDefault="002D145D" w:rsidP="001F692C">
      <w:pPr>
        <w:rPr>
          <w:rFonts w:cs="Arial"/>
          <w:color w:val="000000" w:themeColor="text1"/>
          <w:szCs w:val="16"/>
        </w:rPr>
      </w:pPr>
    </w:p>
    <w:p w14:paraId="5F7376D0" w14:textId="1C114A8A" w:rsidR="004C462E" w:rsidRPr="00781112" w:rsidRDefault="00B0742B" w:rsidP="008645AD">
      <w:pPr>
        <w:pStyle w:val="Heading2"/>
      </w:pPr>
      <w:bookmarkStart w:id="6" w:name="_Hlk21352084"/>
      <w:r w:rsidRPr="00781112">
        <w:t xml:space="preserve">1 - </w:t>
      </w:r>
      <w:bookmarkEnd w:id="6"/>
      <w:r w:rsidR="004C462E" w:rsidRPr="00781112">
        <w:t>Required Actions</w:t>
      </w:r>
    </w:p>
    <w:p w14:paraId="1EB5204A" w14:textId="0BB66F29" w:rsidR="002D145D" w:rsidRPr="00781112" w:rsidRDefault="002D145D" w:rsidP="001F692C">
      <w:pPr>
        <w:rPr>
          <w:rFonts w:cs="Arial"/>
          <w:color w:val="000000" w:themeColor="text1"/>
          <w:szCs w:val="16"/>
        </w:rPr>
      </w:pPr>
    </w:p>
    <w:p w14:paraId="14062900" w14:textId="77777777" w:rsidR="00D37BF0" w:rsidRPr="00781112" w:rsidRDefault="00D37BF0">
      <w:pPr>
        <w:spacing w:before="0" w:after="200" w:line="276" w:lineRule="auto"/>
        <w:rPr>
          <w:rFonts w:eastAsiaTheme="majorEastAsia" w:cs="Arial"/>
          <w:b/>
          <w:bCs/>
          <w:color w:val="000000" w:themeColor="text1"/>
          <w:szCs w:val="16"/>
        </w:rPr>
      </w:pPr>
      <w:bookmarkStart w:id="7" w:name="_Toc392159262"/>
      <w:r w:rsidRPr="00781112">
        <w:rPr>
          <w:rFonts w:cs="Arial"/>
          <w:color w:val="000000" w:themeColor="text1"/>
          <w:szCs w:val="16"/>
        </w:rPr>
        <w:br w:type="page"/>
      </w:r>
    </w:p>
    <w:p w14:paraId="06F42DD3" w14:textId="793A19C1" w:rsidR="00D21EAA" w:rsidRPr="00781112" w:rsidRDefault="00D21EAA">
      <w:pPr>
        <w:pStyle w:val="Heading1"/>
        <w:rPr>
          <w:color w:val="000000" w:themeColor="text1"/>
          <w:sz w:val="22"/>
        </w:rPr>
      </w:pPr>
      <w:r w:rsidRPr="00781112">
        <w:rPr>
          <w:color w:val="000000" w:themeColor="text1"/>
          <w:sz w:val="22"/>
        </w:rPr>
        <w:lastRenderedPageBreak/>
        <w:t>Indicator 2: Drop Out</w:t>
      </w:r>
      <w:bookmarkEnd w:id="5"/>
      <w:bookmarkEnd w:id="7"/>
    </w:p>
    <w:p w14:paraId="7F31959F" w14:textId="6C15FFEB" w:rsidR="002C60D5" w:rsidRPr="00781112" w:rsidRDefault="002C60D5" w:rsidP="00A018D4">
      <w:pPr>
        <w:rPr>
          <w:color w:val="000000" w:themeColor="text1"/>
          <w:szCs w:val="20"/>
        </w:rPr>
      </w:pPr>
      <w:r w:rsidRPr="00781112">
        <w:rPr>
          <w:b/>
          <w:color w:val="000000" w:themeColor="text1"/>
          <w:sz w:val="20"/>
          <w:szCs w:val="20"/>
        </w:rPr>
        <w:t>Instructions and Measurement</w:t>
      </w:r>
    </w:p>
    <w:p w14:paraId="135DFB11" w14:textId="77777777" w:rsidR="00820751" w:rsidRPr="00651E83" w:rsidRDefault="00820751" w:rsidP="00820751">
      <w:pPr>
        <w:pStyle w:val="Subhed"/>
      </w:pPr>
      <w:bookmarkStart w:id="8" w:name="_Toc392159263"/>
      <w:r w:rsidRPr="00651E83">
        <w:t xml:space="preserve">Monitoring Priority: </w:t>
      </w:r>
      <w:r w:rsidRPr="004A6DE5">
        <w:rPr>
          <w:b w:val="0"/>
        </w:rPr>
        <w:t>FAPE in the LRE</w:t>
      </w:r>
    </w:p>
    <w:p w14:paraId="1775856F" w14:textId="77777777" w:rsidR="00820751" w:rsidRPr="00651E83" w:rsidRDefault="00820751" w:rsidP="00820751">
      <w:pPr>
        <w:rPr>
          <w:rFonts w:cs="Arial"/>
          <w:szCs w:val="16"/>
        </w:rPr>
      </w:pPr>
      <w:r w:rsidRPr="00DC263A">
        <w:rPr>
          <w:rFonts w:cs="Arial"/>
          <w:b/>
          <w:szCs w:val="16"/>
        </w:rPr>
        <w:t>Results indicator</w:t>
      </w:r>
      <w:r w:rsidRPr="00651E83">
        <w:rPr>
          <w:rFonts w:cs="Arial"/>
          <w:szCs w:val="16"/>
        </w:rPr>
        <w:t>: Percent of youth with IEPs</w:t>
      </w:r>
      <w:r>
        <w:rPr>
          <w:rFonts w:cs="Arial"/>
          <w:szCs w:val="16"/>
        </w:rPr>
        <w:t xml:space="preserve"> who exited special education due to</w:t>
      </w:r>
      <w:r w:rsidRPr="00651E83">
        <w:rPr>
          <w:rFonts w:cs="Arial"/>
          <w:szCs w:val="16"/>
        </w:rPr>
        <w:t xml:space="preserve"> dropping out. (20 U.S.C. 1416 (a)(3)(A))</w:t>
      </w:r>
    </w:p>
    <w:p w14:paraId="128CA707" w14:textId="77777777" w:rsidR="00820751" w:rsidRPr="00651E83" w:rsidRDefault="00820751" w:rsidP="00820751">
      <w:pPr>
        <w:pStyle w:val="Subhed"/>
      </w:pPr>
      <w:r w:rsidRPr="00651E83">
        <w:t>Data Source</w:t>
      </w:r>
    </w:p>
    <w:p w14:paraId="38F077C2" w14:textId="77777777" w:rsidR="00820751" w:rsidRPr="00651E83" w:rsidRDefault="00820751" w:rsidP="00820751">
      <w:pPr>
        <w:rPr>
          <w:rFonts w:cs="Arial"/>
          <w:szCs w:val="16"/>
        </w:rPr>
      </w:pPr>
      <w:bookmarkStart w:id="9" w:name="_Hlk51055176"/>
      <w:r w:rsidRPr="00651E83">
        <w:rPr>
          <w:rFonts w:cs="Arial"/>
          <w:szCs w:val="16"/>
        </w:rPr>
        <w:t>Same data as used for reporting to the Department under section 618 of the Individuals with Disabilities Education Act (IDEA), using the definitions in ED</w:t>
      </w:r>
      <w:r w:rsidRPr="00BA3DBE">
        <w:rPr>
          <w:rFonts w:cs="Arial"/>
          <w:i/>
          <w:iCs/>
          <w:szCs w:val="16"/>
        </w:rPr>
        <w:t>Facts</w:t>
      </w:r>
      <w:r w:rsidRPr="00651E83">
        <w:rPr>
          <w:rFonts w:cs="Arial"/>
          <w:szCs w:val="16"/>
        </w:rPr>
        <w:t xml:space="preserve"> file specification FS009.</w:t>
      </w:r>
    </w:p>
    <w:bookmarkEnd w:id="9"/>
    <w:p w14:paraId="36189637" w14:textId="77777777" w:rsidR="00820751" w:rsidRPr="00651E83" w:rsidRDefault="00820751" w:rsidP="00820751">
      <w:pPr>
        <w:pStyle w:val="Subhed"/>
      </w:pPr>
      <w:r w:rsidRPr="00651E83">
        <w:t>Measurement</w:t>
      </w:r>
    </w:p>
    <w:p w14:paraId="68477D3E" w14:textId="77777777" w:rsidR="00820751" w:rsidRPr="00651E83" w:rsidRDefault="00820751" w:rsidP="00820751">
      <w:pPr>
        <w:rPr>
          <w:rFonts w:cs="Arial"/>
          <w:szCs w:val="16"/>
        </w:rPr>
      </w:pPr>
      <w:r w:rsidRPr="00651E83">
        <w:rPr>
          <w:rFonts w:cs="Arial"/>
          <w:szCs w:val="16"/>
        </w:rPr>
        <w:t xml:space="preserve">States must report a percentage using the number of </w:t>
      </w:r>
      <w:proofErr w:type="gramStart"/>
      <w:r w:rsidRPr="00651E83">
        <w:rPr>
          <w:rFonts w:cs="Arial"/>
          <w:szCs w:val="16"/>
        </w:rPr>
        <w:t>youth</w:t>
      </w:r>
      <w:proofErr w:type="gramEnd"/>
      <w:r w:rsidRPr="00651E83">
        <w:rPr>
          <w:rFonts w:cs="Arial"/>
          <w:szCs w:val="16"/>
        </w:rPr>
        <w:t xml:space="preserve"> with IEPs (ages 14-21) who exited special education due to dropping out in the numerator and the number of all youth with IEPs who exited special education (ages 14-21) in the denominator.</w:t>
      </w:r>
    </w:p>
    <w:p w14:paraId="199C9562" w14:textId="77777777" w:rsidR="00820751" w:rsidRPr="00651E83" w:rsidRDefault="00820751" w:rsidP="00820751">
      <w:pPr>
        <w:pStyle w:val="Subhed"/>
      </w:pPr>
      <w:r w:rsidRPr="00651E83">
        <w:t>Instructions</w:t>
      </w:r>
    </w:p>
    <w:p w14:paraId="271B8C9F" w14:textId="77777777" w:rsidR="00820751" w:rsidRPr="00FE4C6C" w:rsidRDefault="00820751" w:rsidP="00820751">
      <w:pPr>
        <w:rPr>
          <w:rFonts w:cs="Arial"/>
          <w:i/>
          <w:iCs/>
          <w:szCs w:val="16"/>
        </w:rPr>
      </w:pPr>
      <w:r w:rsidRPr="00FE4C6C">
        <w:rPr>
          <w:rFonts w:cs="Arial"/>
          <w:i/>
          <w:iCs/>
          <w:szCs w:val="16"/>
        </w:rPr>
        <w:t>Sampling is not allowed.</w:t>
      </w:r>
    </w:p>
    <w:p w14:paraId="66EE7631" w14:textId="68522B6C" w:rsidR="00820751" w:rsidRDefault="00820751" w:rsidP="00820751">
      <w:pPr>
        <w:rPr>
          <w:rFonts w:cs="Arial"/>
          <w:szCs w:val="16"/>
        </w:rPr>
      </w:pPr>
      <w:r w:rsidRPr="00937503">
        <w:rPr>
          <w:rFonts w:cs="Arial"/>
          <w:szCs w:val="16"/>
        </w:rPr>
        <w:t xml:space="preserve">Data for this indicator </w:t>
      </w:r>
      <w:proofErr w:type="gramStart"/>
      <w:r w:rsidRPr="00937503">
        <w:rPr>
          <w:rFonts w:cs="Arial"/>
          <w:szCs w:val="16"/>
        </w:rPr>
        <w:t>are</w:t>
      </w:r>
      <w:proofErr w:type="gramEnd"/>
      <w:r w:rsidRPr="00937503">
        <w:rPr>
          <w:rFonts w:cs="Arial"/>
          <w:szCs w:val="16"/>
        </w:rPr>
        <w:t xml:space="preserve"> “lag” data. Describe the results of the State’s examination </w:t>
      </w:r>
      <w:r w:rsidR="001B2F50">
        <w:rPr>
          <w:rFonts w:cs="Arial"/>
          <w:szCs w:val="16"/>
        </w:rPr>
        <w:t xml:space="preserve">of </w:t>
      </w:r>
      <w:proofErr w:type="gramStart"/>
      <w:r w:rsidR="001B2F50">
        <w:rPr>
          <w:rFonts w:cs="Arial"/>
          <w:szCs w:val="16"/>
        </w:rPr>
        <w:t>the section</w:t>
      </w:r>
      <w:proofErr w:type="gramEnd"/>
      <w:r w:rsidR="001B2F50">
        <w:rPr>
          <w:rFonts w:cs="Arial"/>
          <w:szCs w:val="16"/>
        </w:rPr>
        <w:t xml:space="preserve"> 618 exiting data </w:t>
      </w:r>
      <w:r w:rsidRPr="00937503">
        <w:rPr>
          <w:rFonts w:cs="Arial"/>
          <w:szCs w:val="16"/>
        </w:rPr>
        <w:t>for the year before the reporting year (e.g., for the FFY 2022 SPP/APR, use data from 2021-2022), and compare the results to the target.</w:t>
      </w:r>
    </w:p>
    <w:p w14:paraId="65392C1C" w14:textId="77777777" w:rsidR="00820751" w:rsidRPr="008E308B" w:rsidRDefault="00820751" w:rsidP="00820751">
      <w:pPr>
        <w:rPr>
          <w:rFonts w:cs="Arial"/>
          <w:szCs w:val="16"/>
        </w:rPr>
      </w:pPr>
      <w:r w:rsidRPr="00651E83">
        <w:rPr>
          <w:rFonts w:cs="Arial"/>
          <w:szCs w:val="16"/>
        </w:rPr>
        <w:t>Include in the denominator the following exiting categories: (a) graduated with a regular high school diploma; (b) graduated with a</w:t>
      </w:r>
    </w:p>
    <w:p w14:paraId="5D5E271B" w14:textId="77777777" w:rsidR="00820751" w:rsidRPr="00651E83" w:rsidRDefault="00820751" w:rsidP="00820751">
      <w:pPr>
        <w:rPr>
          <w:rFonts w:cs="Arial"/>
          <w:szCs w:val="16"/>
        </w:rPr>
      </w:pPr>
      <w:r w:rsidRPr="008E308B">
        <w:rPr>
          <w:rFonts w:cs="Arial"/>
          <w:szCs w:val="16"/>
        </w:rPr>
        <w:t xml:space="preserve">state-defined alternate diploma; (c) received a certificate; (d) reached maximum age; or (e) dropped out. </w:t>
      </w:r>
    </w:p>
    <w:p w14:paraId="000F1718" w14:textId="77777777" w:rsidR="00820751" w:rsidRPr="00651E83" w:rsidRDefault="00820751" w:rsidP="00820751">
      <w:pPr>
        <w:rPr>
          <w:rFonts w:cs="Arial"/>
          <w:szCs w:val="16"/>
        </w:rPr>
      </w:pPr>
      <w:r w:rsidRPr="00651E83">
        <w:rPr>
          <w:rFonts w:cs="Arial"/>
          <w:szCs w:val="16"/>
        </w:rPr>
        <w:t>Do not include in the denominator the number of youths with IEPs who exited special education due to: (a) transferring to regular education; or (b) who moved but are known to be continuing in an educational program.</w:t>
      </w:r>
    </w:p>
    <w:p w14:paraId="37EF3DEB" w14:textId="77777777" w:rsidR="00820751" w:rsidRDefault="00820751" w:rsidP="00820751">
      <w:pPr>
        <w:rPr>
          <w:rFonts w:cs="Arial"/>
          <w:szCs w:val="16"/>
        </w:rPr>
      </w:pPr>
      <w:r w:rsidRPr="0019013F">
        <w:rPr>
          <w:rFonts w:cs="Arial"/>
          <w:szCs w:val="16"/>
        </w:rPr>
        <w:t>Provide a narrative that describes what counts as dropping out for all youth. Please explain if there is a difference between what counts as dropping out for all students and what counts as dropping out for students with IEPs.</w:t>
      </w:r>
    </w:p>
    <w:bookmarkEnd w:id="8"/>
    <w:p w14:paraId="7F3C4C70" w14:textId="5E656134" w:rsidR="002C60D5" w:rsidRPr="00781112" w:rsidRDefault="00F914B4" w:rsidP="008645AD">
      <w:pPr>
        <w:pStyle w:val="Heading2"/>
      </w:pPr>
      <w:r w:rsidRPr="00781112">
        <w:t>2</w:t>
      </w:r>
      <w:r w:rsidR="00684B51" w:rsidRPr="00781112">
        <w:t xml:space="preserve"> </w:t>
      </w:r>
      <w:r w:rsidRPr="00781112">
        <w:t xml:space="preserve">- </w:t>
      </w:r>
      <w:r w:rsidR="002C60D5" w:rsidRPr="00781112">
        <w:t>Indicator Data</w:t>
      </w:r>
    </w:p>
    <w:p w14:paraId="6F5DCECF" w14:textId="739F0BA3" w:rsidR="00907A35" w:rsidRPr="00781112" w:rsidRDefault="00907A35" w:rsidP="004369B2">
      <w:pPr>
        <w:rPr>
          <w:b/>
          <w:color w:val="000000" w:themeColor="text1"/>
        </w:rPr>
      </w:pPr>
      <w:r w:rsidRPr="00781112">
        <w:rPr>
          <w:b/>
          <w:color w:val="000000" w:themeColor="text1"/>
        </w:rPr>
        <w:t>Historical Data</w:t>
      </w:r>
    </w:p>
    <w:tbl>
      <w:tblPr>
        <w:tblStyle w:val="TableGrid"/>
        <w:tblW w:w="0" w:type="auto"/>
        <w:tblLayout w:type="fixed"/>
        <w:tblLook w:val="04A0" w:firstRow="1" w:lastRow="0" w:firstColumn="1" w:lastColumn="0" w:noHBand="0" w:noVBand="1"/>
        <w:tblCaption w:val="B02BASELINEDATA"/>
      </w:tblPr>
      <w:tblGrid>
        <w:gridCol w:w="1797"/>
        <w:gridCol w:w="1798"/>
      </w:tblGrid>
      <w:tr w:rsidR="008F3F33" w:rsidRPr="00781112" w14:paraId="628BEDAF" w14:textId="77777777" w:rsidTr="0033429D">
        <w:trPr>
          <w:trHeight w:val="311"/>
          <w:tblHeader/>
        </w:trPr>
        <w:tc>
          <w:tcPr>
            <w:tcW w:w="1797" w:type="dxa"/>
          </w:tcPr>
          <w:p w14:paraId="43FEF78C" w14:textId="77777777" w:rsidR="008F3F33" w:rsidRPr="00781112" w:rsidRDefault="008F3F33" w:rsidP="002B6965">
            <w:pPr>
              <w:jc w:val="center"/>
              <w:rPr>
                <w:b/>
                <w:color w:val="000000" w:themeColor="text1"/>
              </w:rPr>
            </w:pPr>
            <w:r w:rsidRPr="00781112">
              <w:rPr>
                <w:rFonts w:cs="Arial"/>
                <w:b/>
                <w:color w:val="000000" w:themeColor="text1"/>
                <w:szCs w:val="16"/>
              </w:rPr>
              <w:t>Baseline Year</w:t>
            </w:r>
          </w:p>
        </w:tc>
        <w:tc>
          <w:tcPr>
            <w:tcW w:w="1798" w:type="dxa"/>
          </w:tcPr>
          <w:p w14:paraId="276B82F6" w14:textId="77777777" w:rsidR="008F3F33" w:rsidRPr="00781112" w:rsidRDefault="008F3F33" w:rsidP="002B6965">
            <w:pPr>
              <w:jc w:val="center"/>
              <w:rPr>
                <w:b/>
                <w:color w:val="000000" w:themeColor="text1"/>
              </w:rPr>
            </w:pPr>
            <w:r w:rsidRPr="00781112">
              <w:rPr>
                <w:b/>
                <w:color w:val="000000" w:themeColor="text1"/>
              </w:rPr>
              <w:t>Baseline Data</w:t>
            </w:r>
          </w:p>
        </w:tc>
      </w:tr>
      <w:tr w:rsidR="008F3F33" w:rsidRPr="00781112" w14:paraId="4706A01B" w14:textId="77777777" w:rsidTr="0033429D">
        <w:trPr>
          <w:trHeight w:val="311"/>
        </w:trPr>
        <w:tc>
          <w:tcPr>
            <w:tcW w:w="1797" w:type="dxa"/>
            <w:vAlign w:val="center"/>
          </w:tcPr>
          <w:p w14:paraId="2D2A3601" w14:textId="2E05C132" w:rsidR="008F3F33" w:rsidRPr="00781112" w:rsidRDefault="008F3F33" w:rsidP="002B6965">
            <w:pPr>
              <w:jc w:val="center"/>
              <w:rPr>
                <w:bCs/>
                <w:color w:val="000000" w:themeColor="text1"/>
              </w:rPr>
            </w:pPr>
            <w:r w:rsidRPr="00781112">
              <w:rPr>
                <w:bCs/>
                <w:color w:val="000000" w:themeColor="text1"/>
              </w:rPr>
              <w:t>2011</w:t>
            </w:r>
          </w:p>
        </w:tc>
        <w:tc>
          <w:tcPr>
            <w:tcW w:w="1798" w:type="dxa"/>
            <w:vAlign w:val="center"/>
          </w:tcPr>
          <w:p w14:paraId="47669FA0" w14:textId="71ECEF5D" w:rsidR="008F3F33" w:rsidRPr="00781112" w:rsidRDefault="008F3F33" w:rsidP="002B6965">
            <w:pPr>
              <w:jc w:val="center"/>
              <w:rPr>
                <w:bCs/>
                <w:color w:val="000000" w:themeColor="text1"/>
              </w:rPr>
            </w:pPr>
            <w:r w:rsidRPr="00781112">
              <w:rPr>
                <w:bCs/>
                <w:color w:val="000000" w:themeColor="text1"/>
              </w:rPr>
              <w:t>30.02%</w:t>
            </w:r>
          </w:p>
        </w:tc>
      </w:tr>
    </w:tbl>
    <w:p w14:paraId="1D724648" w14:textId="77777777" w:rsidR="008F3F33" w:rsidRPr="00781112" w:rsidRDefault="008F3F33" w:rsidP="004369B2">
      <w:pPr>
        <w:rPr>
          <w:color w:val="000000" w:themeColor="text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B02HISTDATA"/>
      </w:tblPr>
      <w:tblGrid>
        <w:gridCol w:w="1798"/>
        <w:gridCol w:w="1798"/>
        <w:gridCol w:w="1798"/>
        <w:gridCol w:w="1798"/>
        <w:gridCol w:w="1798"/>
        <w:gridCol w:w="1800"/>
      </w:tblGrid>
      <w:tr w:rsidR="005C29F8" w:rsidRPr="00781112" w14:paraId="4B5BBF62" w14:textId="77777777" w:rsidTr="00DF4C35">
        <w:trPr>
          <w:trHeight w:val="350"/>
        </w:trPr>
        <w:tc>
          <w:tcPr>
            <w:tcW w:w="833" w:type="pct"/>
            <w:tcBorders>
              <w:bottom w:val="single" w:sz="4" w:space="0" w:color="auto"/>
            </w:tcBorders>
            <w:shd w:val="clear" w:color="auto" w:fill="auto"/>
          </w:tcPr>
          <w:p w14:paraId="7CE940CD" w14:textId="77777777" w:rsidR="00907A35" w:rsidRPr="00781112" w:rsidRDefault="00907A35" w:rsidP="004369B2">
            <w:pPr>
              <w:jc w:val="center"/>
              <w:rPr>
                <w:b/>
                <w:color w:val="000000" w:themeColor="text1"/>
              </w:rPr>
            </w:pPr>
            <w:r w:rsidRPr="00781112">
              <w:rPr>
                <w:b/>
                <w:color w:val="000000" w:themeColor="text1"/>
              </w:rPr>
              <w:t>FFY</w:t>
            </w:r>
          </w:p>
        </w:tc>
        <w:tc>
          <w:tcPr>
            <w:tcW w:w="833" w:type="pct"/>
            <w:shd w:val="clear" w:color="auto" w:fill="auto"/>
          </w:tcPr>
          <w:p w14:paraId="1B67E69F" w14:textId="56F9072E" w:rsidR="00907A35" w:rsidRPr="00781112" w:rsidRDefault="002B7490" w:rsidP="00894709">
            <w:pPr>
              <w:jc w:val="center"/>
              <w:rPr>
                <w:b/>
                <w:color w:val="000000" w:themeColor="text1"/>
              </w:rPr>
            </w:pPr>
            <w:r w:rsidRPr="00781112">
              <w:rPr>
                <w:b/>
                <w:color w:val="000000" w:themeColor="text1"/>
              </w:rPr>
              <w:t>2017</w:t>
            </w:r>
          </w:p>
        </w:tc>
        <w:tc>
          <w:tcPr>
            <w:tcW w:w="833" w:type="pct"/>
            <w:shd w:val="clear" w:color="auto" w:fill="auto"/>
          </w:tcPr>
          <w:p w14:paraId="7C0715D5" w14:textId="197F633E" w:rsidR="00907A35" w:rsidRPr="00781112" w:rsidRDefault="002B7490" w:rsidP="00894709">
            <w:pPr>
              <w:jc w:val="center"/>
              <w:rPr>
                <w:b/>
                <w:color w:val="000000" w:themeColor="text1"/>
              </w:rPr>
            </w:pPr>
            <w:r w:rsidRPr="00781112">
              <w:rPr>
                <w:b/>
                <w:color w:val="000000" w:themeColor="text1"/>
              </w:rPr>
              <w:t>2018</w:t>
            </w:r>
          </w:p>
        </w:tc>
        <w:tc>
          <w:tcPr>
            <w:tcW w:w="833" w:type="pct"/>
            <w:shd w:val="clear" w:color="auto" w:fill="auto"/>
          </w:tcPr>
          <w:p w14:paraId="36DD95CC" w14:textId="1D95C11E" w:rsidR="00907A35" w:rsidRPr="00781112" w:rsidRDefault="002B7490" w:rsidP="00894709">
            <w:pPr>
              <w:jc w:val="center"/>
              <w:rPr>
                <w:b/>
                <w:color w:val="000000" w:themeColor="text1"/>
              </w:rPr>
            </w:pPr>
            <w:r w:rsidRPr="00781112">
              <w:rPr>
                <w:b/>
                <w:color w:val="000000" w:themeColor="text1"/>
              </w:rPr>
              <w:t>2019</w:t>
            </w:r>
          </w:p>
        </w:tc>
        <w:tc>
          <w:tcPr>
            <w:tcW w:w="833" w:type="pct"/>
            <w:shd w:val="clear" w:color="auto" w:fill="auto"/>
          </w:tcPr>
          <w:p w14:paraId="6DC8920B" w14:textId="560E0E60" w:rsidR="00907A35" w:rsidRPr="00781112" w:rsidRDefault="002B7490" w:rsidP="00894709">
            <w:pPr>
              <w:jc w:val="center"/>
              <w:rPr>
                <w:b/>
                <w:color w:val="000000" w:themeColor="text1"/>
              </w:rPr>
            </w:pPr>
            <w:r w:rsidRPr="00781112">
              <w:rPr>
                <w:b/>
                <w:color w:val="000000" w:themeColor="text1"/>
              </w:rPr>
              <w:t>2020</w:t>
            </w:r>
          </w:p>
        </w:tc>
        <w:tc>
          <w:tcPr>
            <w:tcW w:w="834" w:type="pct"/>
            <w:shd w:val="clear" w:color="auto" w:fill="auto"/>
          </w:tcPr>
          <w:p w14:paraId="42978F28" w14:textId="43280835" w:rsidR="00907A35" w:rsidRPr="00781112" w:rsidRDefault="002B7490" w:rsidP="00894709">
            <w:pPr>
              <w:jc w:val="center"/>
              <w:rPr>
                <w:b/>
                <w:color w:val="000000" w:themeColor="text1"/>
              </w:rPr>
            </w:pPr>
            <w:r w:rsidRPr="00781112">
              <w:rPr>
                <w:b/>
                <w:color w:val="000000" w:themeColor="text1"/>
              </w:rPr>
              <w:t>2021</w:t>
            </w:r>
          </w:p>
        </w:tc>
      </w:tr>
      <w:tr w:rsidR="005C29F8" w:rsidRPr="00781112" w14:paraId="58F3D93E" w14:textId="77777777" w:rsidTr="00DF4C35">
        <w:trPr>
          <w:trHeight w:val="357"/>
        </w:trPr>
        <w:tc>
          <w:tcPr>
            <w:tcW w:w="833" w:type="pct"/>
            <w:shd w:val="clear" w:color="auto" w:fill="auto"/>
            <w:vAlign w:val="center"/>
          </w:tcPr>
          <w:p w14:paraId="19C9E1E1" w14:textId="72240B64" w:rsidR="00907A35" w:rsidRPr="00781112" w:rsidRDefault="00907A35" w:rsidP="00BA3DBE">
            <w:pPr>
              <w:jc w:val="center"/>
              <w:rPr>
                <w:rFonts w:cs="Arial"/>
                <w:color w:val="000000" w:themeColor="text1"/>
                <w:szCs w:val="16"/>
              </w:rPr>
            </w:pPr>
            <w:r w:rsidRPr="00781112">
              <w:rPr>
                <w:rFonts w:cs="Arial"/>
                <w:color w:val="000000" w:themeColor="text1"/>
                <w:szCs w:val="16"/>
              </w:rPr>
              <w:t xml:space="preserve">Target </w:t>
            </w:r>
            <w:r w:rsidR="0051170F" w:rsidRPr="00781112">
              <w:rPr>
                <w:rFonts w:cs="Arial"/>
                <w:color w:val="000000" w:themeColor="text1"/>
                <w:szCs w:val="16"/>
                <w:shd w:val="clear" w:color="auto" w:fill="FFFFFF"/>
              </w:rPr>
              <w:t>&lt;=</w:t>
            </w:r>
          </w:p>
        </w:tc>
        <w:tc>
          <w:tcPr>
            <w:tcW w:w="833" w:type="pct"/>
            <w:shd w:val="clear" w:color="auto" w:fill="auto"/>
            <w:vAlign w:val="center"/>
          </w:tcPr>
          <w:p w14:paraId="70EB2EF4" w14:textId="3E0F0873" w:rsidR="00907A35" w:rsidRPr="00781112" w:rsidRDefault="002B7490" w:rsidP="00E0321D">
            <w:pPr>
              <w:jc w:val="center"/>
              <w:rPr>
                <w:rFonts w:cs="Arial"/>
                <w:color w:val="000000" w:themeColor="text1"/>
                <w:szCs w:val="16"/>
              </w:rPr>
            </w:pPr>
            <w:r w:rsidRPr="00781112">
              <w:rPr>
                <w:rFonts w:cs="Arial"/>
                <w:color w:val="000000" w:themeColor="text1"/>
                <w:szCs w:val="16"/>
              </w:rPr>
              <w:t>24.20%</w:t>
            </w:r>
          </w:p>
        </w:tc>
        <w:tc>
          <w:tcPr>
            <w:tcW w:w="833" w:type="pct"/>
            <w:shd w:val="clear" w:color="auto" w:fill="auto"/>
            <w:vAlign w:val="center"/>
          </w:tcPr>
          <w:p w14:paraId="09754C04" w14:textId="6AA1C908" w:rsidR="00907A35" w:rsidRPr="00781112" w:rsidRDefault="002B7490" w:rsidP="00E0321D">
            <w:pPr>
              <w:jc w:val="center"/>
              <w:rPr>
                <w:rFonts w:cs="Arial"/>
                <w:color w:val="000000" w:themeColor="text1"/>
                <w:szCs w:val="16"/>
              </w:rPr>
            </w:pPr>
            <w:r w:rsidRPr="00781112">
              <w:rPr>
                <w:rFonts w:cs="Arial"/>
                <w:color w:val="000000" w:themeColor="text1"/>
                <w:szCs w:val="16"/>
              </w:rPr>
              <w:t>23.20%</w:t>
            </w:r>
          </w:p>
        </w:tc>
        <w:tc>
          <w:tcPr>
            <w:tcW w:w="833" w:type="pct"/>
            <w:shd w:val="clear" w:color="auto" w:fill="auto"/>
            <w:vAlign w:val="center"/>
          </w:tcPr>
          <w:p w14:paraId="73F1F537" w14:textId="213B7CF6" w:rsidR="00907A35" w:rsidRPr="00781112" w:rsidRDefault="002B7490" w:rsidP="00E0321D">
            <w:pPr>
              <w:jc w:val="center"/>
              <w:rPr>
                <w:rFonts w:cs="Arial"/>
                <w:color w:val="000000" w:themeColor="text1"/>
                <w:szCs w:val="16"/>
              </w:rPr>
            </w:pPr>
            <w:r w:rsidRPr="00781112">
              <w:rPr>
                <w:rFonts w:cs="Arial"/>
                <w:color w:val="000000" w:themeColor="text1"/>
                <w:szCs w:val="16"/>
              </w:rPr>
              <w:t>23.20%</w:t>
            </w:r>
          </w:p>
        </w:tc>
        <w:tc>
          <w:tcPr>
            <w:tcW w:w="833" w:type="pct"/>
            <w:shd w:val="clear" w:color="auto" w:fill="auto"/>
            <w:vAlign w:val="center"/>
          </w:tcPr>
          <w:p w14:paraId="24592EED" w14:textId="5BE30DC5" w:rsidR="00907A35" w:rsidRPr="00781112" w:rsidRDefault="002B7490" w:rsidP="00E0321D">
            <w:pPr>
              <w:jc w:val="center"/>
              <w:rPr>
                <w:rFonts w:cs="Arial"/>
                <w:color w:val="000000" w:themeColor="text1"/>
                <w:szCs w:val="16"/>
              </w:rPr>
            </w:pPr>
            <w:r w:rsidRPr="00781112">
              <w:rPr>
                <w:rFonts w:cs="Arial"/>
                <w:color w:val="000000" w:themeColor="text1"/>
                <w:szCs w:val="16"/>
              </w:rPr>
              <w:t>18.75%</w:t>
            </w:r>
          </w:p>
        </w:tc>
        <w:tc>
          <w:tcPr>
            <w:tcW w:w="834" w:type="pct"/>
            <w:shd w:val="clear" w:color="auto" w:fill="auto"/>
            <w:vAlign w:val="center"/>
          </w:tcPr>
          <w:p w14:paraId="0C69FBF7" w14:textId="5FED7341" w:rsidR="00907A35" w:rsidRPr="00781112" w:rsidRDefault="002B7490" w:rsidP="00E0321D">
            <w:pPr>
              <w:jc w:val="center"/>
              <w:rPr>
                <w:rFonts w:cs="Arial"/>
                <w:color w:val="000000" w:themeColor="text1"/>
                <w:szCs w:val="16"/>
              </w:rPr>
            </w:pPr>
            <w:r w:rsidRPr="00781112">
              <w:rPr>
                <w:rFonts w:cs="Arial"/>
                <w:color w:val="000000" w:themeColor="text1"/>
                <w:szCs w:val="16"/>
              </w:rPr>
              <w:t>18.75%</w:t>
            </w:r>
          </w:p>
        </w:tc>
      </w:tr>
      <w:tr w:rsidR="005C29F8" w:rsidRPr="00781112" w14:paraId="06558B7E" w14:textId="77777777" w:rsidTr="00DF4C35">
        <w:trPr>
          <w:trHeight w:val="85"/>
        </w:trPr>
        <w:tc>
          <w:tcPr>
            <w:tcW w:w="833" w:type="pct"/>
            <w:shd w:val="clear" w:color="auto" w:fill="auto"/>
            <w:vAlign w:val="center"/>
          </w:tcPr>
          <w:p w14:paraId="1DE2074D" w14:textId="77777777" w:rsidR="00907A35" w:rsidRPr="00781112" w:rsidRDefault="00907A35" w:rsidP="00BA3DBE">
            <w:pPr>
              <w:jc w:val="center"/>
              <w:rPr>
                <w:rFonts w:cs="Arial"/>
                <w:color w:val="000000" w:themeColor="text1"/>
                <w:szCs w:val="16"/>
              </w:rPr>
            </w:pPr>
            <w:r w:rsidRPr="00781112">
              <w:rPr>
                <w:rFonts w:cs="Arial"/>
                <w:color w:val="000000" w:themeColor="text1"/>
                <w:szCs w:val="16"/>
              </w:rPr>
              <w:t>Data</w:t>
            </w:r>
          </w:p>
        </w:tc>
        <w:tc>
          <w:tcPr>
            <w:tcW w:w="833" w:type="pct"/>
            <w:shd w:val="clear" w:color="auto" w:fill="auto"/>
            <w:vAlign w:val="center"/>
          </w:tcPr>
          <w:p w14:paraId="033EDE68" w14:textId="28E51F4E" w:rsidR="00907A35" w:rsidRPr="00781112" w:rsidRDefault="002B7490" w:rsidP="00E0321D">
            <w:pPr>
              <w:jc w:val="center"/>
              <w:rPr>
                <w:rFonts w:cs="Arial"/>
                <w:color w:val="000000" w:themeColor="text1"/>
                <w:szCs w:val="16"/>
              </w:rPr>
            </w:pPr>
            <w:r w:rsidRPr="00781112">
              <w:rPr>
                <w:rFonts w:cs="Arial"/>
                <w:color w:val="000000" w:themeColor="text1"/>
                <w:szCs w:val="16"/>
              </w:rPr>
              <w:t>22.13%</w:t>
            </w:r>
          </w:p>
        </w:tc>
        <w:tc>
          <w:tcPr>
            <w:tcW w:w="833" w:type="pct"/>
            <w:shd w:val="clear" w:color="auto" w:fill="auto"/>
            <w:vAlign w:val="center"/>
          </w:tcPr>
          <w:p w14:paraId="1DE6EF8F" w14:textId="2C6399B2" w:rsidR="00907A35" w:rsidRPr="00781112" w:rsidRDefault="002B7490" w:rsidP="00E0321D">
            <w:pPr>
              <w:jc w:val="center"/>
              <w:rPr>
                <w:rFonts w:cs="Arial"/>
                <w:color w:val="000000" w:themeColor="text1"/>
                <w:szCs w:val="16"/>
              </w:rPr>
            </w:pPr>
            <w:r w:rsidRPr="00781112">
              <w:rPr>
                <w:rFonts w:cs="Arial"/>
                <w:color w:val="000000" w:themeColor="text1"/>
                <w:szCs w:val="16"/>
              </w:rPr>
              <w:t>22.17%</w:t>
            </w:r>
          </w:p>
        </w:tc>
        <w:tc>
          <w:tcPr>
            <w:tcW w:w="833" w:type="pct"/>
            <w:tcBorders>
              <w:bottom w:val="single" w:sz="4" w:space="0" w:color="auto"/>
            </w:tcBorders>
            <w:shd w:val="clear" w:color="auto" w:fill="auto"/>
            <w:vAlign w:val="center"/>
          </w:tcPr>
          <w:p w14:paraId="3F810822" w14:textId="70D15FEC" w:rsidR="00907A35" w:rsidRPr="00781112" w:rsidRDefault="002B7490" w:rsidP="00E0321D">
            <w:pPr>
              <w:jc w:val="center"/>
              <w:rPr>
                <w:rFonts w:cs="Arial"/>
                <w:color w:val="000000" w:themeColor="text1"/>
                <w:szCs w:val="16"/>
              </w:rPr>
            </w:pPr>
            <w:r w:rsidRPr="00781112">
              <w:rPr>
                <w:rFonts w:cs="Arial"/>
                <w:color w:val="000000" w:themeColor="text1"/>
                <w:szCs w:val="16"/>
              </w:rPr>
              <w:t>19.43%</w:t>
            </w:r>
          </w:p>
        </w:tc>
        <w:tc>
          <w:tcPr>
            <w:tcW w:w="833" w:type="pct"/>
            <w:tcBorders>
              <w:bottom w:val="single" w:sz="4" w:space="0" w:color="auto"/>
            </w:tcBorders>
            <w:shd w:val="clear" w:color="auto" w:fill="auto"/>
            <w:vAlign w:val="center"/>
          </w:tcPr>
          <w:p w14:paraId="5421E042" w14:textId="6AE010E9" w:rsidR="00907A35" w:rsidRPr="00781112" w:rsidRDefault="002B7490" w:rsidP="00E0321D">
            <w:pPr>
              <w:jc w:val="center"/>
              <w:rPr>
                <w:rFonts w:cs="Arial"/>
                <w:color w:val="000000" w:themeColor="text1"/>
                <w:szCs w:val="16"/>
              </w:rPr>
            </w:pPr>
            <w:r w:rsidRPr="00781112">
              <w:rPr>
                <w:rFonts w:cs="Arial"/>
                <w:color w:val="000000" w:themeColor="text1"/>
                <w:szCs w:val="16"/>
              </w:rPr>
              <w:t>18.75%</w:t>
            </w:r>
          </w:p>
        </w:tc>
        <w:tc>
          <w:tcPr>
            <w:tcW w:w="834" w:type="pct"/>
            <w:tcBorders>
              <w:bottom w:val="single" w:sz="4" w:space="0" w:color="auto"/>
            </w:tcBorders>
            <w:shd w:val="clear" w:color="auto" w:fill="auto"/>
            <w:vAlign w:val="center"/>
          </w:tcPr>
          <w:p w14:paraId="32A53100" w14:textId="125B9065" w:rsidR="00907A35" w:rsidRPr="00781112" w:rsidRDefault="002B7490" w:rsidP="00E0321D">
            <w:pPr>
              <w:jc w:val="center"/>
              <w:rPr>
                <w:rFonts w:cs="Arial"/>
                <w:color w:val="000000" w:themeColor="text1"/>
                <w:szCs w:val="16"/>
              </w:rPr>
            </w:pPr>
            <w:r w:rsidRPr="00781112">
              <w:rPr>
                <w:rFonts w:cs="Arial"/>
                <w:color w:val="000000" w:themeColor="text1"/>
                <w:szCs w:val="16"/>
              </w:rPr>
              <w:t>16.08%</w:t>
            </w:r>
          </w:p>
        </w:tc>
      </w:tr>
    </w:tbl>
    <w:p w14:paraId="2E8ED284" w14:textId="77777777" w:rsidR="00654A4B" w:rsidRPr="00781112" w:rsidRDefault="00654A4B" w:rsidP="004369B2">
      <w:pPr>
        <w:rPr>
          <w:color w:val="000000" w:themeColor="text1"/>
        </w:rPr>
      </w:pPr>
    </w:p>
    <w:p w14:paraId="1AD526FC" w14:textId="0D130AB7" w:rsidR="00907A35" w:rsidRPr="00781112" w:rsidRDefault="00907A35" w:rsidP="004369B2">
      <w:pPr>
        <w:rPr>
          <w:color w:val="000000" w:themeColor="text1"/>
        </w:rPr>
      </w:pPr>
      <w:r w:rsidRPr="00781112">
        <w:rPr>
          <w:b/>
          <w:color w:val="000000" w:themeColor="text1"/>
        </w:rPr>
        <w:t>Targets</w:t>
      </w:r>
    </w:p>
    <w:tbl>
      <w:tblPr>
        <w:tblW w:w="34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B02TARGETS"/>
      </w:tblPr>
      <w:tblGrid>
        <w:gridCol w:w="733"/>
        <w:gridCol w:w="1677"/>
        <w:gridCol w:w="1677"/>
        <w:gridCol w:w="1677"/>
        <w:gridCol w:w="1675"/>
      </w:tblGrid>
      <w:tr w:rsidR="00BE7AF0" w:rsidRPr="00781112" w14:paraId="029A4CCE" w14:textId="7CD6FC1B" w:rsidTr="001A31FD">
        <w:trPr>
          <w:trHeight w:val="378"/>
        </w:trPr>
        <w:tc>
          <w:tcPr>
            <w:tcW w:w="493" w:type="pct"/>
            <w:tcBorders>
              <w:bottom w:val="single" w:sz="4" w:space="0" w:color="auto"/>
            </w:tcBorders>
            <w:shd w:val="clear" w:color="auto" w:fill="auto"/>
          </w:tcPr>
          <w:p w14:paraId="7E454C96" w14:textId="77777777" w:rsidR="00BE7AF0" w:rsidRPr="00781112" w:rsidRDefault="00BE7AF0" w:rsidP="00373F78">
            <w:pPr>
              <w:jc w:val="center"/>
              <w:rPr>
                <w:b/>
                <w:color w:val="000000" w:themeColor="text1"/>
              </w:rPr>
            </w:pPr>
            <w:r w:rsidRPr="00781112">
              <w:rPr>
                <w:b/>
                <w:color w:val="000000" w:themeColor="text1"/>
              </w:rPr>
              <w:t>FFY</w:t>
            </w:r>
          </w:p>
        </w:tc>
        <w:tc>
          <w:tcPr>
            <w:tcW w:w="1127" w:type="pct"/>
            <w:shd w:val="clear" w:color="auto" w:fill="auto"/>
            <w:vAlign w:val="center"/>
          </w:tcPr>
          <w:p w14:paraId="43981BCA" w14:textId="46BADE94" w:rsidR="00BE7AF0" w:rsidRPr="00781112" w:rsidRDefault="00BE7AF0" w:rsidP="00373F78">
            <w:pPr>
              <w:jc w:val="center"/>
              <w:rPr>
                <w:b/>
                <w:color w:val="000000" w:themeColor="text1"/>
              </w:rPr>
            </w:pPr>
            <w:r w:rsidRPr="00781112">
              <w:rPr>
                <w:b/>
                <w:color w:val="000000" w:themeColor="text1"/>
              </w:rPr>
              <w:t>2022</w:t>
            </w:r>
          </w:p>
        </w:tc>
        <w:tc>
          <w:tcPr>
            <w:tcW w:w="1127" w:type="pct"/>
          </w:tcPr>
          <w:p w14:paraId="5E92A3B3" w14:textId="014BC7EC" w:rsidR="00BE7AF0" w:rsidRPr="00781112" w:rsidRDefault="00BE7AF0" w:rsidP="00373F78">
            <w:pPr>
              <w:jc w:val="center"/>
              <w:rPr>
                <w:b/>
                <w:color w:val="000000" w:themeColor="text1"/>
              </w:rPr>
            </w:pPr>
            <w:r w:rsidRPr="00781112">
              <w:rPr>
                <w:rFonts w:cs="Arial"/>
                <w:b/>
                <w:color w:val="000000" w:themeColor="text1"/>
                <w:szCs w:val="16"/>
              </w:rPr>
              <w:t>2023</w:t>
            </w:r>
          </w:p>
        </w:tc>
        <w:tc>
          <w:tcPr>
            <w:tcW w:w="1127" w:type="pct"/>
          </w:tcPr>
          <w:p w14:paraId="3A9EE8AA" w14:textId="53416CB2" w:rsidR="00BE7AF0" w:rsidRPr="00781112" w:rsidRDefault="00BE7AF0" w:rsidP="00373F78">
            <w:pPr>
              <w:jc w:val="center"/>
              <w:rPr>
                <w:b/>
                <w:color w:val="000000" w:themeColor="text1"/>
              </w:rPr>
            </w:pPr>
            <w:r w:rsidRPr="00781112">
              <w:rPr>
                <w:rFonts w:cs="Arial"/>
                <w:b/>
                <w:color w:val="000000" w:themeColor="text1"/>
                <w:szCs w:val="16"/>
              </w:rPr>
              <w:t>2024</w:t>
            </w:r>
          </w:p>
        </w:tc>
        <w:tc>
          <w:tcPr>
            <w:tcW w:w="1127" w:type="pct"/>
          </w:tcPr>
          <w:p w14:paraId="7D50850A" w14:textId="0FF3B8D7" w:rsidR="00BE7AF0" w:rsidRPr="00781112" w:rsidRDefault="00BE7AF0" w:rsidP="00373F78">
            <w:pPr>
              <w:jc w:val="center"/>
              <w:rPr>
                <w:b/>
                <w:color w:val="000000" w:themeColor="text1"/>
              </w:rPr>
            </w:pPr>
            <w:r w:rsidRPr="00781112">
              <w:rPr>
                <w:rFonts w:cs="Arial"/>
                <w:b/>
                <w:color w:val="000000" w:themeColor="text1"/>
                <w:szCs w:val="16"/>
              </w:rPr>
              <w:t>2025</w:t>
            </w:r>
          </w:p>
        </w:tc>
      </w:tr>
      <w:tr w:rsidR="00BE7AF0" w:rsidRPr="00781112" w14:paraId="74AFE5A4" w14:textId="4CB3606D" w:rsidTr="001A31FD">
        <w:trPr>
          <w:trHeight w:val="386"/>
        </w:trPr>
        <w:tc>
          <w:tcPr>
            <w:tcW w:w="493" w:type="pct"/>
            <w:shd w:val="clear" w:color="auto" w:fill="auto"/>
            <w:vAlign w:val="center"/>
          </w:tcPr>
          <w:p w14:paraId="74812D09" w14:textId="3A67082C" w:rsidR="00BE7AF0" w:rsidRPr="00781112" w:rsidRDefault="00BE7AF0" w:rsidP="00BA3DBE">
            <w:pPr>
              <w:jc w:val="center"/>
              <w:rPr>
                <w:rFonts w:cs="Arial"/>
                <w:color w:val="000000" w:themeColor="text1"/>
                <w:szCs w:val="16"/>
              </w:rPr>
            </w:pPr>
            <w:r w:rsidRPr="00781112">
              <w:rPr>
                <w:rFonts w:cs="Arial"/>
                <w:color w:val="000000" w:themeColor="text1"/>
                <w:szCs w:val="16"/>
              </w:rPr>
              <w:t>Target &lt;=</w:t>
            </w:r>
          </w:p>
        </w:tc>
        <w:tc>
          <w:tcPr>
            <w:tcW w:w="1127" w:type="pct"/>
            <w:shd w:val="clear" w:color="auto" w:fill="auto"/>
            <w:vAlign w:val="center"/>
          </w:tcPr>
          <w:p w14:paraId="1AA9A6F0" w14:textId="23F8F955" w:rsidR="00BE7AF0" w:rsidRPr="00781112" w:rsidRDefault="00BE7AF0" w:rsidP="00373F78">
            <w:pPr>
              <w:jc w:val="center"/>
              <w:rPr>
                <w:rFonts w:cs="Arial"/>
                <w:color w:val="000000" w:themeColor="text1"/>
                <w:szCs w:val="16"/>
              </w:rPr>
            </w:pPr>
            <w:r w:rsidRPr="00781112">
              <w:rPr>
                <w:rFonts w:cs="Arial"/>
                <w:color w:val="000000" w:themeColor="text1"/>
                <w:szCs w:val="16"/>
              </w:rPr>
              <w:t>16.67%</w:t>
            </w:r>
          </w:p>
        </w:tc>
        <w:tc>
          <w:tcPr>
            <w:tcW w:w="1127" w:type="pct"/>
          </w:tcPr>
          <w:p w14:paraId="1887156F" w14:textId="2A53DFD8" w:rsidR="00BE7AF0" w:rsidRPr="00781112" w:rsidRDefault="00BE7AF0" w:rsidP="00373F78">
            <w:pPr>
              <w:jc w:val="center"/>
              <w:rPr>
                <w:rFonts w:cs="Arial"/>
                <w:color w:val="000000" w:themeColor="text1"/>
                <w:szCs w:val="16"/>
              </w:rPr>
            </w:pPr>
            <w:r w:rsidRPr="00781112">
              <w:rPr>
                <w:color w:val="000000" w:themeColor="text1"/>
                <w:szCs w:val="16"/>
              </w:rPr>
              <w:t>16.67%</w:t>
            </w:r>
          </w:p>
        </w:tc>
        <w:tc>
          <w:tcPr>
            <w:tcW w:w="1127" w:type="pct"/>
          </w:tcPr>
          <w:p w14:paraId="114E0304" w14:textId="3D4B66CA" w:rsidR="00BE7AF0" w:rsidRPr="00781112" w:rsidRDefault="00BE7AF0" w:rsidP="00373F78">
            <w:pPr>
              <w:jc w:val="center"/>
              <w:rPr>
                <w:rFonts w:cs="Arial"/>
                <w:color w:val="000000" w:themeColor="text1"/>
                <w:szCs w:val="16"/>
              </w:rPr>
            </w:pPr>
            <w:r w:rsidRPr="00781112">
              <w:rPr>
                <w:color w:val="000000" w:themeColor="text1"/>
                <w:szCs w:val="16"/>
              </w:rPr>
              <w:t>14.59%</w:t>
            </w:r>
          </w:p>
        </w:tc>
        <w:tc>
          <w:tcPr>
            <w:tcW w:w="1127" w:type="pct"/>
          </w:tcPr>
          <w:p w14:paraId="78D67310" w14:textId="6B7563FE" w:rsidR="00BE7AF0" w:rsidRPr="00781112" w:rsidRDefault="00BE7AF0" w:rsidP="00373F78">
            <w:pPr>
              <w:jc w:val="center"/>
              <w:rPr>
                <w:rFonts w:cs="Arial"/>
                <w:color w:val="000000" w:themeColor="text1"/>
                <w:szCs w:val="16"/>
              </w:rPr>
            </w:pPr>
            <w:r w:rsidRPr="00781112">
              <w:rPr>
                <w:color w:val="000000" w:themeColor="text1"/>
                <w:szCs w:val="16"/>
              </w:rPr>
              <w:t>14.59%</w:t>
            </w:r>
          </w:p>
        </w:tc>
      </w:tr>
    </w:tbl>
    <w:p w14:paraId="23C212C7" w14:textId="54B31D84" w:rsidR="002D145D" w:rsidRPr="00781112" w:rsidRDefault="002D145D">
      <w:pPr>
        <w:rPr>
          <w:b/>
          <w:color w:val="000000" w:themeColor="text1"/>
        </w:rPr>
      </w:pPr>
      <w:r w:rsidRPr="00781112">
        <w:rPr>
          <w:b/>
          <w:color w:val="000000" w:themeColor="text1"/>
        </w:rPr>
        <w:t>Targets: Description of Stakeholder Input</w:t>
      </w:r>
    </w:p>
    <w:p w14:paraId="1646393A" w14:textId="2F9E8E4A" w:rsidR="002D145D" w:rsidRPr="00781112" w:rsidRDefault="002B7490" w:rsidP="002D145D">
      <w:pPr>
        <w:rPr>
          <w:rFonts w:cs="Arial"/>
          <w:color w:val="000000" w:themeColor="text1"/>
          <w:szCs w:val="16"/>
        </w:rPr>
      </w:pPr>
      <w:r w:rsidRPr="00781112">
        <w:rPr>
          <w:rFonts w:cs="Arial"/>
          <w:color w:val="000000" w:themeColor="text1"/>
          <w:szCs w:val="16"/>
        </w:rPr>
        <w:t>For FFY 2022, to engage parents around secondary transition topics that influence Indicators 1, 2, 13, and 14, CDE added four additional training modules to address the needs of families and district personnel. A total of ten modules have been developed. Each online training session was attended by 15-20 parents.</w:t>
      </w:r>
      <w:r w:rsidRPr="00781112">
        <w:rPr>
          <w:rFonts w:cs="Arial"/>
          <w:color w:val="000000" w:themeColor="text1"/>
          <w:szCs w:val="16"/>
        </w:rPr>
        <w:br/>
        <w:t>7. Analyze a Transition IEP</w:t>
      </w:r>
      <w:r w:rsidRPr="00781112">
        <w:rPr>
          <w:rFonts w:cs="Arial"/>
          <w:color w:val="000000" w:themeColor="text1"/>
          <w:szCs w:val="16"/>
        </w:rPr>
        <w:br/>
        <w:t>8. PSGs Career/College Planning</w:t>
      </w:r>
      <w:r w:rsidRPr="00781112">
        <w:rPr>
          <w:rFonts w:cs="Arial"/>
          <w:color w:val="000000" w:themeColor="text1"/>
          <w:szCs w:val="16"/>
        </w:rPr>
        <w:br/>
        <w:t>9. Planning and Preparing Parents to Manage Adult Services</w:t>
      </w:r>
      <w:r w:rsidRPr="00781112">
        <w:rPr>
          <w:rFonts w:cs="Arial"/>
          <w:color w:val="000000" w:themeColor="text1"/>
          <w:szCs w:val="16"/>
        </w:rPr>
        <w:br/>
        <w:t>10. Parent Panel</w:t>
      </w:r>
      <w:r w:rsidRPr="00781112">
        <w:rPr>
          <w:rFonts w:cs="Arial"/>
          <w:color w:val="000000" w:themeColor="text1"/>
          <w:szCs w:val="16"/>
        </w:rPr>
        <w:br/>
      </w:r>
      <w:r w:rsidRPr="00781112">
        <w:rPr>
          <w:rFonts w:cs="Arial"/>
          <w:color w:val="000000" w:themeColor="text1"/>
          <w:szCs w:val="16"/>
        </w:rPr>
        <w:br/>
        <w:t>All sessions were recorded, will be closed captioned, and added to the CDE website along with accessible resources for parents to add to their toolkit. Parents will be pulled together in the Spring for additional discussions to further explore current needs.</w:t>
      </w:r>
      <w:r w:rsidRPr="00781112">
        <w:rPr>
          <w:rFonts w:cs="Arial"/>
          <w:color w:val="000000" w:themeColor="text1"/>
          <w:szCs w:val="16"/>
        </w:rPr>
        <w:br/>
      </w:r>
      <w:r w:rsidRPr="00781112">
        <w:rPr>
          <w:rFonts w:cs="Arial"/>
          <w:color w:val="000000" w:themeColor="text1"/>
          <w:szCs w:val="16"/>
        </w:rPr>
        <w:br/>
        <w:t xml:space="preserve">For FFY 2021, to engage parents around secondary transition topics that influence Indicators 1, 2, 13, and 14, CDE conducted parent focus groups to determine parent training needs, develop trainings to address needs for families and school district personnel. </w:t>
      </w:r>
      <w:r w:rsidRPr="00781112">
        <w:rPr>
          <w:rFonts w:cs="Arial"/>
          <w:color w:val="000000" w:themeColor="text1"/>
          <w:szCs w:val="16"/>
        </w:rPr>
        <w:br/>
      </w:r>
      <w:r w:rsidRPr="00781112">
        <w:rPr>
          <w:rFonts w:cs="Arial"/>
          <w:color w:val="000000" w:themeColor="text1"/>
          <w:szCs w:val="16"/>
        </w:rPr>
        <w:br/>
        <w:t>Four parent focus groups were held to determine parent training needs: one specifically for Spanish-speaking families.</w:t>
      </w:r>
      <w:r w:rsidRPr="00781112">
        <w:rPr>
          <w:rFonts w:cs="Arial"/>
          <w:color w:val="000000" w:themeColor="text1"/>
          <w:szCs w:val="16"/>
        </w:rPr>
        <w:br/>
      </w:r>
      <w:r w:rsidRPr="00781112">
        <w:rPr>
          <w:rFonts w:cs="Arial"/>
          <w:color w:val="000000" w:themeColor="text1"/>
          <w:szCs w:val="16"/>
        </w:rPr>
        <w:br/>
        <w:t xml:space="preserve">A series of six training modules were developed and made available to parents. </w:t>
      </w:r>
      <w:r w:rsidRPr="00781112">
        <w:rPr>
          <w:rFonts w:cs="Arial"/>
          <w:color w:val="000000" w:themeColor="text1"/>
          <w:szCs w:val="16"/>
        </w:rPr>
        <w:br/>
        <w:t xml:space="preserve">Topics included: </w:t>
      </w:r>
      <w:r w:rsidRPr="00781112">
        <w:rPr>
          <w:rFonts w:cs="Arial"/>
          <w:color w:val="000000" w:themeColor="text1"/>
          <w:szCs w:val="16"/>
        </w:rPr>
        <w:br/>
        <w:t xml:space="preserve">1. What is transition planning? </w:t>
      </w:r>
      <w:r w:rsidRPr="00781112">
        <w:rPr>
          <w:rFonts w:cs="Arial"/>
          <w:color w:val="000000" w:themeColor="text1"/>
          <w:szCs w:val="16"/>
        </w:rPr>
        <w:br/>
        <w:t xml:space="preserve">2. Who helps students reach their goals? </w:t>
      </w:r>
      <w:r w:rsidRPr="00781112">
        <w:rPr>
          <w:rFonts w:cs="Arial"/>
          <w:color w:val="000000" w:themeColor="text1"/>
          <w:szCs w:val="16"/>
        </w:rPr>
        <w:br/>
        <w:t xml:space="preserve">3. What are 18-21 services? </w:t>
      </w:r>
      <w:r w:rsidRPr="00781112">
        <w:rPr>
          <w:rFonts w:cs="Arial"/>
          <w:color w:val="000000" w:themeColor="text1"/>
          <w:szCs w:val="16"/>
        </w:rPr>
        <w:br/>
        <w:t xml:space="preserve">4. Education </w:t>
      </w:r>
      <w:r w:rsidRPr="00781112">
        <w:rPr>
          <w:rFonts w:cs="Arial"/>
          <w:color w:val="000000" w:themeColor="text1"/>
          <w:szCs w:val="16"/>
        </w:rPr>
        <w:br/>
        <w:t xml:space="preserve">5. Employment </w:t>
      </w:r>
      <w:r w:rsidRPr="00781112">
        <w:rPr>
          <w:rFonts w:cs="Arial"/>
          <w:color w:val="000000" w:themeColor="text1"/>
          <w:szCs w:val="16"/>
        </w:rPr>
        <w:br/>
        <w:t xml:space="preserve">6. Success Stories </w:t>
      </w:r>
      <w:r w:rsidRPr="00781112">
        <w:rPr>
          <w:rFonts w:cs="Arial"/>
          <w:color w:val="000000" w:themeColor="text1"/>
          <w:szCs w:val="16"/>
        </w:rPr>
        <w:br/>
      </w:r>
      <w:r w:rsidRPr="00781112">
        <w:rPr>
          <w:rFonts w:cs="Arial"/>
          <w:color w:val="000000" w:themeColor="text1"/>
          <w:szCs w:val="16"/>
        </w:rPr>
        <w:br/>
        <w:t>For FFY 2020, the following mechanisms were used to gather broad stakeholder input:</w:t>
      </w:r>
      <w:r w:rsidRPr="00781112">
        <w:rPr>
          <w:rFonts w:cs="Arial"/>
          <w:color w:val="000000" w:themeColor="text1"/>
          <w:szCs w:val="16"/>
        </w:rPr>
        <w:br/>
      </w:r>
      <w:r w:rsidRPr="00781112">
        <w:rPr>
          <w:rFonts w:cs="Arial"/>
          <w:color w:val="000000" w:themeColor="text1"/>
          <w:szCs w:val="16"/>
        </w:rPr>
        <w:br/>
        <w:t>Identified CDE internal stakeholders and content experts for each indicator:</w:t>
      </w:r>
      <w:r w:rsidRPr="00781112">
        <w:rPr>
          <w:rFonts w:cs="Arial"/>
          <w:color w:val="000000" w:themeColor="text1"/>
          <w:szCs w:val="16"/>
        </w:rPr>
        <w:br/>
      </w:r>
      <w:r w:rsidRPr="00781112">
        <w:rPr>
          <w:rFonts w:cs="Arial"/>
          <w:color w:val="000000" w:themeColor="text1"/>
          <w:szCs w:val="16"/>
        </w:rPr>
        <w:lastRenderedPageBreak/>
        <w:t>1. Scheduled meetings for each CDE internal stakeholder indicator team.</w:t>
      </w:r>
      <w:r w:rsidRPr="00781112">
        <w:rPr>
          <w:rFonts w:cs="Arial"/>
          <w:color w:val="000000" w:themeColor="text1"/>
          <w:szCs w:val="16"/>
        </w:rPr>
        <w:br/>
        <w:t>2. Met with each CDE stakeholder team, explain rules and parameters, Colorado history of indicator, past and current improvement strategies, facilitate discussion, and solicit feedback and develop options for each of the SPP/APR targets.</w:t>
      </w:r>
      <w:r w:rsidRPr="00781112">
        <w:rPr>
          <w:rFonts w:cs="Arial"/>
          <w:color w:val="000000" w:themeColor="text1"/>
          <w:szCs w:val="16"/>
        </w:rPr>
        <w:br/>
        <w:t>3. Met with each CDE stakeholder team to facilitate discussion and come to consensus on targets and improvement strategies to present to the external stakeholder groups.</w:t>
      </w:r>
      <w:r w:rsidRPr="00781112">
        <w:rPr>
          <w:rFonts w:cs="Arial"/>
          <w:color w:val="000000" w:themeColor="text1"/>
          <w:szCs w:val="16"/>
        </w:rPr>
        <w:br/>
        <w:t xml:space="preserve">4. Requested and collected improvement strategies for each indicator from each CDE internal stakeholder team. </w:t>
      </w:r>
      <w:r w:rsidRPr="00781112">
        <w:rPr>
          <w:rFonts w:cs="Arial"/>
          <w:color w:val="000000" w:themeColor="text1"/>
          <w:szCs w:val="16"/>
        </w:rPr>
        <w:br/>
      </w:r>
      <w:r w:rsidRPr="00781112">
        <w:rPr>
          <w:rFonts w:cs="Arial"/>
          <w:color w:val="000000" w:themeColor="text1"/>
          <w:szCs w:val="16"/>
        </w:rPr>
        <w:br/>
        <w:t>Built a survey to collect evidence and information from external stakeholder groups and the public to gain feedback on current SPP/APR indicators to collect the following data:</w:t>
      </w:r>
      <w:r w:rsidRPr="00781112">
        <w:rPr>
          <w:rFonts w:cs="Arial"/>
          <w:color w:val="000000" w:themeColor="text1"/>
          <w:szCs w:val="16"/>
        </w:rPr>
        <w:br/>
        <w:t xml:space="preserve">1. Are targets too high, too low, </w:t>
      </w:r>
      <w:proofErr w:type="gramStart"/>
      <w:r w:rsidRPr="00781112">
        <w:rPr>
          <w:rFonts w:cs="Arial"/>
          <w:color w:val="000000" w:themeColor="text1"/>
          <w:szCs w:val="16"/>
        </w:rPr>
        <w:t>just</w:t>
      </w:r>
      <w:proofErr w:type="gramEnd"/>
      <w:r w:rsidRPr="00781112">
        <w:rPr>
          <w:rFonts w:cs="Arial"/>
          <w:color w:val="000000" w:themeColor="text1"/>
          <w:szCs w:val="16"/>
        </w:rPr>
        <w:t xml:space="preserve"> right?</w:t>
      </w:r>
      <w:r w:rsidRPr="00781112">
        <w:rPr>
          <w:rFonts w:cs="Arial"/>
          <w:color w:val="000000" w:themeColor="text1"/>
          <w:szCs w:val="16"/>
        </w:rPr>
        <w:br/>
        <w:t>2. If the proposed improvement strategies are reasonably calculated to help Colorado reach the proposed targets?</w:t>
      </w:r>
      <w:r w:rsidRPr="00781112">
        <w:rPr>
          <w:rFonts w:cs="Arial"/>
          <w:color w:val="000000" w:themeColor="text1"/>
          <w:szCs w:val="16"/>
        </w:rPr>
        <w:br/>
        <w:t>3. Is the proposed choice of demographic category to be analyzed for representation an appropriate selection?</w:t>
      </w:r>
      <w:r w:rsidRPr="00781112">
        <w:rPr>
          <w:rFonts w:cs="Arial"/>
          <w:color w:val="000000" w:themeColor="text1"/>
          <w:szCs w:val="16"/>
        </w:rPr>
        <w:br/>
      </w:r>
      <w:r w:rsidRPr="00781112">
        <w:rPr>
          <w:rFonts w:cs="Arial"/>
          <w:color w:val="000000" w:themeColor="text1"/>
          <w:szCs w:val="16"/>
        </w:rPr>
        <w:br/>
        <w:t>Built a web page to include:</w:t>
      </w:r>
      <w:r w:rsidRPr="00781112">
        <w:rPr>
          <w:rFonts w:cs="Arial"/>
          <w:color w:val="000000" w:themeColor="text1"/>
          <w:szCs w:val="16"/>
        </w:rPr>
        <w:br/>
        <w:t>1. basic information regarding the SPP/APR and the 6-year target resetting process.</w:t>
      </w:r>
      <w:r w:rsidRPr="00781112">
        <w:rPr>
          <w:rFonts w:cs="Arial"/>
          <w:color w:val="000000" w:themeColor="text1"/>
          <w:szCs w:val="16"/>
        </w:rPr>
        <w:br/>
        <w:t>2. asyncronys access to a series of webinars explaining each of the SPP/APR indicators, proposed targets, and improvement strategies.</w:t>
      </w:r>
      <w:r w:rsidRPr="00781112">
        <w:rPr>
          <w:rFonts w:cs="Arial"/>
          <w:color w:val="000000" w:themeColor="text1"/>
          <w:szCs w:val="16"/>
        </w:rPr>
        <w:br/>
        <w:t>3. a link to an indicator survey to gather information from the public during the comment period. This survey was designed to solicit the following information: (a) Are the proposed targets too high, too low, or appropriate? (b) Are the proposed improvement strategies reasonably calculated to help Colorado reach the proposed targets? (c) Is the proposed demographic group to be analyzed for representation an appropriate selection?</w:t>
      </w:r>
      <w:r w:rsidRPr="00781112">
        <w:rPr>
          <w:rFonts w:cs="Arial"/>
          <w:color w:val="000000" w:themeColor="text1"/>
          <w:szCs w:val="16"/>
        </w:rPr>
        <w:br/>
      </w:r>
      <w:r w:rsidRPr="00781112">
        <w:rPr>
          <w:rFonts w:cs="Arial"/>
          <w:color w:val="000000" w:themeColor="text1"/>
          <w:szCs w:val="16"/>
        </w:rPr>
        <w:br/>
        <w:t>Presented and requested input on agreed on targets and improvement strategies to the following indicator specific advisory councils: Preschool School Special Education Advisory Committee (PSSEAC), and the Secondary Transition Task Force Advisory Committee. Review and incorporate feedback into the final draft of the new targets and share proposed version with ESSU Executive Director for approval.</w:t>
      </w:r>
      <w:r w:rsidRPr="00781112">
        <w:rPr>
          <w:rFonts w:cs="Arial"/>
          <w:color w:val="000000" w:themeColor="text1"/>
          <w:szCs w:val="16"/>
        </w:rPr>
        <w:br/>
        <w:t>Presented proposed targets and gathered additional feedback to the following State advisory groups and advocacy groups: Colorado Special Education Advisory Committee (CSEAC) and Parent Partnerships for Equity Advisory Committee, The Arc of Colorado, PEAK Parent Center, and Disability Law Colorado.</w:t>
      </w:r>
      <w:r w:rsidRPr="00781112">
        <w:rPr>
          <w:rFonts w:cs="Arial"/>
          <w:color w:val="000000" w:themeColor="text1"/>
          <w:szCs w:val="16"/>
        </w:rPr>
        <w:br/>
        <w:t>Presented proposed targets for all indicators to Colorado LEA Special Education Directors.</w:t>
      </w:r>
      <w:r w:rsidRPr="00781112">
        <w:rPr>
          <w:rFonts w:cs="Arial"/>
          <w:color w:val="000000" w:themeColor="text1"/>
          <w:szCs w:val="16"/>
        </w:rPr>
        <w:br/>
        <w:t>Held a 2-month public comment period to solicit public comments through a broad CDE-wide communication plan made up of a dedicated webpage with short videos and surveys for each indicator, CDE Facebook page, CDE Twitter Account, a CDE webpage news story, CDE’s Weekly Newsletter, and notifications to our parent advocacy agencies.</w:t>
      </w:r>
      <w:r w:rsidRPr="00781112">
        <w:rPr>
          <w:rFonts w:cs="Arial"/>
          <w:color w:val="000000" w:themeColor="text1"/>
          <w:szCs w:val="16"/>
        </w:rPr>
        <w:br/>
        <w:t xml:space="preserve"> </w:t>
      </w:r>
      <w:r w:rsidRPr="00781112">
        <w:rPr>
          <w:rFonts w:cs="Arial"/>
          <w:color w:val="000000" w:themeColor="text1"/>
          <w:szCs w:val="16"/>
        </w:rPr>
        <w:br/>
        <w:t>Reviewed and considered public comments received through the indicator survey mechanism, finalize all targets with ESSU Executive Director, and published targets on CDE webpage.</w:t>
      </w:r>
    </w:p>
    <w:p w14:paraId="68E34693" w14:textId="382EE918" w:rsidR="00002962" w:rsidRPr="00781112" w:rsidRDefault="00002962" w:rsidP="004369B2">
      <w:pPr>
        <w:rPr>
          <w:color w:val="000000" w:themeColor="text1"/>
        </w:rPr>
      </w:pPr>
      <w:r w:rsidRPr="00781112">
        <w:rPr>
          <w:b/>
          <w:color w:val="000000" w:themeColor="text1"/>
        </w:rPr>
        <w:t>Prepopulated Data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B02PREPOPDATA"/>
      </w:tblPr>
      <w:tblGrid>
        <w:gridCol w:w="2164"/>
        <w:gridCol w:w="2130"/>
        <w:gridCol w:w="4929"/>
        <w:gridCol w:w="1567"/>
      </w:tblGrid>
      <w:tr w:rsidR="005C29F8" w:rsidRPr="00781112" w14:paraId="60D7260E" w14:textId="77777777" w:rsidTr="0011161A">
        <w:trPr>
          <w:trHeight w:val="372"/>
          <w:tblHeader/>
        </w:trPr>
        <w:tc>
          <w:tcPr>
            <w:tcW w:w="1003" w:type="pct"/>
            <w:shd w:val="clear" w:color="auto" w:fill="auto"/>
          </w:tcPr>
          <w:p w14:paraId="7217614C" w14:textId="77777777" w:rsidR="001D55EC" w:rsidRPr="00781112" w:rsidRDefault="001D55EC" w:rsidP="000B4AA4">
            <w:pPr>
              <w:spacing w:after="0"/>
              <w:jc w:val="center"/>
              <w:rPr>
                <w:rFonts w:cs="Arial"/>
                <w:b/>
                <w:color w:val="000000" w:themeColor="text1"/>
                <w:szCs w:val="16"/>
              </w:rPr>
            </w:pPr>
            <w:r w:rsidRPr="00781112">
              <w:rPr>
                <w:rFonts w:cs="Arial"/>
                <w:b/>
                <w:color w:val="000000" w:themeColor="text1"/>
                <w:szCs w:val="16"/>
              </w:rPr>
              <w:t>Source</w:t>
            </w:r>
          </w:p>
        </w:tc>
        <w:tc>
          <w:tcPr>
            <w:tcW w:w="987" w:type="pct"/>
            <w:shd w:val="clear" w:color="auto" w:fill="auto"/>
          </w:tcPr>
          <w:p w14:paraId="05FC9008" w14:textId="77777777" w:rsidR="001D55EC" w:rsidRPr="00781112" w:rsidRDefault="001D55EC" w:rsidP="000B4AA4">
            <w:pPr>
              <w:spacing w:after="0"/>
              <w:jc w:val="center"/>
              <w:rPr>
                <w:rFonts w:cs="Arial"/>
                <w:b/>
                <w:color w:val="000000" w:themeColor="text1"/>
                <w:szCs w:val="16"/>
              </w:rPr>
            </w:pPr>
            <w:r w:rsidRPr="00781112">
              <w:rPr>
                <w:rFonts w:cs="Arial"/>
                <w:b/>
                <w:color w:val="000000" w:themeColor="text1"/>
                <w:szCs w:val="16"/>
              </w:rPr>
              <w:t>Date</w:t>
            </w:r>
          </w:p>
        </w:tc>
        <w:tc>
          <w:tcPr>
            <w:tcW w:w="2284" w:type="pct"/>
            <w:shd w:val="clear" w:color="auto" w:fill="auto"/>
          </w:tcPr>
          <w:p w14:paraId="452E3A47" w14:textId="77777777" w:rsidR="001D55EC" w:rsidRPr="00781112" w:rsidRDefault="001D55EC" w:rsidP="000B4AA4">
            <w:pPr>
              <w:spacing w:after="0"/>
              <w:jc w:val="center"/>
              <w:rPr>
                <w:rFonts w:cs="Arial"/>
                <w:b/>
                <w:color w:val="000000" w:themeColor="text1"/>
                <w:szCs w:val="16"/>
              </w:rPr>
            </w:pPr>
            <w:r w:rsidRPr="00781112">
              <w:rPr>
                <w:rFonts w:cs="Arial"/>
                <w:b/>
                <w:color w:val="000000" w:themeColor="text1"/>
                <w:szCs w:val="16"/>
              </w:rPr>
              <w:t>Description</w:t>
            </w:r>
          </w:p>
        </w:tc>
        <w:tc>
          <w:tcPr>
            <w:tcW w:w="726" w:type="pct"/>
            <w:shd w:val="clear" w:color="auto" w:fill="auto"/>
          </w:tcPr>
          <w:p w14:paraId="197E988D" w14:textId="77777777" w:rsidR="001D55EC" w:rsidRPr="00781112" w:rsidRDefault="001D55EC" w:rsidP="000B4AA4">
            <w:pPr>
              <w:spacing w:after="0"/>
              <w:jc w:val="center"/>
              <w:rPr>
                <w:rFonts w:cs="Arial"/>
                <w:b/>
                <w:color w:val="000000" w:themeColor="text1"/>
                <w:szCs w:val="16"/>
              </w:rPr>
            </w:pPr>
            <w:r w:rsidRPr="00781112">
              <w:rPr>
                <w:rFonts w:cs="Arial"/>
                <w:b/>
                <w:color w:val="000000" w:themeColor="text1"/>
                <w:szCs w:val="16"/>
              </w:rPr>
              <w:t>Data</w:t>
            </w:r>
          </w:p>
        </w:tc>
      </w:tr>
      <w:tr w:rsidR="005C29F8" w:rsidRPr="00781112" w14:paraId="20549B53" w14:textId="77777777" w:rsidTr="0011161A">
        <w:trPr>
          <w:trHeight w:val="380"/>
        </w:trPr>
        <w:tc>
          <w:tcPr>
            <w:tcW w:w="1003" w:type="pct"/>
            <w:shd w:val="clear" w:color="auto" w:fill="auto"/>
          </w:tcPr>
          <w:p w14:paraId="38DBE1E5" w14:textId="4B654FBA" w:rsidR="001D55EC" w:rsidRPr="00781112" w:rsidRDefault="008A2533" w:rsidP="00A018D4">
            <w:pPr>
              <w:jc w:val="center"/>
              <w:rPr>
                <w:rFonts w:cs="Arial"/>
                <w:color w:val="000000" w:themeColor="text1"/>
                <w:szCs w:val="16"/>
              </w:rPr>
            </w:pPr>
            <w:r w:rsidRPr="00781112">
              <w:rPr>
                <w:rFonts w:cs="Arial"/>
                <w:color w:val="000000" w:themeColor="text1"/>
                <w:szCs w:val="16"/>
              </w:rPr>
              <w:t>SY 2021-22 Exiting Data Groups (EDFacts file spec FS009; Data Group 85)</w:t>
            </w:r>
          </w:p>
        </w:tc>
        <w:tc>
          <w:tcPr>
            <w:tcW w:w="987" w:type="pct"/>
            <w:shd w:val="clear" w:color="auto" w:fill="auto"/>
          </w:tcPr>
          <w:p w14:paraId="6675DCDD" w14:textId="08B07A76" w:rsidR="001D55EC" w:rsidRPr="00781112" w:rsidRDefault="008A2533" w:rsidP="00A018D4">
            <w:pPr>
              <w:jc w:val="center"/>
              <w:rPr>
                <w:rFonts w:cs="Arial"/>
                <w:color w:val="000000" w:themeColor="text1"/>
                <w:szCs w:val="16"/>
              </w:rPr>
            </w:pPr>
            <w:r w:rsidRPr="00781112">
              <w:rPr>
                <w:rFonts w:cs="Arial"/>
                <w:color w:val="000000" w:themeColor="text1"/>
                <w:szCs w:val="16"/>
              </w:rPr>
              <w:t>05/24/2023</w:t>
            </w:r>
          </w:p>
        </w:tc>
        <w:tc>
          <w:tcPr>
            <w:tcW w:w="2284" w:type="pct"/>
            <w:shd w:val="clear" w:color="auto" w:fill="auto"/>
          </w:tcPr>
          <w:p w14:paraId="52A6FFD9" w14:textId="722CDF17" w:rsidR="001D55EC" w:rsidRPr="00781112" w:rsidRDefault="00E619AC" w:rsidP="001D55EC">
            <w:pPr>
              <w:rPr>
                <w:rFonts w:cs="Arial"/>
                <w:color w:val="000000" w:themeColor="text1"/>
                <w:szCs w:val="16"/>
              </w:rPr>
            </w:pPr>
            <w:r w:rsidRPr="00781112">
              <w:rPr>
                <w:rFonts w:cs="Arial"/>
                <w:color w:val="000000" w:themeColor="text1"/>
                <w:szCs w:val="16"/>
              </w:rPr>
              <w:t xml:space="preserve">Number of </w:t>
            </w:r>
            <w:proofErr w:type="gramStart"/>
            <w:r w:rsidRPr="00781112">
              <w:rPr>
                <w:rFonts w:cs="Arial"/>
                <w:color w:val="000000" w:themeColor="text1"/>
                <w:szCs w:val="16"/>
              </w:rPr>
              <w:t>youth</w:t>
            </w:r>
            <w:proofErr w:type="gramEnd"/>
            <w:r w:rsidRPr="00781112">
              <w:rPr>
                <w:rFonts w:cs="Arial"/>
                <w:color w:val="000000" w:themeColor="text1"/>
                <w:szCs w:val="16"/>
              </w:rPr>
              <w:t xml:space="preserve"> with IEPs (ages 14-21) who exited special education by graduating with a regular high school diploma (a)</w:t>
            </w:r>
          </w:p>
        </w:tc>
        <w:tc>
          <w:tcPr>
            <w:tcW w:w="726" w:type="pct"/>
            <w:shd w:val="clear" w:color="auto" w:fill="auto"/>
          </w:tcPr>
          <w:p w14:paraId="6BB20172" w14:textId="20DA3C25" w:rsidR="001D55EC" w:rsidRPr="00781112" w:rsidRDefault="002B7490" w:rsidP="00A018D4">
            <w:pPr>
              <w:jc w:val="center"/>
              <w:rPr>
                <w:rFonts w:cs="Arial"/>
                <w:color w:val="000000" w:themeColor="text1"/>
                <w:szCs w:val="16"/>
              </w:rPr>
            </w:pPr>
            <w:r w:rsidRPr="00781112">
              <w:rPr>
                <w:rFonts w:cs="Arial"/>
                <w:color w:val="000000" w:themeColor="text1"/>
                <w:szCs w:val="16"/>
              </w:rPr>
              <w:t>5,010</w:t>
            </w:r>
          </w:p>
        </w:tc>
      </w:tr>
      <w:tr w:rsidR="00FE0F05" w:rsidRPr="00781112" w14:paraId="442FFC23" w14:textId="77777777" w:rsidTr="0011161A">
        <w:trPr>
          <w:trHeight w:val="380"/>
        </w:trPr>
        <w:tc>
          <w:tcPr>
            <w:tcW w:w="1003" w:type="pct"/>
            <w:shd w:val="clear" w:color="auto" w:fill="auto"/>
          </w:tcPr>
          <w:p w14:paraId="6CF34AAB" w14:textId="0F679619" w:rsidR="00FE0F05" w:rsidRPr="00781112" w:rsidRDefault="00FE0F05" w:rsidP="00FE0F05">
            <w:pPr>
              <w:jc w:val="center"/>
              <w:rPr>
                <w:rFonts w:cs="Arial"/>
                <w:color w:val="000000" w:themeColor="text1"/>
                <w:szCs w:val="16"/>
              </w:rPr>
            </w:pPr>
            <w:r w:rsidRPr="00781112">
              <w:rPr>
                <w:rFonts w:cs="Arial"/>
                <w:color w:val="000000" w:themeColor="text1"/>
                <w:szCs w:val="16"/>
              </w:rPr>
              <w:t>SY 2021-22 Exiting Data Groups (EDFacts file spec FS009; Data Group 85)</w:t>
            </w:r>
          </w:p>
        </w:tc>
        <w:tc>
          <w:tcPr>
            <w:tcW w:w="987" w:type="pct"/>
            <w:shd w:val="clear" w:color="auto" w:fill="auto"/>
          </w:tcPr>
          <w:p w14:paraId="4C847D87" w14:textId="13F5F6DB" w:rsidR="00FE0F05" w:rsidRPr="00781112" w:rsidRDefault="00FE0F05" w:rsidP="00FE0F05">
            <w:pPr>
              <w:jc w:val="center"/>
              <w:rPr>
                <w:rFonts w:cs="Arial"/>
                <w:color w:val="000000" w:themeColor="text1"/>
                <w:szCs w:val="16"/>
              </w:rPr>
            </w:pPr>
            <w:r w:rsidRPr="00781112">
              <w:rPr>
                <w:rFonts w:cs="Arial"/>
                <w:color w:val="000000" w:themeColor="text1"/>
                <w:szCs w:val="16"/>
              </w:rPr>
              <w:t>05/24/2023</w:t>
            </w:r>
          </w:p>
        </w:tc>
        <w:tc>
          <w:tcPr>
            <w:tcW w:w="2284" w:type="pct"/>
            <w:shd w:val="clear" w:color="auto" w:fill="auto"/>
          </w:tcPr>
          <w:p w14:paraId="11D0842E" w14:textId="2246C25A" w:rsidR="00FE0F05" w:rsidRPr="00781112" w:rsidRDefault="00FE0F05" w:rsidP="00FE0F05">
            <w:pPr>
              <w:rPr>
                <w:rFonts w:cs="Arial"/>
                <w:color w:val="000000" w:themeColor="text1"/>
                <w:szCs w:val="16"/>
              </w:rPr>
            </w:pPr>
            <w:r w:rsidRPr="00781112">
              <w:rPr>
                <w:rFonts w:cs="Arial"/>
                <w:szCs w:val="16"/>
              </w:rPr>
              <w:t xml:space="preserve">Number of </w:t>
            </w:r>
            <w:proofErr w:type="gramStart"/>
            <w:r w:rsidRPr="00781112">
              <w:rPr>
                <w:rFonts w:cs="Arial"/>
                <w:szCs w:val="16"/>
              </w:rPr>
              <w:t>youth</w:t>
            </w:r>
            <w:proofErr w:type="gramEnd"/>
            <w:r w:rsidRPr="00781112">
              <w:rPr>
                <w:rFonts w:cs="Arial"/>
                <w:szCs w:val="16"/>
              </w:rPr>
              <w:t xml:space="preserve"> with IEPs (ages 14-21) who exited special education by graduating with a state-defined alternate diploma (b)</w:t>
            </w:r>
          </w:p>
        </w:tc>
        <w:tc>
          <w:tcPr>
            <w:tcW w:w="726" w:type="pct"/>
            <w:shd w:val="clear" w:color="auto" w:fill="auto"/>
          </w:tcPr>
          <w:p w14:paraId="076B8DEA" w14:textId="2D1A3AE9" w:rsidR="00FE0F05" w:rsidRPr="00781112" w:rsidRDefault="00FE0F05" w:rsidP="00FE0F05">
            <w:pPr>
              <w:jc w:val="center"/>
              <w:rPr>
                <w:rFonts w:cs="Arial"/>
                <w:color w:val="000000" w:themeColor="text1"/>
                <w:szCs w:val="16"/>
              </w:rPr>
            </w:pPr>
          </w:p>
        </w:tc>
      </w:tr>
      <w:tr w:rsidR="0011161A" w:rsidRPr="00781112" w14:paraId="7531005B" w14:textId="77777777" w:rsidTr="0011161A">
        <w:trPr>
          <w:trHeight w:val="380"/>
        </w:trPr>
        <w:tc>
          <w:tcPr>
            <w:tcW w:w="1003" w:type="pct"/>
            <w:shd w:val="clear" w:color="auto" w:fill="auto"/>
          </w:tcPr>
          <w:p w14:paraId="68D79338" w14:textId="7556C19A" w:rsidR="0011161A" w:rsidRPr="00781112" w:rsidRDefault="0011161A" w:rsidP="0011161A">
            <w:pPr>
              <w:jc w:val="center"/>
              <w:rPr>
                <w:rFonts w:cs="Arial"/>
                <w:color w:val="000000" w:themeColor="text1"/>
                <w:szCs w:val="16"/>
              </w:rPr>
            </w:pPr>
            <w:r w:rsidRPr="00781112">
              <w:rPr>
                <w:rFonts w:cs="Arial"/>
                <w:color w:val="000000" w:themeColor="text1"/>
                <w:szCs w:val="16"/>
              </w:rPr>
              <w:t>SY 2021-22 Exiting Data Groups (EDFacts file spec FS009; Data Group 85)</w:t>
            </w:r>
          </w:p>
        </w:tc>
        <w:tc>
          <w:tcPr>
            <w:tcW w:w="987" w:type="pct"/>
            <w:shd w:val="clear" w:color="auto" w:fill="auto"/>
          </w:tcPr>
          <w:p w14:paraId="3137C3E8" w14:textId="1C4E2EC1" w:rsidR="0011161A" w:rsidRPr="00781112" w:rsidRDefault="0011161A" w:rsidP="0011161A">
            <w:pPr>
              <w:jc w:val="center"/>
              <w:rPr>
                <w:rFonts w:cs="Arial"/>
                <w:color w:val="000000" w:themeColor="text1"/>
                <w:szCs w:val="16"/>
              </w:rPr>
            </w:pPr>
            <w:r w:rsidRPr="00781112">
              <w:rPr>
                <w:rFonts w:cs="Arial"/>
                <w:color w:val="000000" w:themeColor="text1"/>
                <w:szCs w:val="16"/>
              </w:rPr>
              <w:t>05/24/2023</w:t>
            </w:r>
          </w:p>
        </w:tc>
        <w:tc>
          <w:tcPr>
            <w:tcW w:w="2284" w:type="pct"/>
            <w:shd w:val="clear" w:color="auto" w:fill="auto"/>
          </w:tcPr>
          <w:p w14:paraId="436358B9" w14:textId="1F75CF67" w:rsidR="0011161A" w:rsidRPr="00781112" w:rsidRDefault="0011161A" w:rsidP="0011161A">
            <w:pPr>
              <w:rPr>
                <w:rFonts w:cs="Arial"/>
                <w:color w:val="000000" w:themeColor="text1"/>
                <w:szCs w:val="16"/>
              </w:rPr>
            </w:pPr>
            <w:r w:rsidRPr="00781112">
              <w:rPr>
                <w:rFonts w:cs="Arial"/>
                <w:color w:val="000000" w:themeColor="text1"/>
                <w:szCs w:val="16"/>
              </w:rPr>
              <w:t xml:space="preserve">Number of </w:t>
            </w:r>
            <w:proofErr w:type="gramStart"/>
            <w:r w:rsidRPr="00781112">
              <w:rPr>
                <w:rFonts w:cs="Arial"/>
                <w:color w:val="000000" w:themeColor="text1"/>
                <w:szCs w:val="16"/>
              </w:rPr>
              <w:t>youth</w:t>
            </w:r>
            <w:proofErr w:type="gramEnd"/>
            <w:r w:rsidRPr="00781112">
              <w:rPr>
                <w:rFonts w:cs="Arial"/>
                <w:color w:val="000000" w:themeColor="text1"/>
                <w:szCs w:val="16"/>
              </w:rPr>
              <w:t xml:space="preserve"> with IEPs (ages 14-21) who exited special education by receiving a certificate (c)</w:t>
            </w:r>
          </w:p>
        </w:tc>
        <w:tc>
          <w:tcPr>
            <w:tcW w:w="726" w:type="pct"/>
            <w:shd w:val="clear" w:color="auto" w:fill="auto"/>
          </w:tcPr>
          <w:p w14:paraId="554F88F2" w14:textId="623A3342" w:rsidR="0011161A" w:rsidRPr="00781112" w:rsidRDefault="0011161A" w:rsidP="0011161A">
            <w:pPr>
              <w:jc w:val="center"/>
              <w:rPr>
                <w:rFonts w:cs="Arial"/>
                <w:color w:val="000000" w:themeColor="text1"/>
                <w:szCs w:val="16"/>
              </w:rPr>
            </w:pPr>
            <w:r w:rsidRPr="00781112">
              <w:rPr>
                <w:rFonts w:cs="Arial"/>
                <w:color w:val="000000" w:themeColor="text1"/>
                <w:szCs w:val="16"/>
              </w:rPr>
              <w:t>128</w:t>
            </w:r>
          </w:p>
        </w:tc>
      </w:tr>
      <w:tr w:rsidR="0011161A" w:rsidRPr="00781112" w14:paraId="56B284E9" w14:textId="77777777" w:rsidTr="0011161A">
        <w:trPr>
          <w:trHeight w:val="380"/>
        </w:trPr>
        <w:tc>
          <w:tcPr>
            <w:tcW w:w="1003" w:type="pct"/>
            <w:shd w:val="clear" w:color="auto" w:fill="auto"/>
          </w:tcPr>
          <w:p w14:paraId="73E78D27" w14:textId="6A11D514" w:rsidR="0011161A" w:rsidRPr="00781112" w:rsidRDefault="0011161A" w:rsidP="0011161A">
            <w:pPr>
              <w:jc w:val="center"/>
              <w:rPr>
                <w:rFonts w:cs="Arial"/>
                <w:color w:val="000000" w:themeColor="text1"/>
                <w:szCs w:val="16"/>
              </w:rPr>
            </w:pPr>
            <w:r w:rsidRPr="00781112">
              <w:rPr>
                <w:rFonts w:cs="Arial"/>
                <w:color w:val="000000" w:themeColor="text1"/>
                <w:szCs w:val="16"/>
              </w:rPr>
              <w:t>SY 2021-22 Exiting Data Groups (EDFacts file spec FS009; Data Group 85)</w:t>
            </w:r>
          </w:p>
        </w:tc>
        <w:tc>
          <w:tcPr>
            <w:tcW w:w="987" w:type="pct"/>
            <w:shd w:val="clear" w:color="auto" w:fill="auto"/>
          </w:tcPr>
          <w:p w14:paraId="151F192A" w14:textId="492844E5" w:rsidR="0011161A" w:rsidRPr="00781112" w:rsidRDefault="0011161A" w:rsidP="0011161A">
            <w:pPr>
              <w:jc w:val="center"/>
              <w:rPr>
                <w:rFonts w:cs="Arial"/>
                <w:color w:val="000000" w:themeColor="text1"/>
                <w:szCs w:val="16"/>
              </w:rPr>
            </w:pPr>
            <w:r w:rsidRPr="00781112">
              <w:rPr>
                <w:rFonts w:cs="Arial"/>
                <w:color w:val="000000" w:themeColor="text1"/>
                <w:szCs w:val="16"/>
              </w:rPr>
              <w:t>05/24/2023</w:t>
            </w:r>
          </w:p>
        </w:tc>
        <w:tc>
          <w:tcPr>
            <w:tcW w:w="2284" w:type="pct"/>
            <w:shd w:val="clear" w:color="auto" w:fill="auto"/>
          </w:tcPr>
          <w:p w14:paraId="65152DCF" w14:textId="4124B416" w:rsidR="0011161A" w:rsidRPr="00781112" w:rsidRDefault="0011161A" w:rsidP="0011161A">
            <w:pPr>
              <w:rPr>
                <w:rFonts w:cs="Arial"/>
                <w:color w:val="000000" w:themeColor="text1"/>
                <w:szCs w:val="16"/>
              </w:rPr>
            </w:pPr>
            <w:r w:rsidRPr="00781112">
              <w:rPr>
                <w:rFonts w:cs="Arial"/>
                <w:color w:val="000000" w:themeColor="text1"/>
                <w:szCs w:val="16"/>
              </w:rPr>
              <w:t xml:space="preserve">Number of </w:t>
            </w:r>
            <w:proofErr w:type="gramStart"/>
            <w:r w:rsidRPr="00781112">
              <w:rPr>
                <w:rFonts w:cs="Arial"/>
                <w:color w:val="000000" w:themeColor="text1"/>
                <w:szCs w:val="16"/>
              </w:rPr>
              <w:t>youth</w:t>
            </w:r>
            <w:proofErr w:type="gramEnd"/>
            <w:r w:rsidRPr="00781112">
              <w:rPr>
                <w:rFonts w:cs="Arial"/>
                <w:color w:val="000000" w:themeColor="text1"/>
                <w:szCs w:val="16"/>
              </w:rPr>
              <w:t xml:space="preserve"> with IEPs (ages 14-21) who exited special education by reaching maximum age (d)</w:t>
            </w:r>
          </w:p>
        </w:tc>
        <w:tc>
          <w:tcPr>
            <w:tcW w:w="726" w:type="pct"/>
            <w:shd w:val="clear" w:color="auto" w:fill="auto"/>
          </w:tcPr>
          <w:p w14:paraId="788B37F6" w14:textId="1E312572" w:rsidR="0011161A" w:rsidRPr="00781112" w:rsidRDefault="0011161A" w:rsidP="0011161A">
            <w:pPr>
              <w:jc w:val="center"/>
              <w:rPr>
                <w:rFonts w:cs="Arial"/>
                <w:color w:val="000000" w:themeColor="text1"/>
                <w:szCs w:val="16"/>
              </w:rPr>
            </w:pPr>
            <w:r w:rsidRPr="00781112">
              <w:rPr>
                <w:rFonts w:cs="Arial"/>
                <w:color w:val="000000" w:themeColor="text1"/>
                <w:szCs w:val="16"/>
              </w:rPr>
              <w:t>72</w:t>
            </w:r>
          </w:p>
        </w:tc>
      </w:tr>
      <w:tr w:rsidR="005C29F8" w:rsidRPr="00781112" w14:paraId="245FE023" w14:textId="77777777" w:rsidTr="0011161A">
        <w:trPr>
          <w:trHeight w:val="380"/>
        </w:trPr>
        <w:tc>
          <w:tcPr>
            <w:tcW w:w="1003" w:type="pct"/>
            <w:shd w:val="clear" w:color="auto" w:fill="auto"/>
          </w:tcPr>
          <w:p w14:paraId="67B529F8" w14:textId="28E7DCDC" w:rsidR="00C470E8" w:rsidRPr="00781112" w:rsidRDefault="008A2533" w:rsidP="00A018D4">
            <w:pPr>
              <w:jc w:val="center"/>
              <w:rPr>
                <w:rFonts w:cs="Arial"/>
                <w:color w:val="000000" w:themeColor="text1"/>
                <w:szCs w:val="16"/>
              </w:rPr>
            </w:pPr>
            <w:r w:rsidRPr="00781112">
              <w:rPr>
                <w:rFonts w:cs="Arial"/>
                <w:color w:val="000000" w:themeColor="text1"/>
                <w:szCs w:val="16"/>
              </w:rPr>
              <w:t>SY 2021-22 Exiting Data Groups (EDFacts file spec FS009; Data Group 85)</w:t>
            </w:r>
          </w:p>
        </w:tc>
        <w:tc>
          <w:tcPr>
            <w:tcW w:w="987" w:type="pct"/>
            <w:shd w:val="clear" w:color="auto" w:fill="auto"/>
          </w:tcPr>
          <w:p w14:paraId="2C17EFE7" w14:textId="6210AB54" w:rsidR="00C470E8" w:rsidRPr="00781112" w:rsidRDefault="008A2533" w:rsidP="00A018D4">
            <w:pPr>
              <w:jc w:val="center"/>
              <w:rPr>
                <w:rFonts w:cs="Arial"/>
                <w:color w:val="000000" w:themeColor="text1"/>
                <w:szCs w:val="16"/>
              </w:rPr>
            </w:pPr>
            <w:r w:rsidRPr="00781112">
              <w:rPr>
                <w:rFonts w:cs="Arial"/>
                <w:color w:val="000000" w:themeColor="text1"/>
                <w:szCs w:val="16"/>
              </w:rPr>
              <w:t>05/24/2023</w:t>
            </w:r>
          </w:p>
        </w:tc>
        <w:tc>
          <w:tcPr>
            <w:tcW w:w="2284" w:type="pct"/>
            <w:shd w:val="clear" w:color="auto" w:fill="auto"/>
          </w:tcPr>
          <w:p w14:paraId="2D5B3E78" w14:textId="5F9109CF" w:rsidR="00C470E8" w:rsidRPr="00781112" w:rsidRDefault="00C470E8" w:rsidP="00C470E8">
            <w:pPr>
              <w:rPr>
                <w:rFonts w:cs="Arial"/>
                <w:color w:val="000000" w:themeColor="text1"/>
                <w:szCs w:val="16"/>
              </w:rPr>
            </w:pPr>
            <w:r w:rsidRPr="00781112">
              <w:rPr>
                <w:rFonts w:cs="Arial"/>
                <w:color w:val="000000" w:themeColor="text1"/>
                <w:szCs w:val="16"/>
              </w:rPr>
              <w:t xml:space="preserve">Number of </w:t>
            </w:r>
            <w:proofErr w:type="gramStart"/>
            <w:r w:rsidRPr="00781112">
              <w:rPr>
                <w:rFonts w:cs="Arial"/>
                <w:color w:val="000000" w:themeColor="text1"/>
                <w:szCs w:val="16"/>
              </w:rPr>
              <w:t>youth</w:t>
            </w:r>
            <w:proofErr w:type="gramEnd"/>
            <w:r w:rsidRPr="00781112">
              <w:rPr>
                <w:rFonts w:cs="Arial"/>
                <w:color w:val="000000" w:themeColor="text1"/>
                <w:szCs w:val="16"/>
              </w:rPr>
              <w:t xml:space="preserve"> with IEPs (ages 14-21) who exited special education due to dropping out (e)</w:t>
            </w:r>
          </w:p>
        </w:tc>
        <w:tc>
          <w:tcPr>
            <w:tcW w:w="726" w:type="pct"/>
            <w:shd w:val="clear" w:color="auto" w:fill="auto"/>
          </w:tcPr>
          <w:p w14:paraId="20785B5C" w14:textId="176AF317" w:rsidR="00C470E8" w:rsidRPr="00781112" w:rsidRDefault="00FE0F05" w:rsidP="00A018D4">
            <w:pPr>
              <w:jc w:val="center"/>
              <w:rPr>
                <w:rFonts w:cs="Arial"/>
                <w:color w:val="000000" w:themeColor="text1"/>
                <w:szCs w:val="16"/>
              </w:rPr>
            </w:pPr>
            <w:r w:rsidRPr="00781112">
              <w:rPr>
                <w:rFonts w:cs="Arial"/>
                <w:color w:val="000000" w:themeColor="text1"/>
                <w:szCs w:val="16"/>
              </w:rPr>
              <w:t>1,197</w:t>
            </w:r>
          </w:p>
        </w:tc>
      </w:tr>
    </w:tbl>
    <w:p w14:paraId="7CE42756" w14:textId="445D9372" w:rsidR="00654A4B" w:rsidRPr="00781112" w:rsidRDefault="00654A4B" w:rsidP="004369B2">
      <w:pPr>
        <w:rPr>
          <w:color w:val="000000" w:themeColor="text1"/>
        </w:rPr>
      </w:pPr>
    </w:p>
    <w:p w14:paraId="4463AFB2" w14:textId="2D3D5B16" w:rsidR="00C96339" w:rsidRPr="00781112" w:rsidRDefault="0047313F" w:rsidP="004369B2">
      <w:pPr>
        <w:rPr>
          <w:color w:val="000000" w:themeColor="text1"/>
        </w:rPr>
      </w:pPr>
      <w:r>
        <w:rPr>
          <w:b/>
          <w:color w:val="000000" w:themeColor="text1"/>
        </w:rPr>
        <w:t xml:space="preserve">FFY 2022 SPP/APR Data </w:t>
      </w:r>
    </w:p>
    <w:tbl>
      <w:tblPr>
        <w:tblW w:w="500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B02CFFYAPRDATAOPT1"/>
      </w:tblPr>
      <w:tblGrid>
        <w:gridCol w:w="1528"/>
        <w:gridCol w:w="1507"/>
        <w:gridCol w:w="1367"/>
        <w:gridCol w:w="2088"/>
        <w:gridCol w:w="1228"/>
        <w:gridCol w:w="1563"/>
        <w:gridCol w:w="1513"/>
      </w:tblGrid>
      <w:tr w:rsidR="0047313F" w:rsidRPr="00781112" w14:paraId="5C4D1C2F" w14:textId="77777777" w:rsidTr="004D0044">
        <w:trPr>
          <w:trHeight w:val="359"/>
          <w:tblHeader/>
        </w:trPr>
        <w:tc>
          <w:tcPr>
            <w:tcW w:w="708" w:type="pct"/>
            <w:shd w:val="clear" w:color="auto" w:fill="auto"/>
            <w:vAlign w:val="bottom"/>
          </w:tcPr>
          <w:p w14:paraId="3F5808F2" w14:textId="257E84C8" w:rsidR="0047313F" w:rsidRPr="00781112" w:rsidRDefault="0047313F" w:rsidP="0047313F">
            <w:pPr>
              <w:jc w:val="center"/>
              <w:rPr>
                <w:rFonts w:cs="Arial"/>
                <w:b/>
                <w:color w:val="000000" w:themeColor="text1"/>
                <w:szCs w:val="16"/>
              </w:rPr>
            </w:pPr>
            <w:r w:rsidRPr="00781112">
              <w:rPr>
                <w:rFonts w:cs="Arial"/>
                <w:b/>
                <w:color w:val="000000" w:themeColor="text1"/>
                <w:szCs w:val="16"/>
              </w:rPr>
              <w:t xml:space="preserve">Number of </w:t>
            </w:r>
            <w:proofErr w:type="gramStart"/>
            <w:r w:rsidRPr="00781112">
              <w:rPr>
                <w:rFonts w:cs="Arial"/>
                <w:b/>
                <w:color w:val="000000" w:themeColor="text1"/>
                <w:szCs w:val="16"/>
              </w:rPr>
              <w:t>youth</w:t>
            </w:r>
            <w:proofErr w:type="gramEnd"/>
            <w:r w:rsidRPr="00781112">
              <w:rPr>
                <w:rFonts w:cs="Arial"/>
                <w:b/>
                <w:color w:val="000000" w:themeColor="text1"/>
                <w:szCs w:val="16"/>
              </w:rPr>
              <w:t xml:space="preserve"> with IEPs (ages 14-21) who exited special education due to dropping out</w:t>
            </w:r>
          </w:p>
        </w:tc>
        <w:tc>
          <w:tcPr>
            <w:tcW w:w="698" w:type="pct"/>
            <w:shd w:val="clear" w:color="auto" w:fill="auto"/>
            <w:vAlign w:val="bottom"/>
          </w:tcPr>
          <w:p w14:paraId="2F5BF81E" w14:textId="25314F83" w:rsidR="0047313F" w:rsidRPr="00781112" w:rsidRDefault="0047313F" w:rsidP="0047313F">
            <w:pPr>
              <w:jc w:val="center"/>
              <w:rPr>
                <w:rFonts w:cs="Arial"/>
                <w:color w:val="000000" w:themeColor="text1"/>
                <w:szCs w:val="16"/>
              </w:rPr>
            </w:pPr>
            <w:r w:rsidRPr="008137CC">
              <w:rPr>
                <w:rFonts w:cs="Arial"/>
                <w:b/>
                <w:color w:val="000000" w:themeColor="text1"/>
                <w:szCs w:val="16"/>
              </w:rPr>
              <w:t xml:space="preserve">Number of all youth with IEPs who exited special education (ages 14-21)  </w:t>
            </w:r>
          </w:p>
        </w:tc>
        <w:tc>
          <w:tcPr>
            <w:tcW w:w="633" w:type="pct"/>
            <w:shd w:val="clear" w:color="auto" w:fill="auto"/>
            <w:vAlign w:val="bottom"/>
          </w:tcPr>
          <w:p w14:paraId="764A6652" w14:textId="25DC1F8E" w:rsidR="0047313F" w:rsidRPr="00073BD7" w:rsidRDefault="0047313F" w:rsidP="0047313F">
            <w:pPr>
              <w:jc w:val="center"/>
              <w:rPr>
                <w:rFonts w:cs="Arial"/>
                <w:b/>
                <w:bCs/>
                <w:color w:val="000000" w:themeColor="text1"/>
                <w:szCs w:val="16"/>
              </w:rPr>
            </w:pPr>
            <w:r w:rsidRPr="00073BD7">
              <w:rPr>
                <w:b/>
                <w:bCs/>
              </w:rPr>
              <w:t>FFY 2021 Data</w:t>
            </w:r>
          </w:p>
        </w:tc>
        <w:tc>
          <w:tcPr>
            <w:tcW w:w="967" w:type="pct"/>
            <w:shd w:val="clear" w:color="auto" w:fill="auto"/>
            <w:vAlign w:val="bottom"/>
          </w:tcPr>
          <w:p w14:paraId="1F444650" w14:textId="08B345C8" w:rsidR="0047313F" w:rsidRPr="00073BD7" w:rsidRDefault="0047313F" w:rsidP="0047313F">
            <w:pPr>
              <w:jc w:val="center"/>
              <w:rPr>
                <w:rFonts w:cs="Arial"/>
                <w:b/>
                <w:bCs/>
                <w:color w:val="000000" w:themeColor="text1"/>
                <w:szCs w:val="16"/>
              </w:rPr>
            </w:pPr>
            <w:r w:rsidRPr="00073BD7">
              <w:rPr>
                <w:b/>
                <w:bCs/>
              </w:rPr>
              <w:t>FFY 2022 Target</w:t>
            </w:r>
          </w:p>
        </w:tc>
        <w:tc>
          <w:tcPr>
            <w:tcW w:w="569" w:type="pct"/>
            <w:shd w:val="clear" w:color="auto" w:fill="auto"/>
            <w:vAlign w:val="bottom"/>
          </w:tcPr>
          <w:p w14:paraId="194A1B8B" w14:textId="6088D02A" w:rsidR="0047313F" w:rsidRPr="00073BD7" w:rsidRDefault="0047313F" w:rsidP="0047313F">
            <w:pPr>
              <w:jc w:val="center"/>
              <w:rPr>
                <w:rFonts w:cs="Arial"/>
                <w:b/>
                <w:bCs/>
                <w:color w:val="000000" w:themeColor="text1"/>
                <w:szCs w:val="16"/>
              </w:rPr>
            </w:pPr>
            <w:r w:rsidRPr="00073BD7">
              <w:rPr>
                <w:b/>
                <w:bCs/>
              </w:rPr>
              <w:t>FFY 2022 Data</w:t>
            </w:r>
          </w:p>
        </w:tc>
        <w:tc>
          <w:tcPr>
            <w:tcW w:w="724" w:type="pct"/>
            <w:shd w:val="clear" w:color="auto" w:fill="auto"/>
            <w:vAlign w:val="bottom"/>
          </w:tcPr>
          <w:p w14:paraId="4B0F6AFA" w14:textId="77777777" w:rsidR="0047313F" w:rsidRPr="00781112" w:rsidRDefault="0047313F" w:rsidP="0047313F">
            <w:pPr>
              <w:jc w:val="center"/>
              <w:rPr>
                <w:rFonts w:cs="Arial"/>
                <w:b/>
                <w:color w:val="000000" w:themeColor="text1"/>
                <w:szCs w:val="16"/>
              </w:rPr>
            </w:pPr>
            <w:r w:rsidRPr="00781112">
              <w:rPr>
                <w:rFonts w:cs="Arial"/>
                <w:b/>
                <w:color w:val="000000" w:themeColor="text1"/>
                <w:szCs w:val="16"/>
              </w:rPr>
              <w:t>Status</w:t>
            </w:r>
          </w:p>
        </w:tc>
        <w:tc>
          <w:tcPr>
            <w:tcW w:w="701" w:type="pct"/>
            <w:shd w:val="clear" w:color="auto" w:fill="auto"/>
            <w:vAlign w:val="bottom"/>
          </w:tcPr>
          <w:p w14:paraId="2987DD9A" w14:textId="77777777" w:rsidR="0047313F" w:rsidRPr="00781112" w:rsidRDefault="0047313F" w:rsidP="0047313F">
            <w:pPr>
              <w:jc w:val="center"/>
              <w:rPr>
                <w:rFonts w:cs="Arial"/>
                <w:b/>
                <w:color w:val="000000" w:themeColor="text1"/>
                <w:szCs w:val="16"/>
              </w:rPr>
            </w:pPr>
            <w:r w:rsidRPr="00781112">
              <w:rPr>
                <w:rFonts w:cs="Arial"/>
                <w:b/>
                <w:color w:val="000000" w:themeColor="text1"/>
                <w:szCs w:val="16"/>
              </w:rPr>
              <w:t>Slippage</w:t>
            </w:r>
          </w:p>
        </w:tc>
      </w:tr>
      <w:tr w:rsidR="005C29F8" w:rsidRPr="00781112" w14:paraId="2928907F" w14:textId="77777777" w:rsidTr="004D0044">
        <w:trPr>
          <w:trHeight w:val="366"/>
        </w:trPr>
        <w:tc>
          <w:tcPr>
            <w:tcW w:w="708" w:type="pct"/>
            <w:shd w:val="clear" w:color="auto" w:fill="auto"/>
            <w:vAlign w:val="center"/>
          </w:tcPr>
          <w:p w14:paraId="153F1C9B" w14:textId="5227014D" w:rsidR="00C96339" w:rsidRPr="00781112" w:rsidRDefault="002B7490" w:rsidP="00A018D4">
            <w:pPr>
              <w:jc w:val="center"/>
              <w:rPr>
                <w:rFonts w:cs="Arial"/>
                <w:color w:val="000000" w:themeColor="text1"/>
                <w:szCs w:val="16"/>
              </w:rPr>
            </w:pPr>
            <w:r w:rsidRPr="00781112">
              <w:rPr>
                <w:rFonts w:cs="Arial"/>
                <w:color w:val="000000" w:themeColor="text1"/>
                <w:szCs w:val="16"/>
              </w:rPr>
              <w:t>1,197</w:t>
            </w:r>
          </w:p>
        </w:tc>
        <w:tc>
          <w:tcPr>
            <w:tcW w:w="698" w:type="pct"/>
            <w:shd w:val="clear" w:color="auto" w:fill="auto"/>
            <w:vAlign w:val="center"/>
          </w:tcPr>
          <w:p w14:paraId="31391E82" w14:textId="0E0F2A0A" w:rsidR="00C96339" w:rsidRPr="00781112" w:rsidRDefault="002B7490" w:rsidP="00A018D4">
            <w:pPr>
              <w:jc w:val="center"/>
              <w:rPr>
                <w:rFonts w:cs="Arial"/>
                <w:color w:val="000000" w:themeColor="text1"/>
                <w:szCs w:val="16"/>
              </w:rPr>
            </w:pPr>
            <w:r w:rsidRPr="00781112">
              <w:rPr>
                <w:rFonts w:cs="Arial"/>
                <w:color w:val="000000" w:themeColor="text1"/>
                <w:szCs w:val="16"/>
              </w:rPr>
              <w:t>6,407</w:t>
            </w:r>
          </w:p>
        </w:tc>
        <w:tc>
          <w:tcPr>
            <w:tcW w:w="633" w:type="pct"/>
            <w:shd w:val="clear" w:color="auto" w:fill="auto"/>
          </w:tcPr>
          <w:p w14:paraId="77541D8A" w14:textId="254EC6F2" w:rsidR="00C96339" w:rsidRPr="00781112" w:rsidRDefault="002B7490" w:rsidP="00A018D4">
            <w:pPr>
              <w:jc w:val="center"/>
              <w:rPr>
                <w:rFonts w:cs="Arial"/>
                <w:color w:val="000000" w:themeColor="text1"/>
                <w:szCs w:val="16"/>
              </w:rPr>
            </w:pPr>
            <w:r w:rsidRPr="00781112">
              <w:rPr>
                <w:rFonts w:cs="Arial"/>
                <w:color w:val="000000" w:themeColor="text1"/>
                <w:szCs w:val="16"/>
              </w:rPr>
              <w:t>16.08%</w:t>
            </w:r>
          </w:p>
        </w:tc>
        <w:tc>
          <w:tcPr>
            <w:tcW w:w="967" w:type="pct"/>
            <w:shd w:val="clear" w:color="auto" w:fill="auto"/>
          </w:tcPr>
          <w:p w14:paraId="70FE3FCD" w14:textId="1A7F9FE0" w:rsidR="00C96339" w:rsidRPr="00781112" w:rsidRDefault="002B7490" w:rsidP="00A018D4">
            <w:pPr>
              <w:jc w:val="center"/>
              <w:rPr>
                <w:rFonts w:cs="Arial"/>
                <w:color w:val="000000" w:themeColor="text1"/>
                <w:szCs w:val="16"/>
              </w:rPr>
            </w:pPr>
            <w:r w:rsidRPr="00781112">
              <w:rPr>
                <w:rFonts w:cs="Arial"/>
                <w:color w:val="000000" w:themeColor="text1"/>
                <w:szCs w:val="16"/>
              </w:rPr>
              <w:t>16.67%</w:t>
            </w:r>
          </w:p>
        </w:tc>
        <w:tc>
          <w:tcPr>
            <w:tcW w:w="569" w:type="pct"/>
            <w:shd w:val="clear" w:color="auto" w:fill="auto"/>
          </w:tcPr>
          <w:p w14:paraId="64E2814C" w14:textId="135DB5EE" w:rsidR="00C96339" w:rsidRPr="00781112" w:rsidRDefault="002B7490" w:rsidP="00A018D4">
            <w:pPr>
              <w:jc w:val="center"/>
              <w:rPr>
                <w:rFonts w:cs="Arial"/>
                <w:color w:val="000000" w:themeColor="text1"/>
                <w:szCs w:val="16"/>
              </w:rPr>
            </w:pPr>
            <w:r w:rsidRPr="00781112">
              <w:rPr>
                <w:rFonts w:cs="Arial"/>
                <w:color w:val="000000" w:themeColor="text1"/>
                <w:szCs w:val="16"/>
              </w:rPr>
              <w:t>18.68%</w:t>
            </w:r>
          </w:p>
        </w:tc>
        <w:tc>
          <w:tcPr>
            <w:tcW w:w="724" w:type="pct"/>
            <w:shd w:val="clear" w:color="auto" w:fill="auto"/>
          </w:tcPr>
          <w:p w14:paraId="60873B1E" w14:textId="3A0A0AC5" w:rsidR="00C96339" w:rsidRPr="00781112" w:rsidRDefault="002B7490" w:rsidP="00A018D4">
            <w:pPr>
              <w:jc w:val="center"/>
              <w:rPr>
                <w:rFonts w:cs="Arial"/>
                <w:color w:val="000000" w:themeColor="text1"/>
                <w:szCs w:val="16"/>
              </w:rPr>
            </w:pPr>
            <w:r w:rsidRPr="00781112">
              <w:rPr>
                <w:rFonts w:cs="Arial"/>
                <w:color w:val="000000" w:themeColor="text1"/>
                <w:szCs w:val="16"/>
              </w:rPr>
              <w:t>Did not meet target</w:t>
            </w:r>
          </w:p>
        </w:tc>
        <w:tc>
          <w:tcPr>
            <w:tcW w:w="701" w:type="pct"/>
            <w:shd w:val="clear" w:color="auto" w:fill="auto"/>
          </w:tcPr>
          <w:p w14:paraId="3EF3C710" w14:textId="04969BC1" w:rsidR="00C96339" w:rsidRPr="00781112" w:rsidRDefault="002B7490" w:rsidP="00A018D4">
            <w:pPr>
              <w:jc w:val="center"/>
              <w:rPr>
                <w:rFonts w:cs="Arial"/>
                <w:color w:val="000000" w:themeColor="text1"/>
                <w:szCs w:val="16"/>
              </w:rPr>
            </w:pPr>
            <w:r w:rsidRPr="00781112">
              <w:rPr>
                <w:rFonts w:cs="Arial"/>
                <w:color w:val="000000" w:themeColor="text1"/>
                <w:szCs w:val="16"/>
              </w:rPr>
              <w:t>Slippage</w:t>
            </w:r>
          </w:p>
        </w:tc>
      </w:tr>
    </w:tbl>
    <w:p w14:paraId="58B37962" w14:textId="5B766A62" w:rsidR="000336AC" w:rsidRPr="00781112" w:rsidRDefault="00A869E9" w:rsidP="004369B2">
      <w:pPr>
        <w:rPr>
          <w:b/>
          <w:color w:val="000000" w:themeColor="text1"/>
        </w:rPr>
      </w:pPr>
      <w:r w:rsidRPr="00781112">
        <w:rPr>
          <w:b/>
          <w:color w:val="000000" w:themeColor="text1"/>
        </w:rPr>
        <w:t>Provide reasons for slippage, if applicable</w:t>
      </w:r>
    </w:p>
    <w:p w14:paraId="28607D64" w14:textId="1BA39541" w:rsidR="00A869E9" w:rsidRPr="00781112" w:rsidRDefault="002B7490" w:rsidP="000E33D0">
      <w:pPr>
        <w:rPr>
          <w:rFonts w:cs="Arial"/>
          <w:color w:val="000000" w:themeColor="text1"/>
          <w:szCs w:val="16"/>
          <w:shd w:val="clear" w:color="auto" w:fill="FFFFFF"/>
        </w:rPr>
      </w:pPr>
      <w:r w:rsidRPr="00781112">
        <w:rPr>
          <w:rFonts w:cs="Arial"/>
          <w:color w:val="000000" w:themeColor="text1"/>
          <w:szCs w:val="16"/>
          <w:shd w:val="clear" w:color="auto" w:fill="FFFFFF"/>
        </w:rPr>
        <w:t>Slippage is the result of a reset due to the impact of COVID 19 on schools and school policies. Colorado's AUs saw an increase in students graduating in SY 2020-21 and a decrease in students being reported as dropping out due to the impact of school closures and online learning during COVID. AUs reported graduating more students than they would have due to local policies that were temporarily implemented due to the pandemic. We are now recovering from those inflated numbers and our graduation rate for SY 2021-22 is just 0.6% below pre-COVID levels and our dropout rate for SY 2021-22 is only .08% greater than pre-COVID numbers. We also saw more students exiting this year with a certificate and aging out than last year.</w:t>
      </w:r>
    </w:p>
    <w:p w14:paraId="27A2EAFB" w14:textId="5DAAB5B0" w:rsidR="00A87A9D" w:rsidRPr="00781112" w:rsidRDefault="0083500D" w:rsidP="00552927">
      <w:pPr>
        <w:rPr>
          <w:rFonts w:cs="Arial"/>
          <w:b/>
          <w:color w:val="000000" w:themeColor="text1"/>
          <w:szCs w:val="16"/>
        </w:rPr>
      </w:pPr>
      <w:r w:rsidRPr="00781112">
        <w:rPr>
          <w:rFonts w:cs="Arial"/>
          <w:b/>
          <w:color w:val="000000" w:themeColor="text1"/>
          <w:szCs w:val="16"/>
        </w:rPr>
        <w:t>Provide a narrative that describes what counts as dropping out for all youth</w:t>
      </w:r>
    </w:p>
    <w:p w14:paraId="32A15CDA" w14:textId="3CA05678" w:rsidR="00A869E9" w:rsidRPr="00781112" w:rsidRDefault="002B7490" w:rsidP="000E33D0">
      <w:pPr>
        <w:rPr>
          <w:rFonts w:cs="Arial"/>
          <w:color w:val="000000" w:themeColor="text1"/>
          <w:szCs w:val="16"/>
          <w:shd w:val="clear" w:color="auto" w:fill="FFFFFF"/>
        </w:rPr>
      </w:pPr>
      <w:r w:rsidRPr="00781112">
        <w:rPr>
          <w:rFonts w:cs="Arial"/>
          <w:color w:val="000000" w:themeColor="text1"/>
          <w:szCs w:val="16"/>
          <w:shd w:val="clear" w:color="auto" w:fill="FFFFFF"/>
        </w:rPr>
        <w:lastRenderedPageBreak/>
        <w:t>By Colorado law, a dropout is defined as a "person who leaves school for any reason, except death, before completion of a high school diploma or its equivalent, and who does not transfer to another public or private school or enroll in an approved home study program." A student is not a dropout if he/she transfers to an educational program recognized by the district, completes a High School Equivalency Diploma (HSED) or registers in a program leading to a HSED, is committed to an institution that maintains educational programs, or is so ill that he/she is unable to participate in a homebound or special therapy program. Students who reach the age of 21 before receiving a diploma or designation of completion (“age-outs”) are also counted as dropouts.</w:t>
      </w:r>
    </w:p>
    <w:p w14:paraId="6E220BF0" w14:textId="157218DF" w:rsidR="00DD051F" w:rsidRPr="00781112" w:rsidRDefault="00DD051F" w:rsidP="000E33D0">
      <w:pPr>
        <w:rPr>
          <w:rFonts w:cs="Arial"/>
          <w:b/>
          <w:color w:val="000000" w:themeColor="text1"/>
          <w:szCs w:val="16"/>
        </w:rPr>
      </w:pPr>
      <w:r w:rsidRPr="00781112">
        <w:rPr>
          <w:rFonts w:cs="Arial"/>
          <w:b/>
          <w:color w:val="000000" w:themeColor="text1"/>
          <w:szCs w:val="16"/>
        </w:rPr>
        <w:t>Is there a difference in what counts as dropping out for youth with IEPs? (yes/no)</w:t>
      </w:r>
    </w:p>
    <w:p w14:paraId="5530CE18" w14:textId="2E8B8BC5" w:rsidR="00DD051F" w:rsidRPr="00781112" w:rsidRDefault="00DD051F" w:rsidP="000E33D0">
      <w:pPr>
        <w:rPr>
          <w:rFonts w:cs="Arial"/>
          <w:color w:val="000000" w:themeColor="text1"/>
          <w:szCs w:val="16"/>
        </w:rPr>
      </w:pPr>
      <w:r w:rsidRPr="00781112">
        <w:rPr>
          <w:rFonts w:cs="Arial"/>
          <w:color w:val="000000" w:themeColor="text1"/>
          <w:szCs w:val="16"/>
        </w:rPr>
        <w:t>YES</w:t>
      </w:r>
    </w:p>
    <w:p w14:paraId="4903B3F9" w14:textId="50D12777" w:rsidR="00E418E6" w:rsidRPr="00781112" w:rsidRDefault="00B7068F" w:rsidP="004369B2">
      <w:pPr>
        <w:rPr>
          <w:b/>
          <w:color w:val="000000" w:themeColor="text1"/>
        </w:rPr>
      </w:pPr>
      <w:r w:rsidRPr="00781112">
        <w:rPr>
          <w:b/>
          <w:color w:val="000000" w:themeColor="text1"/>
        </w:rPr>
        <w:t>If yes, explain the difference in what counts as dropping out for youth with IEPs.</w:t>
      </w:r>
    </w:p>
    <w:p w14:paraId="79A7C25A" w14:textId="1EDF1407" w:rsidR="00A869E9" w:rsidRPr="00781112" w:rsidRDefault="002B7490" w:rsidP="000E33D0">
      <w:pPr>
        <w:rPr>
          <w:rFonts w:cs="Arial"/>
          <w:color w:val="000000" w:themeColor="text1"/>
          <w:szCs w:val="16"/>
          <w:shd w:val="clear" w:color="auto" w:fill="FFFFFF"/>
        </w:rPr>
      </w:pPr>
      <w:r w:rsidRPr="00781112">
        <w:rPr>
          <w:rFonts w:cs="Arial"/>
          <w:color w:val="000000" w:themeColor="text1"/>
          <w:szCs w:val="16"/>
          <w:shd w:val="clear" w:color="auto" w:fill="FFFFFF"/>
        </w:rPr>
        <w:t>In Colorado, students who are considered as "exited from special education due to drop out" include students whose district reported them as one of the following: Transfer to a Career or Technical Education Program, Discontinued Schooling/Dropped Out, Expulsion, GED Transfer, Student Received GED from Non-District Program in the Same Year. The difference between the two is that while some students may still be engaged in educational pursuits (e.g., GED) they are no longer receiving district provided special education services in their new setting, thus they are "exited from special education." However, if they return to school prior to their 21st birthday, their IEP could be reinstated through conducting an updated evaluation. In addition, the students who “age out” are counted as “reached maximum age” rather than “dropped out.”</w:t>
      </w:r>
    </w:p>
    <w:p w14:paraId="44F7B282" w14:textId="77777777" w:rsidR="00F56834" w:rsidRPr="00781112" w:rsidRDefault="00F56834" w:rsidP="004369B2">
      <w:pPr>
        <w:rPr>
          <w:b/>
          <w:color w:val="000000" w:themeColor="text1"/>
        </w:rPr>
      </w:pPr>
      <w:bookmarkStart w:id="10" w:name="_Toc382082362"/>
      <w:bookmarkStart w:id="11" w:name="_Toc392159270"/>
      <w:bookmarkStart w:id="12" w:name="_Toc365403651"/>
      <w:r w:rsidRPr="00781112">
        <w:rPr>
          <w:b/>
          <w:color w:val="000000" w:themeColor="text1"/>
        </w:rPr>
        <w:t>Provide additional information about this indicator (optional)</w:t>
      </w:r>
    </w:p>
    <w:p w14:paraId="4492AB5A" w14:textId="63C5DA7E" w:rsidR="00A869E9" w:rsidRPr="00781112" w:rsidRDefault="00A869E9" w:rsidP="000E33D0">
      <w:pPr>
        <w:rPr>
          <w:rFonts w:cs="Arial"/>
          <w:color w:val="000000" w:themeColor="text1"/>
          <w:szCs w:val="16"/>
        </w:rPr>
      </w:pPr>
    </w:p>
    <w:p w14:paraId="6E187388" w14:textId="724EF642" w:rsidR="000A2C83" w:rsidRPr="00781112" w:rsidRDefault="00F914B4" w:rsidP="008645AD">
      <w:pPr>
        <w:pStyle w:val="Heading2"/>
      </w:pPr>
      <w:r w:rsidRPr="00781112">
        <w:t>2</w:t>
      </w:r>
      <w:r w:rsidR="00684B51" w:rsidRPr="00781112">
        <w:t xml:space="preserve"> </w:t>
      </w:r>
      <w:r w:rsidRPr="00781112">
        <w:t xml:space="preserve">- </w:t>
      </w:r>
      <w:r w:rsidR="000A2C83" w:rsidRPr="00781112">
        <w:t>Prior FFY Required Actions</w:t>
      </w:r>
    </w:p>
    <w:p w14:paraId="3B152B02" w14:textId="0A6719CC" w:rsidR="000A2C83" w:rsidRPr="00781112" w:rsidRDefault="002B7490" w:rsidP="000A2C83">
      <w:pPr>
        <w:rPr>
          <w:rFonts w:cs="Arial"/>
          <w:color w:val="000000" w:themeColor="text1"/>
          <w:szCs w:val="16"/>
        </w:rPr>
      </w:pPr>
      <w:r w:rsidRPr="00781112">
        <w:rPr>
          <w:rFonts w:cs="Arial"/>
          <w:color w:val="000000" w:themeColor="text1"/>
          <w:szCs w:val="16"/>
        </w:rPr>
        <w:t>None</w:t>
      </w:r>
    </w:p>
    <w:p w14:paraId="7896DD52" w14:textId="585814D8" w:rsidR="00DD051F" w:rsidRPr="00781112" w:rsidRDefault="00DD051F" w:rsidP="000A2C83">
      <w:pPr>
        <w:rPr>
          <w:rFonts w:cs="Arial"/>
          <w:color w:val="000000" w:themeColor="text1"/>
          <w:szCs w:val="16"/>
        </w:rPr>
      </w:pPr>
    </w:p>
    <w:p w14:paraId="306FF021" w14:textId="5A4A312B" w:rsidR="00F56834" w:rsidRPr="00781112" w:rsidRDefault="000D2287" w:rsidP="008645AD">
      <w:pPr>
        <w:pStyle w:val="Heading2"/>
      </w:pPr>
      <w:r w:rsidRPr="00781112">
        <w:t>2</w:t>
      </w:r>
      <w:r w:rsidR="00684B51" w:rsidRPr="00781112">
        <w:t xml:space="preserve"> </w:t>
      </w:r>
      <w:r w:rsidRPr="00781112">
        <w:t xml:space="preserve">- </w:t>
      </w:r>
      <w:r w:rsidR="00F56834" w:rsidRPr="00781112">
        <w:t>OSEP Response</w:t>
      </w:r>
    </w:p>
    <w:p w14:paraId="079F48D0" w14:textId="5CDDFF24" w:rsidR="00A869E9" w:rsidRPr="00781112" w:rsidRDefault="00A869E9" w:rsidP="001F692C">
      <w:pPr>
        <w:rPr>
          <w:rFonts w:cs="Arial"/>
          <w:color w:val="000000" w:themeColor="text1"/>
          <w:szCs w:val="16"/>
        </w:rPr>
      </w:pPr>
    </w:p>
    <w:p w14:paraId="6A1E3D87" w14:textId="6B4D2DBD" w:rsidR="00F56834" w:rsidRPr="00781112" w:rsidRDefault="000105C5" w:rsidP="008645AD">
      <w:pPr>
        <w:pStyle w:val="Heading2"/>
      </w:pPr>
      <w:r w:rsidRPr="00781112">
        <w:t>2 - Required Actions</w:t>
      </w:r>
    </w:p>
    <w:p w14:paraId="6C7960E7" w14:textId="06463459" w:rsidR="00A869E9" w:rsidRPr="00781112" w:rsidRDefault="00A869E9" w:rsidP="001F692C">
      <w:pPr>
        <w:rPr>
          <w:rFonts w:cs="Arial"/>
          <w:color w:val="000000" w:themeColor="text1"/>
          <w:szCs w:val="16"/>
        </w:rPr>
      </w:pPr>
    </w:p>
    <w:p w14:paraId="735D3BB6" w14:textId="20B8192A" w:rsidR="00553A47" w:rsidRPr="00781112" w:rsidRDefault="00D37BF0" w:rsidP="00553A47">
      <w:pPr>
        <w:pStyle w:val="Heading1"/>
        <w:rPr>
          <w:color w:val="000000" w:themeColor="text1"/>
          <w:sz w:val="22"/>
        </w:rPr>
      </w:pPr>
      <w:r w:rsidRPr="00781112">
        <w:rPr>
          <w:color w:val="000000" w:themeColor="text1"/>
          <w:szCs w:val="16"/>
        </w:rPr>
        <w:br w:type="page"/>
      </w:r>
      <w:r w:rsidR="00553A47" w:rsidRPr="00781112">
        <w:rPr>
          <w:color w:val="000000" w:themeColor="text1"/>
          <w:sz w:val="22"/>
        </w:rPr>
        <w:lastRenderedPageBreak/>
        <w:t>Indicator 3A: Participation for Children with IEPs</w:t>
      </w:r>
    </w:p>
    <w:p w14:paraId="5AC89D57" w14:textId="77777777" w:rsidR="00553A47" w:rsidRPr="00781112" w:rsidRDefault="00553A47" w:rsidP="00553A47">
      <w:pPr>
        <w:rPr>
          <w:color w:val="000000" w:themeColor="text1"/>
          <w:szCs w:val="20"/>
        </w:rPr>
      </w:pPr>
      <w:r w:rsidRPr="00781112">
        <w:rPr>
          <w:b/>
          <w:color w:val="000000" w:themeColor="text1"/>
          <w:sz w:val="20"/>
          <w:szCs w:val="20"/>
        </w:rPr>
        <w:t>Instructions and Measurement</w:t>
      </w:r>
    </w:p>
    <w:p w14:paraId="5D4905EB" w14:textId="77777777" w:rsidR="00553A47" w:rsidRPr="00781112" w:rsidRDefault="00553A47" w:rsidP="00553A47">
      <w:pPr>
        <w:rPr>
          <w:color w:val="000000" w:themeColor="text1"/>
        </w:rPr>
      </w:pPr>
      <w:r w:rsidRPr="00781112">
        <w:rPr>
          <w:b/>
          <w:color w:val="000000" w:themeColor="text1"/>
        </w:rPr>
        <w:t>Monitoring Priority:</w:t>
      </w:r>
      <w:r w:rsidRPr="00781112">
        <w:rPr>
          <w:color w:val="000000" w:themeColor="text1"/>
        </w:rPr>
        <w:t xml:space="preserve"> FAPE in the LRE</w:t>
      </w:r>
    </w:p>
    <w:p w14:paraId="5574F71D" w14:textId="77777777" w:rsidR="00553A47" w:rsidRPr="00781112" w:rsidRDefault="00553A47" w:rsidP="00553A47">
      <w:pPr>
        <w:rPr>
          <w:rFonts w:cs="Arial"/>
          <w:color w:val="000000" w:themeColor="text1"/>
          <w:szCs w:val="16"/>
        </w:rPr>
      </w:pPr>
      <w:r w:rsidRPr="00781112">
        <w:rPr>
          <w:rFonts w:cs="Arial"/>
          <w:b/>
          <w:color w:val="000000" w:themeColor="text1"/>
          <w:szCs w:val="16"/>
        </w:rPr>
        <w:t>Results indicator</w:t>
      </w:r>
      <w:r w:rsidRPr="00781112">
        <w:rPr>
          <w:rFonts w:cs="Arial"/>
          <w:color w:val="000000" w:themeColor="text1"/>
          <w:szCs w:val="16"/>
        </w:rPr>
        <w:t>: Participation and performance of children with IEPs on statewide assessments:</w:t>
      </w:r>
    </w:p>
    <w:p w14:paraId="0338FF36" w14:textId="39B31752" w:rsidR="00553A47" w:rsidRPr="00781112" w:rsidRDefault="00553A47" w:rsidP="00553A47">
      <w:pPr>
        <w:ind w:firstLine="720"/>
        <w:rPr>
          <w:rFonts w:cs="Arial"/>
          <w:color w:val="000000" w:themeColor="text1"/>
          <w:szCs w:val="16"/>
        </w:rPr>
      </w:pPr>
      <w:r w:rsidRPr="00781112">
        <w:rPr>
          <w:rFonts w:cs="Arial"/>
          <w:color w:val="000000" w:themeColor="text1"/>
          <w:szCs w:val="16"/>
        </w:rPr>
        <w:t>A. Participation rate for children with IEPs.</w:t>
      </w:r>
    </w:p>
    <w:p w14:paraId="3CA36EC5" w14:textId="078762D9" w:rsidR="00553A47" w:rsidRPr="00781112" w:rsidRDefault="00553A47" w:rsidP="00553A47">
      <w:pPr>
        <w:ind w:firstLine="720"/>
        <w:rPr>
          <w:rFonts w:cs="Arial"/>
          <w:color w:val="000000" w:themeColor="text1"/>
          <w:szCs w:val="16"/>
        </w:rPr>
      </w:pPr>
      <w:r w:rsidRPr="00781112">
        <w:rPr>
          <w:rFonts w:cs="Arial"/>
          <w:color w:val="000000" w:themeColor="text1"/>
          <w:szCs w:val="16"/>
        </w:rPr>
        <w:t xml:space="preserve">B. </w:t>
      </w:r>
      <w:r w:rsidR="001A2D6A" w:rsidRPr="00781112">
        <w:rPr>
          <w:rFonts w:cs="Arial"/>
          <w:szCs w:val="16"/>
        </w:rPr>
        <w:t>Proficiency rate for children with IEPs against grade level academic achievement standards.</w:t>
      </w:r>
    </w:p>
    <w:p w14:paraId="64DD3F3A" w14:textId="04853D07" w:rsidR="00553A47" w:rsidRPr="00781112" w:rsidRDefault="00553A47" w:rsidP="00553A47">
      <w:pPr>
        <w:ind w:firstLine="720"/>
        <w:rPr>
          <w:rFonts w:cs="Arial"/>
          <w:color w:val="000000" w:themeColor="text1"/>
          <w:szCs w:val="16"/>
        </w:rPr>
      </w:pPr>
      <w:r w:rsidRPr="00781112">
        <w:rPr>
          <w:rFonts w:cs="Arial"/>
          <w:color w:val="000000" w:themeColor="text1"/>
          <w:szCs w:val="16"/>
        </w:rPr>
        <w:t>C. Proficiency rate for children with IEPs against alternate academic achievement standards.</w:t>
      </w:r>
    </w:p>
    <w:p w14:paraId="0682F204" w14:textId="1717FB60" w:rsidR="00EB7555" w:rsidRPr="00781112" w:rsidRDefault="00EB7555" w:rsidP="00553A47">
      <w:pPr>
        <w:ind w:firstLine="720"/>
        <w:rPr>
          <w:rFonts w:cs="Arial"/>
          <w:color w:val="000000" w:themeColor="text1"/>
          <w:szCs w:val="16"/>
        </w:rPr>
      </w:pPr>
      <w:r w:rsidRPr="00781112">
        <w:rPr>
          <w:rFonts w:cs="Arial"/>
          <w:color w:val="000000" w:themeColor="text1"/>
          <w:szCs w:val="16"/>
        </w:rPr>
        <w:t>D.</w:t>
      </w:r>
      <w:r w:rsidR="00943CE1" w:rsidRPr="00781112">
        <w:rPr>
          <w:rFonts w:cs="Arial"/>
          <w:szCs w:val="16"/>
        </w:rPr>
        <w:t xml:space="preserve"> Gap in proficiency rates for children with IEPs and all students against grade level academic achievement standards.</w:t>
      </w:r>
    </w:p>
    <w:p w14:paraId="16CF85BD" w14:textId="77777777" w:rsidR="00553A47" w:rsidRPr="00781112" w:rsidRDefault="00553A47" w:rsidP="00553A47">
      <w:pPr>
        <w:rPr>
          <w:rFonts w:cs="Arial"/>
          <w:color w:val="000000" w:themeColor="text1"/>
          <w:szCs w:val="16"/>
        </w:rPr>
      </w:pPr>
      <w:r w:rsidRPr="00781112">
        <w:rPr>
          <w:rFonts w:cs="Arial"/>
          <w:color w:val="000000" w:themeColor="text1"/>
          <w:szCs w:val="16"/>
        </w:rPr>
        <w:t>(20 U.S.C. 1416 (a)(3)(A))</w:t>
      </w:r>
    </w:p>
    <w:p w14:paraId="324A6C31" w14:textId="77777777" w:rsidR="00553A47" w:rsidRPr="00781112" w:rsidRDefault="00553A47" w:rsidP="00553A47">
      <w:pPr>
        <w:rPr>
          <w:color w:val="000000" w:themeColor="text1"/>
        </w:rPr>
      </w:pPr>
      <w:r w:rsidRPr="00781112">
        <w:rPr>
          <w:b/>
          <w:color w:val="000000" w:themeColor="text1"/>
        </w:rPr>
        <w:t>Data Source</w:t>
      </w:r>
    </w:p>
    <w:p w14:paraId="6C25670B" w14:textId="158BF188" w:rsidR="00553A47" w:rsidRPr="00781112" w:rsidRDefault="00553A47" w:rsidP="00553A47">
      <w:pPr>
        <w:rPr>
          <w:rFonts w:cs="Arial"/>
          <w:color w:val="000000" w:themeColor="text1"/>
          <w:szCs w:val="16"/>
        </w:rPr>
      </w:pPr>
      <w:r w:rsidRPr="00781112">
        <w:rPr>
          <w:rFonts w:cs="Arial"/>
          <w:color w:val="000000" w:themeColor="text1"/>
          <w:szCs w:val="16"/>
        </w:rPr>
        <w:t>3A. Same data as used for reporting to the Department under Title I of the ESEA, using ED</w:t>
      </w:r>
      <w:r w:rsidRPr="00BA3DBE">
        <w:rPr>
          <w:rFonts w:cs="Arial"/>
          <w:i/>
          <w:iCs/>
          <w:color w:val="000000" w:themeColor="text1"/>
          <w:szCs w:val="16"/>
        </w:rPr>
        <w:t>Facts</w:t>
      </w:r>
      <w:r w:rsidRPr="00781112">
        <w:rPr>
          <w:rFonts w:cs="Arial"/>
          <w:color w:val="000000" w:themeColor="text1"/>
          <w:szCs w:val="16"/>
        </w:rPr>
        <w:t xml:space="preserve"> file specifications FS185 and 188.</w:t>
      </w:r>
    </w:p>
    <w:p w14:paraId="71EF09A1" w14:textId="77777777" w:rsidR="00553A47" w:rsidRPr="00781112" w:rsidRDefault="00553A47" w:rsidP="00553A47">
      <w:pPr>
        <w:rPr>
          <w:color w:val="000000" w:themeColor="text1"/>
        </w:rPr>
      </w:pPr>
      <w:r w:rsidRPr="00781112">
        <w:rPr>
          <w:b/>
          <w:color w:val="000000" w:themeColor="text1"/>
        </w:rPr>
        <w:t>Measurement</w:t>
      </w:r>
    </w:p>
    <w:p w14:paraId="7A515068" w14:textId="2DA214AF" w:rsidR="00553A47" w:rsidRPr="00781112" w:rsidRDefault="00943CE1" w:rsidP="00553A47">
      <w:pPr>
        <w:rPr>
          <w:rFonts w:cs="Arial"/>
          <w:color w:val="000000" w:themeColor="text1"/>
          <w:szCs w:val="16"/>
        </w:rPr>
      </w:pPr>
      <w:r w:rsidRPr="00781112">
        <w:rPr>
          <w:rFonts w:cs="Arial"/>
          <w:color w:val="000000" w:themeColor="text1"/>
          <w:szCs w:val="16"/>
        </w:rPr>
        <w:t>A. Participation rate percent = [(# of children with IEPs participating in an assessment) divided by the (total # of children with IEPs enrolled during the testing window)]. Calculate separately for reading and math. Calculate separately for grades 4, 8, and high school. The participation rate is based on all children with IEPs, including both children with IEPs enrolled for a full academic year and those not enrolled for a full academic year.</w:t>
      </w:r>
    </w:p>
    <w:p w14:paraId="1C86ADC7" w14:textId="77777777" w:rsidR="00553A47" w:rsidRPr="00781112" w:rsidRDefault="00553A47" w:rsidP="00553A47">
      <w:pPr>
        <w:rPr>
          <w:color w:val="000000" w:themeColor="text1"/>
        </w:rPr>
      </w:pPr>
      <w:r w:rsidRPr="00781112">
        <w:rPr>
          <w:b/>
          <w:color w:val="000000" w:themeColor="text1"/>
        </w:rPr>
        <w:t>Instructions</w:t>
      </w:r>
    </w:p>
    <w:p w14:paraId="2E7C9B5C" w14:textId="77777777" w:rsidR="001B75FD" w:rsidRPr="00781112" w:rsidRDefault="001B75FD" w:rsidP="001B75FD">
      <w:pPr>
        <w:pStyle w:val="Subhed"/>
        <w:rPr>
          <w:b w:val="0"/>
          <w:bCs/>
        </w:rPr>
      </w:pPr>
      <w:r w:rsidRPr="00781112">
        <w:rPr>
          <w:b w:val="0"/>
          <w:bCs/>
        </w:rPr>
        <w:t>Describe the results of the calculations and compare the results to the targets.  Provide the actual numbers used in the calculation.</w:t>
      </w:r>
    </w:p>
    <w:p w14:paraId="7D60E85E" w14:textId="77777777" w:rsidR="001B75FD" w:rsidRPr="00781112" w:rsidRDefault="001B75FD" w:rsidP="001B75FD">
      <w:pPr>
        <w:pStyle w:val="Subhed"/>
        <w:rPr>
          <w:b w:val="0"/>
          <w:bCs/>
        </w:rPr>
      </w:pPr>
      <w:r w:rsidRPr="00781112">
        <w:rPr>
          <w:b w:val="0"/>
          <w:bCs/>
        </w:rPr>
        <w:t xml:space="preserve">Include information regarding where to find public reports of assessment participation and performance results, as required by 34 CFR §300.160(f), </w:t>
      </w:r>
      <w:r w:rsidRPr="00BA3DBE">
        <w:rPr>
          <w:b w:val="0"/>
          <w:bCs/>
          <w:iCs/>
        </w:rPr>
        <w:t>i.e.</w:t>
      </w:r>
      <w:r w:rsidRPr="006F6E8E">
        <w:rPr>
          <w:b w:val="0"/>
          <w:bCs/>
          <w:iCs/>
        </w:rPr>
        <w:t>,</w:t>
      </w:r>
      <w:r w:rsidRPr="00781112">
        <w:rPr>
          <w:b w:val="0"/>
          <w:bCs/>
        </w:rPr>
        <w:t xml:space="preserve"> a link to the Web site where these data are reported.</w:t>
      </w:r>
    </w:p>
    <w:p w14:paraId="7A7658A6" w14:textId="09BF5716" w:rsidR="00553A47" w:rsidRPr="00781112" w:rsidRDefault="001B75FD" w:rsidP="001B75FD">
      <w:pPr>
        <w:rPr>
          <w:rFonts w:cs="Arial"/>
          <w:color w:val="000000" w:themeColor="text1"/>
          <w:szCs w:val="16"/>
        </w:rPr>
      </w:pPr>
      <w:r w:rsidRPr="00781112">
        <w:rPr>
          <w:bCs/>
        </w:rPr>
        <w:t>Indicator 3A: Provide separate reading/language arts and mathematics participation rates for children with IEPs for each of the following grades: 4, 8, &amp; high school.  Account for ALL children with IEPs, in grades 4, 8, and high school, including children not participating in assessments and those not enrolled for a full academic year. Only include children with disabilities who had an IEP at the time of testing</w:t>
      </w:r>
      <w:r w:rsidR="00553A47" w:rsidRPr="00781112">
        <w:rPr>
          <w:rFonts w:cs="Arial"/>
          <w:color w:val="000000" w:themeColor="text1"/>
          <w:szCs w:val="16"/>
        </w:rPr>
        <w:t>.</w:t>
      </w:r>
    </w:p>
    <w:p w14:paraId="2933C3C1" w14:textId="76D8DB4D" w:rsidR="00553A47" w:rsidRPr="00781112" w:rsidRDefault="00553A47" w:rsidP="00553A47">
      <w:pPr>
        <w:pStyle w:val="Heading2"/>
      </w:pPr>
      <w:r w:rsidRPr="00781112">
        <w:t>3A - Indicator Data</w:t>
      </w:r>
    </w:p>
    <w:p w14:paraId="1E2CE8D4" w14:textId="48F23E39" w:rsidR="00361CFA" w:rsidRPr="00781112" w:rsidRDefault="00CB348D" w:rsidP="00360DD6">
      <w:pPr>
        <w:rPr>
          <w:b/>
          <w:color w:val="000000" w:themeColor="text1"/>
        </w:rPr>
      </w:pPr>
      <w:r w:rsidRPr="00781112">
        <w:rPr>
          <w:b/>
          <w:color w:val="000000" w:themeColor="text1"/>
        </w:rPr>
        <w:t>Historical Data: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B03AHISTDATA"/>
      </w:tblPr>
      <w:tblGrid>
        <w:gridCol w:w="1588"/>
        <w:gridCol w:w="1588"/>
        <w:gridCol w:w="2538"/>
        <w:gridCol w:w="2538"/>
        <w:gridCol w:w="2538"/>
      </w:tblGrid>
      <w:tr w:rsidR="0050331E" w:rsidRPr="00781112" w14:paraId="640BEE62" w14:textId="0ABABB4E" w:rsidTr="009725F4">
        <w:trPr>
          <w:trHeight w:val="368"/>
          <w:tblHeader/>
        </w:trPr>
        <w:tc>
          <w:tcPr>
            <w:tcW w:w="736" w:type="pct"/>
            <w:tcBorders>
              <w:top w:val="single" w:sz="4" w:space="0" w:color="auto"/>
            </w:tcBorders>
            <w:vAlign w:val="center"/>
          </w:tcPr>
          <w:p w14:paraId="41D9612B" w14:textId="31CE748B" w:rsidR="00E5212B" w:rsidRPr="00781112" w:rsidRDefault="00E5212B" w:rsidP="00827FF4">
            <w:pPr>
              <w:jc w:val="center"/>
              <w:rPr>
                <w:rFonts w:cs="Arial"/>
                <w:b/>
                <w:color w:val="000000" w:themeColor="text1"/>
                <w:szCs w:val="16"/>
              </w:rPr>
            </w:pPr>
            <w:r w:rsidRPr="00781112">
              <w:rPr>
                <w:rFonts w:cs="Arial"/>
                <w:b/>
                <w:color w:val="000000" w:themeColor="text1"/>
                <w:szCs w:val="16"/>
              </w:rPr>
              <w:t>Subject</w:t>
            </w:r>
          </w:p>
        </w:tc>
        <w:tc>
          <w:tcPr>
            <w:tcW w:w="736" w:type="pct"/>
            <w:tcBorders>
              <w:top w:val="single" w:sz="4" w:space="0" w:color="auto"/>
            </w:tcBorders>
            <w:shd w:val="clear" w:color="auto" w:fill="auto"/>
            <w:vAlign w:val="center"/>
          </w:tcPr>
          <w:p w14:paraId="7F27E97C" w14:textId="557342E0" w:rsidR="00E5212B" w:rsidRPr="00781112" w:rsidRDefault="00E5212B" w:rsidP="00827FF4">
            <w:pPr>
              <w:jc w:val="center"/>
              <w:rPr>
                <w:rFonts w:cs="Arial"/>
                <w:b/>
                <w:color w:val="000000" w:themeColor="text1"/>
                <w:szCs w:val="16"/>
              </w:rPr>
            </w:pPr>
            <w:r w:rsidRPr="00781112">
              <w:rPr>
                <w:rFonts w:cs="Arial"/>
                <w:b/>
                <w:color w:val="000000" w:themeColor="text1"/>
                <w:szCs w:val="16"/>
              </w:rPr>
              <w:t xml:space="preserve">Group </w:t>
            </w:r>
          </w:p>
        </w:tc>
        <w:tc>
          <w:tcPr>
            <w:tcW w:w="1176" w:type="pct"/>
            <w:tcBorders>
              <w:top w:val="single" w:sz="4" w:space="0" w:color="auto"/>
            </w:tcBorders>
            <w:shd w:val="clear" w:color="auto" w:fill="auto"/>
            <w:vAlign w:val="center"/>
          </w:tcPr>
          <w:p w14:paraId="39353288" w14:textId="77777777" w:rsidR="00E5212B" w:rsidRPr="00781112" w:rsidRDefault="00E5212B" w:rsidP="00827FF4">
            <w:pPr>
              <w:jc w:val="center"/>
              <w:rPr>
                <w:rFonts w:cs="Arial"/>
                <w:b/>
                <w:color w:val="000000" w:themeColor="text1"/>
                <w:szCs w:val="16"/>
              </w:rPr>
            </w:pPr>
            <w:r w:rsidRPr="00781112">
              <w:rPr>
                <w:rFonts w:cs="Arial"/>
                <w:b/>
                <w:color w:val="000000" w:themeColor="text1"/>
                <w:szCs w:val="16"/>
              </w:rPr>
              <w:t xml:space="preserve">Group Name </w:t>
            </w:r>
          </w:p>
        </w:tc>
        <w:tc>
          <w:tcPr>
            <w:tcW w:w="1176" w:type="pct"/>
            <w:tcBorders>
              <w:top w:val="single" w:sz="4" w:space="0" w:color="auto"/>
            </w:tcBorders>
            <w:shd w:val="clear" w:color="auto" w:fill="auto"/>
            <w:vAlign w:val="center"/>
          </w:tcPr>
          <w:p w14:paraId="48E0683E" w14:textId="7AFDFE4C" w:rsidR="00E5212B" w:rsidRPr="00781112" w:rsidRDefault="00E5212B" w:rsidP="00827FF4">
            <w:pPr>
              <w:jc w:val="center"/>
              <w:rPr>
                <w:rFonts w:cs="Arial"/>
                <w:b/>
                <w:color w:val="000000" w:themeColor="text1"/>
                <w:szCs w:val="16"/>
              </w:rPr>
            </w:pPr>
            <w:r w:rsidRPr="00781112">
              <w:rPr>
                <w:rFonts w:cs="Arial"/>
                <w:b/>
                <w:color w:val="000000" w:themeColor="text1"/>
                <w:szCs w:val="16"/>
              </w:rPr>
              <w:t xml:space="preserve">Baseline Year </w:t>
            </w:r>
          </w:p>
        </w:tc>
        <w:tc>
          <w:tcPr>
            <w:tcW w:w="1176" w:type="pct"/>
            <w:tcBorders>
              <w:top w:val="single" w:sz="4" w:space="0" w:color="auto"/>
            </w:tcBorders>
            <w:vAlign w:val="center"/>
          </w:tcPr>
          <w:p w14:paraId="38B04ED7" w14:textId="46EC1601" w:rsidR="00E5212B" w:rsidRPr="00781112" w:rsidRDefault="00E5212B" w:rsidP="00827FF4">
            <w:pPr>
              <w:jc w:val="center"/>
              <w:rPr>
                <w:rFonts w:cs="Arial"/>
                <w:b/>
                <w:color w:val="000000" w:themeColor="text1"/>
                <w:szCs w:val="16"/>
              </w:rPr>
            </w:pPr>
            <w:r w:rsidRPr="00781112">
              <w:rPr>
                <w:rFonts w:cs="Arial"/>
                <w:b/>
                <w:color w:val="000000" w:themeColor="text1"/>
                <w:szCs w:val="16"/>
              </w:rPr>
              <w:t>Baseline Data</w:t>
            </w:r>
          </w:p>
        </w:tc>
      </w:tr>
      <w:tr w:rsidR="0050331E" w:rsidRPr="00781112" w14:paraId="24FC0173" w14:textId="04F4BEEC" w:rsidTr="00360DD6">
        <w:trPr>
          <w:trHeight w:val="368"/>
        </w:trPr>
        <w:tc>
          <w:tcPr>
            <w:tcW w:w="736" w:type="pct"/>
            <w:vAlign w:val="center"/>
          </w:tcPr>
          <w:p w14:paraId="5EFBA3AC" w14:textId="71314A80" w:rsidR="0044716A" w:rsidRPr="00781112" w:rsidRDefault="0044716A" w:rsidP="0044716A">
            <w:pPr>
              <w:spacing w:before="0" w:after="0"/>
              <w:jc w:val="center"/>
              <w:rPr>
                <w:rFonts w:cs="Arial"/>
                <w:b/>
                <w:bCs/>
                <w:color w:val="000000" w:themeColor="text1"/>
                <w:szCs w:val="16"/>
              </w:rPr>
            </w:pPr>
            <w:r w:rsidRPr="00781112">
              <w:rPr>
                <w:rFonts w:cs="Arial"/>
                <w:szCs w:val="16"/>
              </w:rPr>
              <w:t>Reading</w:t>
            </w:r>
          </w:p>
        </w:tc>
        <w:tc>
          <w:tcPr>
            <w:tcW w:w="736" w:type="pct"/>
            <w:shd w:val="clear" w:color="auto" w:fill="auto"/>
            <w:vAlign w:val="center"/>
          </w:tcPr>
          <w:p w14:paraId="38C519F7" w14:textId="44BB42BA" w:rsidR="0044716A" w:rsidRPr="00781112" w:rsidRDefault="0044716A" w:rsidP="0044716A">
            <w:pPr>
              <w:spacing w:before="0" w:after="0"/>
              <w:jc w:val="center"/>
              <w:rPr>
                <w:rFonts w:cs="Arial"/>
                <w:color w:val="000000" w:themeColor="text1"/>
                <w:szCs w:val="16"/>
              </w:rPr>
            </w:pPr>
            <w:r w:rsidRPr="00781112">
              <w:rPr>
                <w:rFonts w:cs="Arial"/>
                <w:color w:val="000000" w:themeColor="text1"/>
                <w:szCs w:val="16"/>
              </w:rPr>
              <w:t>A</w:t>
            </w:r>
          </w:p>
        </w:tc>
        <w:tc>
          <w:tcPr>
            <w:tcW w:w="1176" w:type="pct"/>
            <w:shd w:val="clear" w:color="auto" w:fill="auto"/>
            <w:vAlign w:val="center"/>
          </w:tcPr>
          <w:p w14:paraId="7C81F5F0" w14:textId="67FBA765" w:rsidR="0044716A" w:rsidRPr="00781112" w:rsidRDefault="0044716A" w:rsidP="0044716A">
            <w:pPr>
              <w:jc w:val="center"/>
              <w:rPr>
                <w:rFonts w:cs="Arial"/>
                <w:color w:val="000000" w:themeColor="text1"/>
                <w:szCs w:val="16"/>
              </w:rPr>
            </w:pPr>
            <w:r w:rsidRPr="00781112">
              <w:rPr>
                <w:rFonts w:cs="Arial"/>
                <w:color w:val="000000" w:themeColor="text1"/>
                <w:szCs w:val="16"/>
              </w:rPr>
              <w:t>Grade 4</w:t>
            </w:r>
          </w:p>
        </w:tc>
        <w:tc>
          <w:tcPr>
            <w:tcW w:w="1176" w:type="pct"/>
            <w:shd w:val="clear" w:color="auto" w:fill="auto"/>
            <w:vAlign w:val="center"/>
          </w:tcPr>
          <w:p w14:paraId="3F4068A9" w14:textId="08EF8DB7" w:rsidR="0044716A" w:rsidRPr="00781112" w:rsidRDefault="0044716A" w:rsidP="00360DD6">
            <w:pPr>
              <w:jc w:val="center"/>
              <w:rPr>
                <w:rFonts w:cs="Arial"/>
                <w:color w:val="000000" w:themeColor="text1"/>
                <w:szCs w:val="16"/>
              </w:rPr>
            </w:pPr>
            <w:r w:rsidRPr="00781112">
              <w:rPr>
                <w:rFonts w:cs="Arial"/>
                <w:color w:val="000000" w:themeColor="text1"/>
                <w:szCs w:val="16"/>
              </w:rPr>
              <w:t>2015</w:t>
            </w:r>
          </w:p>
        </w:tc>
        <w:tc>
          <w:tcPr>
            <w:tcW w:w="1176" w:type="pct"/>
            <w:vAlign w:val="center"/>
          </w:tcPr>
          <w:p w14:paraId="3C4D03F4" w14:textId="691C6AA3" w:rsidR="0044716A" w:rsidRPr="00781112" w:rsidRDefault="0044716A" w:rsidP="0044716A">
            <w:pPr>
              <w:spacing w:before="0" w:after="0"/>
              <w:jc w:val="center"/>
              <w:rPr>
                <w:color w:val="000000" w:themeColor="text1"/>
              </w:rPr>
            </w:pPr>
            <w:r w:rsidRPr="00781112">
              <w:rPr>
                <w:rFonts w:cs="Arial"/>
                <w:color w:val="000000" w:themeColor="text1"/>
                <w:szCs w:val="16"/>
              </w:rPr>
              <w:t>91.14%</w:t>
            </w:r>
          </w:p>
        </w:tc>
      </w:tr>
      <w:tr w:rsidR="0050331E" w:rsidRPr="00781112" w14:paraId="4F9BC9D4" w14:textId="17B65B8C" w:rsidTr="00360DD6">
        <w:trPr>
          <w:trHeight w:val="368"/>
        </w:trPr>
        <w:tc>
          <w:tcPr>
            <w:tcW w:w="736" w:type="pct"/>
            <w:vAlign w:val="center"/>
          </w:tcPr>
          <w:p w14:paraId="7AB33ACC" w14:textId="0B04094A" w:rsidR="005246CC" w:rsidRPr="00781112" w:rsidRDefault="005246CC" w:rsidP="005246CC">
            <w:pPr>
              <w:spacing w:before="0" w:after="0"/>
              <w:jc w:val="center"/>
              <w:rPr>
                <w:rFonts w:cs="Arial"/>
                <w:b/>
                <w:bCs/>
                <w:color w:val="000000" w:themeColor="text1"/>
                <w:szCs w:val="16"/>
              </w:rPr>
            </w:pPr>
            <w:r w:rsidRPr="00781112">
              <w:rPr>
                <w:rFonts w:cs="Arial"/>
                <w:szCs w:val="16"/>
              </w:rPr>
              <w:t>Reading</w:t>
            </w:r>
          </w:p>
        </w:tc>
        <w:tc>
          <w:tcPr>
            <w:tcW w:w="736" w:type="pct"/>
            <w:shd w:val="clear" w:color="auto" w:fill="auto"/>
            <w:vAlign w:val="center"/>
          </w:tcPr>
          <w:p w14:paraId="72D05B63" w14:textId="45D6CED5" w:rsidR="005246CC" w:rsidRPr="00781112" w:rsidRDefault="005246CC" w:rsidP="005246CC">
            <w:pPr>
              <w:spacing w:before="0" w:after="0"/>
              <w:jc w:val="center"/>
              <w:rPr>
                <w:rFonts w:cs="Arial"/>
                <w:color w:val="000000" w:themeColor="text1"/>
                <w:szCs w:val="16"/>
              </w:rPr>
            </w:pPr>
            <w:r w:rsidRPr="00781112">
              <w:rPr>
                <w:rFonts w:cs="Arial"/>
                <w:color w:val="000000" w:themeColor="text1"/>
                <w:szCs w:val="16"/>
              </w:rPr>
              <w:t>B</w:t>
            </w:r>
          </w:p>
        </w:tc>
        <w:tc>
          <w:tcPr>
            <w:tcW w:w="1176" w:type="pct"/>
            <w:shd w:val="clear" w:color="auto" w:fill="auto"/>
            <w:vAlign w:val="center"/>
          </w:tcPr>
          <w:p w14:paraId="3E4ED129" w14:textId="1B77E470" w:rsidR="005246CC" w:rsidRPr="00781112" w:rsidRDefault="005246CC" w:rsidP="005246CC">
            <w:pPr>
              <w:spacing w:before="0" w:after="0"/>
              <w:jc w:val="center"/>
              <w:rPr>
                <w:rFonts w:cs="Arial"/>
                <w:color w:val="000000" w:themeColor="text1"/>
                <w:szCs w:val="16"/>
              </w:rPr>
            </w:pPr>
            <w:r w:rsidRPr="00781112">
              <w:rPr>
                <w:rFonts w:cs="Arial"/>
                <w:color w:val="000000" w:themeColor="text1"/>
                <w:szCs w:val="16"/>
              </w:rPr>
              <w:t>Grade 8</w:t>
            </w:r>
          </w:p>
        </w:tc>
        <w:tc>
          <w:tcPr>
            <w:tcW w:w="1176" w:type="pct"/>
            <w:shd w:val="clear" w:color="auto" w:fill="auto"/>
            <w:vAlign w:val="center"/>
          </w:tcPr>
          <w:p w14:paraId="70BAF6D2" w14:textId="6183503D" w:rsidR="005246CC" w:rsidRPr="00781112" w:rsidRDefault="005246CC" w:rsidP="00360DD6">
            <w:pPr>
              <w:jc w:val="center"/>
              <w:rPr>
                <w:rFonts w:cs="Arial"/>
                <w:color w:val="000000" w:themeColor="text1"/>
                <w:szCs w:val="16"/>
              </w:rPr>
            </w:pPr>
            <w:r w:rsidRPr="00781112">
              <w:rPr>
                <w:rFonts w:cs="Arial"/>
                <w:color w:val="000000" w:themeColor="text1"/>
                <w:szCs w:val="16"/>
              </w:rPr>
              <w:t>2015</w:t>
            </w:r>
          </w:p>
        </w:tc>
        <w:tc>
          <w:tcPr>
            <w:tcW w:w="1176" w:type="pct"/>
            <w:vAlign w:val="center"/>
          </w:tcPr>
          <w:p w14:paraId="49E2C5F4" w14:textId="05AA23CF" w:rsidR="005246CC" w:rsidRPr="00781112" w:rsidRDefault="005246CC" w:rsidP="005246CC">
            <w:pPr>
              <w:spacing w:before="0" w:after="0"/>
              <w:jc w:val="center"/>
              <w:rPr>
                <w:rFonts w:cs="Arial"/>
                <w:color w:val="000000" w:themeColor="text1"/>
                <w:szCs w:val="16"/>
              </w:rPr>
            </w:pPr>
            <w:r w:rsidRPr="00781112">
              <w:rPr>
                <w:rFonts w:cs="Arial"/>
                <w:color w:val="000000" w:themeColor="text1"/>
                <w:szCs w:val="16"/>
              </w:rPr>
              <w:t>82.96%</w:t>
            </w:r>
          </w:p>
        </w:tc>
      </w:tr>
      <w:tr w:rsidR="0050331E" w:rsidRPr="00781112" w14:paraId="0B899335" w14:textId="7CB02598" w:rsidTr="00360DD6">
        <w:trPr>
          <w:trHeight w:val="368"/>
        </w:trPr>
        <w:tc>
          <w:tcPr>
            <w:tcW w:w="736" w:type="pct"/>
            <w:vAlign w:val="center"/>
          </w:tcPr>
          <w:p w14:paraId="6148FD1E" w14:textId="34E507DE" w:rsidR="005246CC" w:rsidRPr="00781112" w:rsidRDefault="005246CC" w:rsidP="005246CC">
            <w:pPr>
              <w:spacing w:before="0" w:after="0"/>
              <w:jc w:val="center"/>
              <w:rPr>
                <w:rFonts w:cs="Arial"/>
                <w:b/>
                <w:bCs/>
                <w:color w:val="000000" w:themeColor="text1"/>
                <w:szCs w:val="16"/>
              </w:rPr>
            </w:pPr>
            <w:r w:rsidRPr="00781112">
              <w:rPr>
                <w:rFonts w:cs="Arial"/>
                <w:szCs w:val="16"/>
              </w:rPr>
              <w:t>Reading</w:t>
            </w:r>
          </w:p>
        </w:tc>
        <w:tc>
          <w:tcPr>
            <w:tcW w:w="736" w:type="pct"/>
            <w:shd w:val="clear" w:color="auto" w:fill="auto"/>
            <w:vAlign w:val="center"/>
          </w:tcPr>
          <w:p w14:paraId="269AA774" w14:textId="3B2C9DD9" w:rsidR="005246CC" w:rsidRPr="00781112" w:rsidRDefault="005246CC" w:rsidP="005246CC">
            <w:pPr>
              <w:spacing w:before="0" w:after="0"/>
              <w:jc w:val="center"/>
              <w:rPr>
                <w:rFonts w:cs="Arial"/>
                <w:color w:val="000000" w:themeColor="text1"/>
                <w:szCs w:val="16"/>
              </w:rPr>
            </w:pPr>
            <w:r w:rsidRPr="00781112">
              <w:rPr>
                <w:rFonts w:cs="Arial"/>
                <w:color w:val="000000" w:themeColor="text1"/>
                <w:szCs w:val="16"/>
              </w:rPr>
              <w:t>C</w:t>
            </w:r>
          </w:p>
        </w:tc>
        <w:tc>
          <w:tcPr>
            <w:tcW w:w="1176" w:type="pct"/>
            <w:shd w:val="clear" w:color="auto" w:fill="auto"/>
            <w:vAlign w:val="center"/>
          </w:tcPr>
          <w:p w14:paraId="1616D407" w14:textId="20B9E90F" w:rsidR="005246CC" w:rsidRPr="00781112" w:rsidRDefault="005246CC" w:rsidP="005246CC">
            <w:pPr>
              <w:jc w:val="center"/>
              <w:rPr>
                <w:rFonts w:cs="Arial"/>
                <w:color w:val="000000" w:themeColor="text1"/>
                <w:szCs w:val="16"/>
              </w:rPr>
            </w:pPr>
            <w:r w:rsidRPr="00781112">
              <w:rPr>
                <w:rFonts w:cs="Arial"/>
                <w:color w:val="000000" w:themeColor="text1"/>
                <w:szCs w:val="16"/>
              </w:rPr>
              <w:t>Grade HS</w:t>
            </w:r>
          </w:p>
        </w:tc>
        <w:tc>
          <w:tcPr>
            <w:tcW w:w="1176" w:type="pct"/>
            <w:shd w:val="clear" w:color="auto" w:fill="auto"/>
            <w:vAlign w:val="center"/>
          </w:tcPr>
          <w:p w14:paraId="5705909C" w14:textId="172EAC9C" w:rsidR="005246CC" w:rsidRPr="00781112" w:rsidRDefault="005246CC" w:rsidP="00360DD6">
            <w:pPr>
              <w:jc w:val="center"/>
              <w:rPr>
                <w:rFonts w:cs="Arial"/>
                <w:color w:val="000000" w:themeColor="text1"/>
                <w:szCs w:val="16"/>
              </w:rPr>
            </w:pPr>
            <w:r w:rsidRPr="00781112">
              <w:rPr>
                <w:rFonts w:cs="Arial"/>
                <w:color w:val="000000" w:themeColor="text1"/>
                <w:szCs w:val="16"/>
              </w:rPr>
              <w:t>2015</w:t>
            </w:r>
          </w:p>
        </w:tc>
        <w:tc>
          <w:tcPr>
            <w:tcW w:w="1176" w:type="pct"/>
            <w:vAlign w:val="center"/>
          </w:tcPr>
          <w:p w14:paraId="0C9F3B59" w14:textId="74A08D13" w:rsidR="005246CC" w:rsidRPr="00781112" w:rsidRDefault="005246CC" w:rsidP="005246CC">
            <w:pPr>
              <w:spacing w:before="0" w:after="0"/>
              <w:jc w:val="center"/>
              <w:rPr>
                <w:rFonts w:cs="Arial"/>
                <w:color w:val="000000" w:themeColor="text1"/>
                <w:szCs w:val="16"/>
              </w:rPr>
            </w:pPr>
            <w:r w:rsidRPr="00781112">
              <w:rPr>
                <w:rFonts w:cs="Arial"/>
                <w:color w:val="000000" w:themeColor="text1"/>
                <w:szCs w:val="16"/>
              </w:rPr>
              <w:t>75.83%</w:t>
            </w:r>
          </w:p>
        </w:tc>
      </w:tr>
      <w:tr w:rsidR="00312480" w:rsidRPr="00781112" w14:paraId="3D1AAF73" w14:textId="678EC166" w:rsidTr="00360DD6">
        <w:trPr>
          <w:trHeight w:val="368"/>
        </w:trPr>
        <w:tc>
          <w:tcPr>
            <w:tcW w:w="736" w:type="pct"/>
            <w:vAlign w:val="center"/>
          </w:tcPr>
          <w:p w14:paraId="49AF9334" w14:textId="516B9B07" w:rsidR="00312480" w:rsidRPr="00781112" w:rsidRDefault="00312480" w:rsidP="00312480">
            <w:pPr>
              <w:spacing w:before="0" w:after="0"/>
              <w:jc w:val="center"/>
              <w:rPr>
                <w:rFonts w:cs="Arial"/>
                <w:b/>
                <w:bCs/>
                <w:color w:val="000000" w:themeColor="text1"/>
                <w:szCs w:val="16"/>
              </w:rPr>
            </w:pPr>
            <w:r w:rsidRPr="00781112">
              <w:rPr>
                <w:rFonts w:cs="Arial"/>
                <w:szCs w:val="16"/>
              </w:rPr>
              <w:t>Math</w:t>
            </w:r>
          </w:p>
        </w:tc>
        <w:tc>
          <w:tcPr>
            <w:tcW w:w="736" w:type="pct"/>
            <w:shd w:val="clear" w:color="auto" w:fill="auto"/>
            <w:vAlign w:val="center"/>
          </w:tcPr>
          <w:p w14:paraId="37E10643" w14:textId="3D4CDCC3" w:rsidR="00312480" w:rsidRPr="00781112" w:rsidRDefault="00312480" w:rsidP="00312480">
            <w:pPr>
              <w:spacing w:before="0" w:after="0"/>
              <w:jc w:val="center"/>
              <w:rPr>
                <w:rFonts w:cs="Arial"/>
                <w:color w:val="000000" w:themeColor="text1"/>
                <w:szCs w:val="16"/>
              </w:rPr>
            </w:pPr>
            <w:r w:rsidRPr="00781112">
              <w:rPr>
                <w:rFonts w:cs="Arial"/>
                <w:color w:val="000000" w:themeColor="text1"/>
                <w:szCs w:val="16"/>
              </w:rPr>
              <w:t>A</w:t>
            </w:r>
          </w:p>
        </w:tc>
        <w:tc>
          <w:tcPr>
            <w:tcW w:w="1176" w:type="pct"/>
            <w:shd w:val="clear" w:color="auto" w:fill="auto"/>
            <w:vAlign w:val="center"/>
          </w:tcPr>
          <w:p w14:paraId="4EBA000C" w14:textId="1E09C3E7" w:rsidR="00312480" w:rsidRPr="00781112" w:rsidRDefault="00312480" w:rsidP="00312480">
            <w:pPr>
              <w:spacing w:before="0" w:after="0"/>
              <w:jc w:val="center"/>
              <w:rPr>
                <w:rFonts w:cs="Arial"/>
                <w:color w:val="000000" w:themeColor="text1"/>
                <w:szCs w:val="16"/>
              </w:rPr>
            </w:pPr>
            <w:r w:rsidRPr="00781112">
              <w:rPr>
                <w:rFonts w:cs="Arial"/>
                <w:color w:val="000000" w:themeColor="text1"/>
                <w:szCs w:val="16"/>
              </w:rPr>
              <w:t>Grade 4</w:t>
            </w:r>
          </w:p>
        </w:tc>
        <w:tc>
          <w:tcPr>
            <w:tcW w:w="1176" w:type="pct"/>
            <w:shd w:val="clear" w:color="auto" w:fill="auto"/>
            <w:vAlign w:val="center"/>
          </w:tcPr>
          <w:p w14:paraId="50A09FAE" w14:textId="4A9CE939" w:rsidR="00312480" w:rsidRPr="00781112" w:rsidRDefault="00312480" w:rsidP="00360DD6">
            <w:pPr>
              <w:jc w:val="center"/>
              <w:rPr>
                <w:rFonts w:cs="Arial"/>
                <w:color w:val="000000" w:themeColor="text1"/>
                <w:szCs w:val="16"/>
              </w:rPr>
            </w:pPr>
            <w:r w:rsidRPr="00781112">
              <w:rPr>
                <w:rFonts w:cs="Arial"/>
                <w:color w:val="000000" w:themeColor="text1"/>
                <w:szCs w:val="16"/>
              </w:rPr>
              <w:t>2015</w:t>
            </w:r>
          </w:p>
        </w:tc>
        <w:tc>
          <w:tcPr>
            <w:tcW w:w="1176" w:type="pct"/>
            <w:vAlign w:val="center"/>
          </w:tcPr>
          <w:p w14:paraId="6A9E42AA" w14:textId="63810B52" w:rsidR="00312480" w:rsidRPr="00781112" w:rsidRDefault="00312480" w:rsidP="00312480">
            <w:pPr>
              <w:spacing w:before="0" w:after="0"/>
              <w:jc w:val="center"/>
              <w:rPr>
                <w:rFonts w:cs="Arial"/>
                <w:color w:val="000000" w:themeColor="text1"/>
                <w:szCs w:val="16"/>
              </w:rPr>
            </w:pPr>
            <w:r w:rsidRPr="00781112">
              <w:rPr>
                <w:rFonts w:cs="Arial"/>
                <w:color w:val="000000" w:themeColor="text1"/>
                <w:szCs w:val="16"/>
              </w:rPr>
              <w:t>91.57%</w:t>
            </w:r>
          </w:p>
        </w:tc>
      </w:tr>
      <w:tr w:rsidR="00312480" w:rsidRPr="00781112" w14:paraId="4B0C895C" w14:textId="6CF5FA93" w:rsidTr="00360DD6">
        <w:trPr>
          <w:trHeight w:val="368"/>
        </w:trPr>
        <w:tc>
          <w:tcPr>
            <w:tcW w:w="736" w:type="pct"/>
            <w:vAlign w:val="center"/>
          </w:tcPr>
          <w:p w14:paraId="6ED5896C" w14:textId="28272B0B" w:rsidR="00312480" w:rsidRPr="00781112" w:rsidRDefault="00312480" w:rsidP="00312480">
            <w:pPr>
              <w:spacing w:before="0" w:after="0"/>
              <w:jc w:val="center"/>
              <w:rPr>
                <w:rFonts w:cs="Arial"/>
                <w:b/>
                <w:bCs/>
                <w:color w:val="000000" w:themeColor="text1"/>
                <w:szCs w:val="16"/>
              </w:rPr>
            </w:pPr>
            <w:r w:rsidRPr="00781112">
              <w:rPr>
                <w:rFonts w:cs="Arial"/>
                <w:szCs w:val="16"/>
              </w:rPr>
              <w:t>Math</w:t>
            </w:r>
          </w:p>
        </w:tc>
        <w:tc>
          <w:tcPr>
            <w:tcW w:w="736" w:type="pct"/>
            <w:shd w:val="clear" w:color="auto" w:fill="auto"/>
            <w:vAlign w:val="center"/>
          </w:tcPr>
          <w:p w14:paraId="43C9B56E" w14:textId="3D5B99D0" w:rsidR="00312480" w:rsidRPr="00781112" w:rsidRDefault="00312480" w:rsidP="00312480">
            <w:pPr>
              <w:spacing w:before="0" w:after="0"/>
              <w:jc w:val="center"/>
              <w:rPr>
                <w:rFonts w:cs="Arial"/>
                <w:color w:val="000000" w:themeColor="text1"/>
                <w:szCs w:val="16"/>
              </w:rPr>
            </w:pPr>
            <w:r w:rsidRPr="00781112">
              <w:rPr>
                <w:rFonts w:cs="Arial"/>
                <w:color w:val="000000" w:themeColor="text1"/>
                <w:szCs w:val="16"/>
              </w:rPr>
              <w:t>B</w:t>
            </w:r>
          </w:p>
        </w:tc>
        <w:tc>
          <w:tcPr>
            <w:tcW w:w="1176" w:type="pct"/>
            <w:shd w:val="clear" w:color="auto" w:fill="auto"/>
            <w:vAlign w:val="center"/>
          </w:tcPr>
          <w:p w14:paraId="2C4210F5" w14:textId="3BFF9BEC" w:rsidR="00312480" w:rsidRPr="00781112" w:rsidRDefault="00312480" w:rsidP="00312480">
            <w:pPr>
              <w:jc w:val="center"/>
              <w:rPr>
                <w:rFonts w:cs="Arial"/>
                <w:color w:val="000000" w:themeColor="text1"/>
                <w:szCs w:val="16"/>
              </w:rPr>
            </w:pPr>
            <w:r w:rsidRPr="00781112">
              <w:rPr>
                <w:rFonts w:cs="Arial"/>
                <w:color w:val="000000" w:themeColor="text1"/>
                <w:szCs w:val="16"/>
              </w:rPr>
              <w:t>Grade 8</w:t>
            </w:r>
          </w:p>
        </w:tc>
        <w:tc>
          <w:tcPr>
            <w:tcW w:w="1176" w:type="pct"/>
            <w:shd w:val="clear" w:color="auto" w:fill="auto"/>
            <w:vAlign w:val="center"/>
          </w:tcPr>
          <w:p w14:paraId="7D91523A" w14:textId="169DAD5C" w:rsidR="00312480" w:rsidRPr="00781112" w:rsidRDefault="00312480" w:rsidP="00360DD6">
            <w:pPr>
              <w:jc w:val="center"/>
              <w:rPr>
                <w:rFonts w:cs="Arial"/>
                <w:color w:val="000000" w:themeColor="text1"/>
                <w:szCs w:val="16"/>
              </w:rPr>
            </w:pPr>
            <w:r w:rsidRPr="00781112">
              <w:rPr>
                <w:rFonts w:cs="Arial"/>
                <w:color w:val="000000" w:themeColor="text1"/>
                <w:szCs w:val="16"/>
              </w:rPr>
              <w:t>2015</w:t>
            </w:r>
          </w:p>
        </w:tc>
        <w:tc>
          <w:tcPr>
            <w:tcW w:w="1176" w:type="pct"/>
            <w:vAlign w:val="center"/>
          </w:tcPr>
          <w:p w14:paraId="339ABC62" w14:textId="1E7FF874" w:rsidR="00312480" w:rsidRPr="00781112" w:rsidRDefault="00312480" w:rsidP="00312480">
            <w:pPr>
              <w:spacing w:before="0" w:after="0"/>
              <w:jc w:val="center"/>
              <w:rPr>
                <w:rFonts w:cs="Arial"/>
                <w:color w:val="000000" w:themeColor="text1"/>
                <w:szCs w:val="16"/>
              </w:rPr>
            </w:pPr>
            <w:r w:rsidRPr="00781112">
              <w:rPr>
                <w:rFonts w:cs="Arial"/>
                <w:color w:val="000000" w:themeColor="text1"/>
                <w:szCs w:val="16"/>
              </w:rPr>
              <w:t>83.66%</w:t>
            </w:r>
          </w:p>
        </w:tc>
      </w:tr>
      <w:tr w:rsidR="00312480" w:rsidRPr="00781112" w14:paraId="43BF7697" w14:textId="58F9CE70" w:rsidTr="00360DD6">
        <w:trPr>
          <w:trHeight w:val="368"/>
        </w:trPr>
        <w:tc>
          <w:tcPr>
            <w:tcW w:w="736" w:type="pct"/>
            <w:vAlign w:val="center"/>
          </w:tcPr>
          <w:p w14:paraId="10E5C656" w14:textId="01AB1420" w:rsidR="00312480" w:rsidRPr="00781112" w:rsidRDefault="00312480" w:rsidP="00312480">
            <w:pPr>
              <w:spacing w:before="0" w:after="0"/>
              <w:jc w:val="center"/>
              <w:rPr>
                <w:rFonts w:cs="Arial"/>
                <w:b/>
                <w:bCs/>
                <w:color w:val="000000" w:themeColor="text1"/>
                <w:szCs w:val="16"/>
              </w:rPr>
            </w:pPr>
            <w:r w:rsidRPr="00781112">
              <w:rPr>
                <w:rFonts w:cs="Arial"/>
                <w:szCs w:val="16"/>
              </w:rPr>
              <w:t>Math</w:t>
            </w:r>
          </w:p>
        </w:tc>
        <w:tc>
          <w:tcPr>
            <w:tcW w:w="736" w:type="pct"/>
            <w:shd w:val="clear" w:color="auto" w:fill="auto"/>
            <w:vAlign w:val="center"/>
          </w:tcPr>
          <w:p w14:paraId="3AFE65DD" w14:textId="56799213" w:rsidR="00312480" w:rsidRPr="00781112" w:rsidRDefault="00312480" w:rsidP="00312480">
            <w:pPr>
              <w:spacing w:before="0" w:after="0"/>
              <w:jc w:val="center"/>
              <w:rPr>
                <w:rFonts w:cs="Arial"/>
                <w:color w:val="000000" w:themeColor="text1"/>
                <w:szCs w:val="16"/>
              </w:rPr>
            </w:pPr>
            <w:r w:rsidRPr="00781112">
              <w:rPr>
                <w:rFonts w:cs="Arial"/>
                <w:color w:val="000000" w:themeColor="text1"/>
                <w:szCs w:val="16"/>
              </w:rPr>
              <w:t>C</w:t>
            </w:r>
          </w:p>
        </w:tc>
        <w:tc>
          <w:tcPr>
            <w:tcW w:w="1176" w:type="pct"/>
            <w:shd w:val="clear" w:color="auto" w:fill="auto"/>
            <w:vAlign w:val="center"/>
          </w:tcPr>
          <w:p w14:paraId="4C96A826" w14:textId="656222C9" w:rsidR="00312480" w:rsidRPr="00781112" w:rsidRDefault="00312480" w:rsidP="00312480">
            <w:pPr>
              <w:spacing w:before="0" w:after="0"/>
              <w:jc w:val="center"/>
              <w:rPr>
                <w:rFonts w:cs="Arial"/>
                <w:color w:val="000000" w:themeColor="text1"/>
                <w:szCs w:val="16"/>
              </w:rPr>
            </w:pPr>
            <w:r w:rsidRPr="00781112">
              <w:rPr>
                <w:rFonts w:cs="Arial"/>
                <w:color w:val="000000" w:themeColor="text1"/>
                <w:szCs w:val="16"/>
              </w:rPr>
              <w:t>Grade HS</w:t>
            </w:r>
          </w:p>
        </w:tc>
        <w:tc>
          <w:tcPr>
            <w:tcW w:w="1176" w:type="pct"/>
            <w:shd w:val="clear" w:color="auto" w:fill="auto"/>
            <w:vAlign w:val="center"/>
          </w:tcPr>
          <w:p w14:paraId="6848966B" w14:textId="49F3A33A" w:rsidR="00312480" w:rsidRPr="00781112" w:rsidRDefault="00312480" w:rsidP="00360DD6">
            <w:pPr>
              <w:jc w:val="center"/>
              <w:rPr>
                <w:rFonts w:cs="Arial"/>
                <w:color w:val="000000" w:themeColor="text1"/>
                <w:szCs w:val="16"/>
              </w:rPr>
            </w:pPr>
            <w:r w:rsidRPr="00781112">
              <w:rPr>
                <w:rFonts w:cs="Arial"/>
                <w:color w:val="000000" w:themeColor="text1"/>
                <w:szCs w:val="16"/>
              </w:rPr>
              <w:t>2015</w:t>
            </w:r>
          </w:p>
        </w:tc>
        <w:tc>
          <w:tcPr>
            <w:tcW w:w="1176" w:type="pct"/>
            <w:vAlign w:val="center"/>
          </w:tcPr>
          <w:p w14:paraId="0271898A" w14:textId="300CF132" w:rsidR="00312480" w:rsidRPr="00781112" w:rsidRDefault="00312480" w:rsidP="00312480">
            <w:pPr>
              <w:spacing w:before="0" w:after="0"/>
              <w:jc w:val="center"/>
              <w:rPr>
                <w:rFonts w:cs="Arial"/>
                <w:color w:val="000000" w:themeColor="text1"/>
                <w:szCs w:val="16"/>
              </w:rPr>
            </w:pPr>
            <w:r w:rsidRPr="00781112">
              <w:rPr>
                <w:rFonts w:cs="Arial"/>
                <w:color w:val="000000" w:themeColor="text1"/>
                <w:szCs w:val="16"/>
              </w:rPr>
              <w:t>75.08%</w:t>
            </w:r>
          </w:p>
        </w:tc>
      </w:tr>
    </w:tbl>
    <w:p w14:paraId="1049ED79" w14:textId="19F4A63B" w:rsidR="00E023E6" w:rsidRPr="00781112" w:rsidRDefault="00E023E6">
      <w:pPr>
        <w:spacing w:before="0" w:after="200" w:line="276" w:lineRule="auto"/>
        <w:rPr>
          <w:b/>
          <w:color w:val="000000" w:themeColor="text1"/>
        </w:rPr>
      </w:pPr>
    </w:p>
    <w:p w14:paraId="7F4B46FE" w14:textId="3489D438" w:rsidR="0034094E" w:rsidRPr="00781112" w:rsidRDefault="0034094E" w:rsidP="0034094E">
      <w:pPr>
        <w:rPr>
          <w:b/>
          <w:color w:val="000000" w:themeColor="text1"/>
        </w:rPr>
      </w:pPr>
      <w:r w:rsidRPr="00781112">
        <w:rPr>
          <w:b/>
          <w:color w:val="000000" w:themeColor="text1"/>
        </w:rPr>
        <w:t>Targets</w:t>
      </w:r>
    </w:p>
    <w:tbl>
      <w:tblPr>
        <w:tblW w:w="376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B03ATARGETS"/>
      </w:tblPr>
      <w:tblGrid>
        <w:gridCol w:w="897"/>
        <w:gridCol w:w="721"/>
        <w:gridCol w:w="1171"/>
        <w:gridCol w:w="1334"/>
        <w:gridCol w:w="1334"/>
        <w:gridCol w:w="1334"/>
        <w:gridCol w:w="1332"/>
      </w:tblGrid>
      <w:tr w:rsidR="00BE7AF0" w:rsidRPr="00781112" w14:paraId="61B13027" w14:textId="7E8C0770" w:rsidTr="001A31FD">
        <w:tc>
          <w:tcPr>
            <w:tcW w:w="552" w:type="pct"/>
            <w:tcBorders>
              <w:bottom w:val="single" w:sz="4" w:space="0" w:color="auto"/>
            </w:tcBorders>
            <w:shd w:val="clear" w:color="auto" w:fill="auto"/>
            <w:vAlign w:val="center"/>
          </w:tcPr>
          <w:p w14:paraId="41C1EDA8" w14:textId="77777777" w:rsidR="00BE7AF0" w:rsidRPr="00781112" w:rsidRDefault="00BE7AF0" w:rsidP="00FD5357">
            <w:pPr>
              <w:jc w:val="center"/>
              <w:rPr>
                <w:b/>
                <w:color w:val="000000" w:themeColor="text1"/>
              </w:rPr>
            </w:pPr>
            <w:r w:rsidRPr="00781112">
              <w:rPr>
                <w:b/>
                <w:color w:val="000000" w:themeColor="text1"/>
              </w:rPr>
              <w:t>Subject</w:t>
            </w:r>
          </w:p>
        </w:tc>
        <w:tc>
          <w:tcPr>
            <w:tcW w:w="444" w:type="pct"/>
            <w:tcBorders>
              <w:bottom w:val="single" w:sz="4" w:space="0" w:color="auto"/>
            </w:tcBorders>
            <w:shd w:val="clear" w:color="auto" w:fill="auto"/>
            <w:vAlign w:val="center"/>
          </w:tcPr>
          <w:p w14:paraId="47C72AA9" w14:textId="77777777" w:rsidR="00BE7AF0" w:rsidRPr="00781112" w:rsidRDefault="00BE7AF0" w:rsidP="00FD5357">
            <w:pPr>
              <w:jc w:val="center"/>
              <w:rPr>
                <w:b/>
                <w:color w:val="000000" w:themeColor="text1"/>
              </w:rPr>
            </w:pPr>
            <w:r w:rsidRPr="00781112">
              <w:rPr>
                <w:b/>
                <w:color w:val="000000" w:themeColor="text1"/>
              </w:rPr>
              <w:t>Group</w:t>
            </w:r>
          </w:p>
        </w:tc>
        <w:tc>
          <w:tcPr>
            <w:tcW w:w="721" w:type="pct"/>
            <w:shd w:val="clear" w:color="auto" w:fill="auto"/>
            <w:vAlign w:val="center"/>
          </w:tcPr>
          <w:p w14:paraId="3EBC6D10" w14:textId="77777777" w:rsidR="00BE7AF0" w:rsidRPr="00781112" w:rsidDel="008E7B87" w:rsidRDefault="00BE7AF0" w:rsidP="00FD5357">
            <w:pPr>
              <w:jc w:val="center"/>
              <w:rPr>
                <w:b/>
                <w:color w:val="000000" w:themeColor="text1"/>
              </w:rPr>
            </w:pPr>
            <w:r w:rsidRPr="00781112">
              <w:rPr>
                <w:b/>
                <w:color w:val="000000" w:themeColor="text1"/>
              </w:rPr>
              <w:t>Group Name</w:t>
            </w:r>
          </w:p>
        </w:tc>
        <w:tc>
          <w:tcPr>
            <w:tcW w:w="821" w:type="pct"/>
            <w:shd w:val="clear" w:color="auto" w:fill="auto"/>
            <w:vAlign w:val="center"/>
          </w:tcPr>
          <w:p w14:paraId="5DB0C638" w14:textId="77777777" w:rsidR="00BE7AF0" w:rsidRPr="00781112" w:rsidRDefault="00BE7AF0" w:rsidP="00FD5357">
            <w:pPr>
              <w:jc w:val="center"/>
              <w:rPr>
                <w:b/>
                <w:color w:val="000000" w:themeColor="text1"/>
              </w:rPr>
            </w:pPr>
            <w:r w:rsidRPr="00781112">
              <w:rPr>
                <w:b/>
                <w:color w:val="000000" w:themeColor="text1"/>
              </w:rPr>
              <w:t>2022</w:t>
            </w:r>
          </w:p>
        </w:tc>
        <w:tc>
          <w:tcPr>
            <w:tcW w:w="821" w:type="pct"/>
            <w:vAlign w:val="center"/>
          </w:tcPr>
          <w:p w14:paraId="2BCE0486" w14:textId="3C221AF8" w:rsidR="00BE7AF0" w:rsidRPr="00781112" w:rsidRDefault="00BE7AF0" w:rsidP="00FD5357">
            <w:pPr>
              <w:jc w:val="center"/>
              <w:rPr>
                <w:b/>
                <w:color w:val="000000" w:themeColor="text1"/>
              </w:rPr>
            </w:pPr>
            <w:r w:rsidRPr="00781112">
              <w:rPr>
                <w:rFonts w:cs="Arial"/>
                <w:b/>
                <w:color w:val="000000" w:themeColor="text1"/>
                <w:szCs w:val="16"/>
              </w:rPr>
              <w:t>2023</w:t>
            </w:r>
          </w:p>
        </w:tc>
        <w:tc>
          <w:tcPr>
            <w:tcW w:w="821" w:type="pct"/>
            <w:vAlign w:val="center"/>
          </w:tcPr>
          <w:p w14:paraId="1990502A" w14:textId="03716A79" w:rsidR="00BE7AF0" w:rsidRPr="00781112" w:rsidRDefault="00BE7AF0" w:rsidP="00FD5357">
            <w:pPr>
              <w:jc w:val="center"/>
              <w:rPr>
                <w:b/>
                <w:color w:val="000000" w:themeColor="text1"/>
              </w:rPr>
            </w:pPr>
            <w:r w:rsidRPr="00781112">
              <w:rPr>
                <w:rFonts w:cs="Arial"/>
                <w:b/>
                <w:color w:val="000000" w:themeColor="text1"/>
                <w:szCs w:val="16"/>
              </w:rPr>
              <w:t>2024</w:t>
            </w:r>
          </w:p>
        </w:tc>
        <w:tc>
          <w:tcPr>
            <w:tcW w:w="821" w:type="pct"/>
            <w:vAlign w:val="center"/>
          </w:tcPr>
          <w:p w14:paraId="72DB4D15" w14:textId="310E5749" w:rsidR="00BE7AF0" w:rsidRPr="00781112" w:rsidRDefault="00BE7AF0" w:rsidP="00FD5357">
            <w:pPr>
              <w:jc w:val="center"/>
              <w:rPr>
                <w:b/>
                <w:color w:val="000000" w:themeColor="text1"/>
              </w:rPr>
            </w:pPr>
            <w:r w:rsidRPr="00781112">
              <w:rPr>
                <w:rFonts w:cs="Arial"/>
                <w:b/>
                <w:color w:val="000000" w:themeColor="text1"/>
                <w:szCs w:val="16"/>
              </w:rPr>
              <w:t>2025</w:t>
            </w:r>
          </w:p>
        </w:tc>
      </w:tr>
      <w:tr w:rsidR="00BE7AF0" w:rsidRPr="00781112" w14:paraId="5EF23A8E" w14:textId="333536B2" w:rsidTr="001A31FD">
        <w:tc>
          <w:tcPr>
            <w:tcW w:w="552" w:type="pct"/>
            <w:shd w:val="clear" w:color="auto" w:fill="auto"/>
            <w:vAlign w:val="center"/>
          </w:tcPr>
          <w:p w14:paraId="659131E4" w14:textId="77777777" w:rsidR="00BE7AF0" w:rsidRPr="00781112" w:rsidRDefault="00BE7AF0" w:rsidP="00C362C0">
            <w:pPr>
              <w:spacing w:before="0" w:after="0"/>
              <w:jc w:val="center"/>
              <w:rPr>
                <w:rFonts w:cs="Arial"/>
                <w:color w:val="000000" w:themeColor="text1"/>
                <w:szCs w:val="16"/>
              </w:rPr>
            </w:pPr>
            <w:r w:rsidRPr="00781112">
              <w:rPr>
                <w:rFonts w:cs="Arial"/>
                <w:color w:val="000000" w:themeColor="text1"/>
                <w:szCs w:val="16"/>
              </w:rPr>
              <w:t>Reading</w:t>
            </w:r>
          </w:p>
        </w:tc>
        <w:tc>
          <w:tcPr>
            <w:tcW w:w="444" w:type="pct"/>
            <w:shd w:val="clear" w:color="auto" w:fill="auto"/>
            <w:vAlign w:val="center"/>
          </w:tcPr>
          <w:p w14:paraId="0E33DCFC" w14:textId="77777777" w:rsidR="00BE7AF0" w:rsidRPr="00781112" w:rsidRDefault="00BE7AF0" w:rsidP="00C362C0">
            <w:pPr>
              <w:spacing w:before="0" w:after="0"/>
              <w:jc w:val="center"/>
              <w:rPr>
                <w:rFonts w:cs="Arial"/>
                <w:color w:val="000000" w:themeColor="text1"/>
                <w:szCs w:val="16"/>
              </w:rPr>
            </w:pPr>
            <w:r w:rsidRPr="00781112">
              <w:rPr>
                <w:rFonts w:cs="Arial"/>
                <w:color w:val="000000" w:themeColor="text1"/>
                <w:szCs w:val="16"/>
              </w:rPr>
              <w:t>A &gt;=</w:t>
            </w:r>
          </w:p>
        </w:tc>
        <w:tc>
          <w:tcPr>
            <w:tcW w:w="721" w:type="pct"/>
            <w:shd w:val="clear" w:color="auto" w:fill="auto"/>
            <w:vAlign w:val="center"/>
          </w:tcPr>
          <w:p w14:paraId="76B16B43" w14:textId="39FB8899" w:rsidR="00BE7AF0" w:rsidRPr="00781112" w:rsidDel="00DB0A73" w:rsidRDefault="00BE7AF0" w:rsidP="00C362C0">
            <w:pPr>
              <w:jc w:val="center"/>
              <w:rPr>
                <w:rFonts w:cs="Arial"/>
                <w:color w:val="000000" w:themeColor="text1"/>
                <w:szCs w:val="16"/>
              </w:rPr>
            </w:pPr>
            <w:r w:rsidRPr="00781112">
              <w:rPr>
                <w:rFonts w:cs="Arial"/>
                <w:color w:val="000000" w:themeColor="text1"/>
                <w:szCs w:val="16"/>
              </w:rPr>
              <w:t>Grade 4</w:t>
            </w:r>
          </w:p>
        </w:tc>
        <w:tc>
          <w:tcPr>
            <w:tcW w:w="821" w:type="pct"/>
            <w:shd w:val="clear" w:color="auto" w:fill="auto"/>
            <w:vAlign w:val="center"/>
          </w:tcPr>
          <w:p w14:paraId="0F6CE0A1" w14:textId="29A64BBD" w:rsidR="00BE7AF0" w:rsidRPr="00781112" w:rsidRDefault="00BE7AF0" w:rsidP="00C362C0">
            <w:pPr>
              <w:jc w:val="center"/>
              <w:rPr>
                <w:rFonts w:cs="Arial"/>
                <w:color w:val="000000" w:themeColor="text1"/>
                <w:szCs w:val="16"/>
              </w:rPr>
            </w:pPr>
            <w:r w:rsidRPr="00781112">
              <w:rPr>
                <w:rFonts w:cs="Arial"/>
                <w:color w:val="000000" w:themeColor="text1"/>
                <w:szCs w:val="16"/>
              </w:rPr>
              <w:t>95.00%</w:t>
            </w:r>
          </w:p>
        </w:tc>
        <w:tc>
          <w:tcPr>
            <w:tcW w:w="821" w:type="pct"/>
            <w:vAlign w:val="center"/>
          </w:tcPr>
          <w:p w14:paraId="4A0A22E0" w14:textId="6BB46B0C" w:rsidR="00BE7AF0" w:rsidRPr="00781112" w:rsidRDefault="00BE7AF0" w:rsidP="00C362C0">
            <w:pPr>
              <w:jc w:val="center"/>
              <w:rPr>
                <w:rFonts w:cs="Arial"/>
                <w:color w:val="000000" w:themeColor="text1"/>
                <w:szCs w:val="16"/>
              </w:rPr>
            </w:pPr>
            <w:r w:rsidRPr="00781112">
              <w:rPr>
                <w:rFonts w:cs="Arial"/>
                <w:color w:val="000000" w:themeColor="text1"/>
                <w:szCs w:val="16"/>
              </w:rPr>
              <w:t>95.00%</w:t>
            </w:r>
            <w:r w:rsidRPr="00781112">
              <w:t xml:space="preserve"> </w:t>
            </w:r>
          </w:p>
        </w:tc>
        <w:tc>
          <w:tcPr>
            <w:tcW w:w="821" w:type="pct"/>
            <w:vAlign w:val="center"/>
          </w:tcPr>
          <w:p w14:paraId="01E8CE0F" w14:textId="037B9FF4" w:rsidR="00BE7AF0" w:rsidRPr="00781112" w:rsidRDefault="00BE7AF0" w:rsidP="00C362C0">
            <w:pPr>
              <w:jc w:val="center"/>
              <w:rPr>
                <w:rFonts w:cs="Arial"/>
                <w:color w:val="000000" w:themeColor="text1"/>
                <w:szCs w:val="16"/>
              </w:rPr>
            </w:pPr>
            <w:r w:rsidRPr="00781112">
              <w:rPr>
                <w:rFonts w:cs="Arial"/>
                <w:color w:val="000000" w:themeColor="text1"/>
                <w:szCs w:val="16"/>
              </w:rPr>
              <w:t>95.00%</w:t>
            </w:r>
          </w:p>
        </w:tc>
        <w:tc>
          <w:tcPr>
            <w:tcW w:w="821" w:type="pct"/>
            <w:vAlign w:val="center"/>
          </w:tcPr>
          <w:p w14:paraId="384B0AD2" w14:textId="38B3F908" w:rsidR="00BE7AF0" w:rsidRPr="00781112" w:rsidRDefault="00BE7AF0" w:rsidP="00C362C0">
            <w:pPr>
              <w:jc w:val="center"/>
              <w:rPr>
                <w:rFonts w:cs="Arial"/>
                <w:color w:val="000000" w:themeColor="text1"/>
                <w:szCs w:val="16"/>
              </w:rPr>
            </w:pPr>
            <w:r w:rsidRPr="00781112">
              <w:rPr>
                <w:rFonts w:cs="Arial"/>
                <w:color w:val="000000" w:themeColor="text1"/>
                <w:szCs w:val="16"/>
              </w:rPr>
              <w:t>95.00%</w:t>
            </w:r>
          </w:p>
        </w:tc>
      </w:tr>
      <w:tr w:rsidR="00BE7AF0" w:rsidRPr="00781112" w14:paraId="0DC87485" w14:textId="7CEA602E" w:rsidTr="001A31FD">
        <w:tc>
          <w:tcPr>
            <w:tcW w:w="552" w:type="pct"/>
            <w:shd w:val="clear" w:color="auto" w:fill="auto"/>
            <w:vAlign w:val="center"/>
          </w:tcPr>
          <w:p w14:paraId="0DBD5106" w14:textId="77777777" w:rsidR="00BE7AF0" w:rsidRPr="00781112" w:rsidRDefault="00BE7AF0" w:rsidP="00C362C0">
            <w:pPr>
              <w:spacing w:before="0" w:after="0"/>
              <w:jc w:val="center"/>
              <w:rPr>
                <w:rFonts w:cs="Arial"/>
                <w:color w:val="000000" w:themeColor="text1"/>
                <w:szCs w:val="16"/>
              </w:rPr>
            </w:pPr>
            <w:r w:rsidRPr="00781112">
              <w:rPr>
                <w:rFonts w:cs="Arial"/>
                <w:color w:val="000000" w:themeColor="text1"/>
                <w:szCs w:val="16"/>
              </w:rPr>
              <w:t>Reading</w:t>
            </w:r>
          </w:p>
        </w:tc>
        <w:tc>
          <w:tcPr>
            <w:tcW w:w="444" w:type="pct"/>
            <w:shd w:val="clear" w:color="auto" w:fill="auto"/>
            <w:vAlign w:val="center"/>
          </w:tcPr>
          <w:p w14:paraId="32DA1B30" w14:textId="77777777" w:rsidR="00BE7AF0" w:rsidRPr="00781112" w:rsidRDefault="00BE7AF0" w:rsidP="00C362C0">
            <w:pPr>
              <w:spacing w:before="0" w:after="0"/>
              <w:jc w:val="center"/>
              <w:rPr>
                <w:rFonts w:cs="Arial"/>
                <w:color w:val="000000" w:themeColor="text1"/>
                <w:szCs w:val="16"/>
              </w:rPr>
            </w:pPr>
            <w:r w:rsidRPr="00781112">
              <w:rPr>
                <w:rFonts w:cs="Arial"/>
                <w:color w:val="000000" w:themeColor="text1"/>
                <w:szCs w:val="16"/>
              </w:rPr>
              <w:t>B &gt;=</w:t>
            </w:r>
          </w:p>
        </w:tc>
        <w:tc>
          <w:tcPr>
            <w:tcW w:w="721" w:type="pct"/>
            <w:shd w:val="clear" w:color="auto" w:fill="auto"/>
            <w:vAlign w:val="center"/>
          </w:tcPr>
          <w:p w14:paraId="7451C944" w14:textId="48D1DB42" w:rsidR="00BE7AF0" w:rsidRPr="00781112" w:rsidDel="00DB0A73" w:rsidRDefault="00BE7AF0" w:rsidP="00C362C0">
            <w:pPr>
              <w:jc w:val="center"/>
              <w:rPr>
                <w:rFonts w:cs="Arial"/>
                <w:color w:val="000000" w:themeColor="text1"/>
                <w:szCs w:val="16"/>
              </w:rPr>
            </w:pPr>
            <w:r w:rsidRPr="00781112">
              <w:rPr>
                <w:rFonts w:cs="Arial"/>
                <w:color w:val="000000" w:themeColor="text1"/>
                <w:szCs w:val="16"/>
              </w:rPr>
              <w:t>Grade 8</w:t>
            </w:r>
          </w:p>
        </w:tc>
        <w:tc>
          <w:tcPr>
            <w:tcW w:w="821" w:type="pct"/>
            <w:shd w:val="clear" w:color="auto" w:fill="auto"/>
            <w:vAlign w:val="center"/>
          </w:tcPr>
          <w:p w14:paraId="00A324D3" w14:textId="7CE00F34" w:rsidR="00BE7AF0" w:rsidRPr="00781112" w:rsidRDefault="00BE7AF0" w:rsidP="00C362C0">
            <w:pPr>
              <w:jc w:val="center"/>
              <w:rPr>
                <w:rFonts w:cs="Arial"/>
                <w:color w:val="000000" w:themeColor="text1"/>
                <w:szCs w:val="16"/>
              </w:rPr>
            </w:pPr>
            <w:r w:rsidRPr="00781112">
              <w:rPr>
                <w:rFonts w:cs="Arial"/>
                <w:color w:val="000000" w:themeColor="text1"/>
                <w:szCs w:val="16"/>
              </w:rPr>
              <w:t>95.00%</w:t>
            </w:r>
          </w:p>
        </w:tc>
        <w:tc>
          <w:tcPr>
            <w:tcW w:w="821" w:type="pct"/>
            <w:vAlign w:val="center"/>
          </w:tcPr>
          <w:p w14:paraId="52AC2F70" w14:textId="3AB4351A" w:rsidR="00BE7AF0" w:rsidRPr="00781112" w:rsidRDefault="00BE7AF0" w:rsidP="00C362C0">
            <w:pPr>
              <w:jc w:val="center"/>
              <w:rPr>
                <w:rFonts w:cs="Arial"/>
                <w:color w:val="000000" w:themeColor="text1"/>
                <w:szCs w:val="16"/>
              </w:rPr>
            </w:pPr>
            <w:r w:rsidRPr="00781112">
              <w:rPr>
                <w:rFonts w:cs="Arial"/>
                <w:color w:val="000000" w:themeColor="text1"/>
                <w:szCs w:val="16"/>
              </w:rPr>
              <w:t>95.00%</w:t>
            </w:r>
          </w:p>
        </w:tc>
        <w:tc>
          <w:tcPr>
            <w:tcW w:w="821" w:type="pct"/>
            <w:vAlign w:val="center"/>
          </w:tcPr>
          <w:p w14:paraId="32A4C051" w14:textId="2E65FFFC" w:rsidR="00BE7AF0" w:rsidRPr="00781112" w:rsidRDefault="00BE7AF0" w:rsidP="00C362C0">
            <w:pPr>
              <w:jc w:val="center"/>
              <w:rPr>
                <w:rFonts w:cs="Arial"/>
                <w:color w:val="000000" w:themeColor="text1"/>
                <w:szCs w:val="16"/>
              </w:rPr>
            </w:pPr>
            <w:r w:rsidRPr="00781112">
              <w:rPr>
                <w:rFonts w:cs="Arial"/>
                <w:color w:val="000000" w:themeColor="text1"/>
                <w:szCs w:val="16"/>
              </w:rPr>
              <w:t>95.00%</w:t>
            </w:r>
          </w:p>
        </w:tc>
        <w:tc>
          <w:tcPr>
            <w:tcW w:w="821" w:type="pct"/>
            <w:vAlign w:val="center"/>
          </w:tcPr>
          <w:p w14:paraId="77CC4A95" w14:textId="1A1A42B6" w:rsidR="00BE7AF0" w:rsidRPr="00781112" w:rsidRDefault="00BE7AF0" w:rsidP="00C362C0">
            <w:pPr>
              <w:jc w:val="center"/>
              <w:rPr>
                <w:rFonts w:cs="Arial"/>
                <w:color w:val="000000" w:themeColor="text1"/>
                <w:szCs w:val="16"/>
              </w:rPr>
            </w:pPr>
            <w:r w:rsidRPr="00781112">
              <w:rPr>
                <w:rFonts w:cs="Arial"/>
                <w:color w:val="000000" w:themeColor="text1"/>
                <w:szCs w:val="16"/>
              </w:rPr>
              <w:t>95.00%</w:t>
            </w:r>
          </w:p>
        </w:tc>
      </w:tr>
      <w:tr w:rsidR="00BE7AF0" w:rsidRPr="00781112" w14:paraId="546837A9" w14:textId="0EC3B58A" w:rsidTr="001A31FD">
        <w:tc>
          <w:tcPr>
            <w:tcW w:w="552" w:type="pct"/>
            <w:shd w:val="clear" w:color="auto" w:fill="auto"/>
            <w:vAlign w:val="center"/>
          </w:tcPr>
          <w:p w14:paraId="5E2AB8D4" w14:textId="77777777" w:rsidR="00BE7AF0" w:rsidRPr="00781112" w:rsidRDefault="00BE7AF0" w:rsidP="00C362C0">
            <w:pPr>
              <w:spacing w:before="0" w:after="0"/>
              <w:jc w:val="center"/>
              <w:rPr>
                <w:rFonts w:cs="Arial"/>
                <w:color w:val="000000" w:themeColor="text1"/>
                <w:szCs w:val="16"/>
              </w:rPr>
            </w:pPr>
            <w:r w:rsidRPr="00781112">
              <w:rPr>
                <w:rFonts w:cs="Arial"/>
                <w:color w:val="000000" w:themeColor="text1"/>
                <w:szCs w:val="16"/>
              </w:rPr>
              <w:t>Reading</w:t>
            </w:r>
          </w:p>
        </w:tc>
        <w:tc>
          <w:tcPr>
            <w:tcW w:w="444" w:type="pct"/>
            <w:shd w:val="clear" w:color="auto" w:fill="auto"/>
            <w:vAlign w:val="center"/>
          </w:tcPr>
          <w:p w14:paraId="2801904B" w14:textId="77777777" w:rsidR="00BE7AF0" w:rsidRPr="00781112" w:rsidRDefault="00BE7AF0" w:rsidP="00C362C0">
            <w:pPr>
              <w:spacing w:before="0" w:after="0"/>
              <w:jc w:val="center"/>
              <w:rPr>
                <w:rFonts w:cs="Arial"/>
                <w:color w:val="000000" w:themeColor="text1"/>
                <w:szCs w:val="16"/>
              </w:rPr>
            </w:pPr>
            <w:r w:rsidRPr="00781112">
              <w:rPr>
                <w:rFonts w:cs="Arial"/>
                <w:color w:val="000000" w:themeColor="text1"/>
                <w:szCs w:val="16"/>
              </w:rPr>
              <w:t>C &gt;=</w:t>
            </w:r>
          </w:p>
        </w:tc>
        <w:tc>
          <w:tcPr>
            <w:tcW w:w="721" w:type="pct"/>
            <w:shd w:val="clear" w:color="auto" w:fill="auto"/>
            <w:vAlign w:val="center"/>
          </w:tcPr>
          <w:p w14:paraId="5F09655C" w14:textId="799E5EE7" w:rsidR="00BE7AF0" w:rsidRPr="00781112" w:rsidDel="00DB0A73" w:rsidRDefault="00BE7AF0" w:rsidP="00C362C0">
            <w:pPr>
              <w:jc w:val="center"/>
              <w:rPr>
                <w:rFonts w:cs="Arial"/>
                <w:color w:val="000000" w:themeColor="text1"/>
                <w:szCs w:val="16"/>
              </w:rPr>
            </w:pPr>
            <w:r w:rsidRPr="00781112">
              <w:rPr>
                <w:rFonts w:cs="Arial"/>
                <w:color w:val="000000" w:themeColor="text1"/>
                <w:szCs w:val="16"/>
              </w:rPr>
              <w:t>Grade HS</w:t>
            </w:r>
          </w:p>
        </w:tc>
        <w:tc>
          <w:tcPr>
            <w:tcW w:w="821" w:type="pct"/>
            <w:shd w:val="clear" w:color="auto" w:fill="auto"/>
            <w:vAlign w:val="center"/>
          </w:tcPr>
          <w:p w14:paraId="06826BA4" w14:textId="5829FE90" w:rsidR="00BE7AF0" w:rsidRPr="00781112" w:rsidRDefault="00BE7AF0" w:rsidP="00C362C0">
            <w:pPr>
              <w:jc w:val="center"/>
              <w:rPr>
                <w:rFonts w:cs="Arial"/>
                <w:color w:val="000000" w:themeColor="text1"/>
                <w:szCs w:val="16"/>
              </w:rPr>
            </w:pPr>
            <w:r w:rsidRPr="00781112">
              <w:rPr>
                <w:rFonts w:cs="Arial"/>
                <w:color w:val="000000" w:themeColor="text1"/>
                <w:szCs w:val="16"/>
              </w:rPr>
              <w:t>95.00%</w:t>
            </w:r>
          </w:p>
        </w:tc>
        <w:tc>
          <w:tcPr>
            <w:tcW w:w="821" w:type="pct"/>
            <w:vAlign w:val="center"/>
          </w:tcPr>
          <w:p w14:paraId="14B1D7EC" w14:textId="5E17D245" w:rsidR="00BE7AF0" w:rsidRPr="00781112" w:rsidRDefault="00BE7AF0" w:rsidP="00C362C0">
            <w:pPr>
              <w:jc w:val="center"/>
              <w:rPr>
                <w:rFonts w:cs="Arial"/>
                <w:color w:val="000000" w:themeColor="text1"/>
                <w:szCs w:val="16"/>
              </w:rPr>
            </w:pPr>
            <w:r w:rsidRPr="00781112">
              <w:rPr>
                <w:rFonts w:cs="Arial"/>
                <w:color w:val="000000" w:themeColor="text1"/>
                <w:szCs w:val="16"/>
              </w:rPr>
              <w:t>95.00%</w:t>
            </w:r>
          </w:p>
        </w:tc>
        <w:tc>
          <w:tcPr>
            <w:tcW w:w="821" w:type="pct"/>
            <w:vAlign w:val="center"/>
          </w:tcPr>
          <w:p w14:paraId="05B53368" w14:textId="52EA99DA" w:rsidR="00BE7AF0" w:rsidRPr="00781112" w:rsidRDefault="00BE7AF0" w:rsidP="00C362C0">
            <w:pPr>
              <w:jc w:val="center"/>
              <w:rPr>
                <w:rFonts w:cs="Arial"/>
                <w:color w:val="000000" w:themeColor="text1"/>
                <w:szCs w:val="16"/>
              </w:rPr>
            </w:pPr>
            <w:r w:rsidRPr="00781112">
              <w:rPr>
                <w:rFonts w:cs="Arial"/>
                <w:color w:val="000000" w:themeColor="text1"/>
                <w:szCs w:val="16"/>
              </w:rPr>
              <w:t>95.00%</w:t>
            </w:r>
          </w:p>
        </w:tc>
        <w:tc>
          <w:tcPr>
            <w:tcW w:w="821" w:type="pct"/>
            <w:vAlign w:val="center"/>
          </w:tcPr>
          <w:p w14:paraId="55D2A6D2" w14:textId="0D1D128C" w:rsidR="00BE7AF0" w:rsidRPr="00781112" w:rsidRDefault="00BE7AF0" w:rsidP="00C362C0">
            <w:pPr>
              <w:jc w:val="center"/>
              <w:rPr>
                <w:rFonts w:cs="Arial"/>
                <w:color w:val="000000" w:themeColor="text1"/>
                <w:szCs w:val="16"/>
              </w:rPr>
            </w:pPr>
            <w:r w:rsidRPr="00781112">
              <w:rPr>
                <w:rFonts w:cs="Arial"/>
                <w:color w:val="000000" w:themeColor="text1"/>
                <w:szCs w:val="16"/>
              </w:rPr>
              <w:t>95.00%</w:t>
            </w:r>
          </w:p>
        </w:tc>
      </w:tr>
      <w:tr w:rsidR="00BE7AF0" w:rsidRPr="00781112" w14:paraId="42FB4D55" w14:textId="70E04CC1" w:rsidTr="001A31FD">
        <w:tc>
          <w:tcPr>
            <w:tcW w:w="552" w:type="pct"/>
            <w:shd w:val="clear" w:color="auto" w:fill="auto"/>
            <w:vAlign w:val="center"/>
          </w:tcPr>
          <w:p w14:paraId="5003C653" w14:textId="77777777" w:rsidR="00BE7AF0" w:rsidRPr="00781112" w:rsidRDefault="00BE7AF0" w:rsidP="00C362C0">
            <w:pPr>
              <w:spacing w:before="0" w:after="0"/>
              <w:jc w:val="center"/>
              <w:rPr>
                <w:rFonts w:cs="Arial"/>
                <w:color w:val="000000" w:themeColor="text1"/>
                <w:szCs w:val="16"/>
              </w:rPr>
            </w:pPr>
            <w:r w:rsidRPr="00781112">
              <w:rPr>
                <w:rFonts w:cs="Arial"/>
                <w:color w:val="000000" w:themeColor="text1"/>
                <w:szCs w:val="16"/>
              </w:rPr>
              <w:t>Math</w:t>
            </w:r>
          </w:p>
        </w:tc>
        <w:tc>
          <w:tcPr>
            <w:tcW w:w="444" w:type="pct"/>
            <w:shd w:val="clear" w:color="auto" w:fill="auto"/>
            <w:vAlign w:val="center"/>
          </w:tcPr>
          <w:p w14:paraId="3BDC476D" w14:textId="77777777" w:rsidR="00BE7AF0" w:rsidRPr="00781112" w:rsidRDefault="00BE7AF0" w:rsidP="00C362C0">
            <w:pPr>
              <w:spacing w:before="0" w:after="0"/>
              <w:jc w:val="center"/>
              <w:rPr>
                <w:rFonts w:cs="Arial"/>
                <w:color w:val="000000" w:themeColor="text1"/>
                <w:szCs w:val="16"/>
              </w:rPr>
            </w:pPr>
            <w:r w:rsidRPr="00781112">
              <w:rPr>
                <w:rFonts w:cs="Arial"/>
                <w:color w:val="000000" w:themeColor="text1"/>
                <w:szCs w:val="16"/>
              </w:rPr>
              <w:t>A &gt;=</w:t>
            </w:r>
          </w:p>
        </w:tc>
        <w:tc>
          <w:tcPr>
            <w:tcW w:w="721" w:type="pct"/>
            <w:shd w:val="clear" w:color="auto" w:fill="auto"/>
            <w:vAlign w:val="center"/>
          </w:tcPr>
          <w:p w14:paraId="0CAD024F" w14:textId="139788C5" w:rsidR="00BE7AF0" w:rsidRPr="00781112" w:rsidDel="00DB0A73" w:rsidRDefault="00BE7AF0" w:rsidP="00C362C0">
            <w:pPr>
              <w:jc w:val="center"/>
              <w:rPr>
                <w:rFonts w:cs="Arial"/>
                <w:color w:val="000000" w:themeColor="text1"/>
                <w:szCs w:val="16"/>
              </w:rPr>
            </w:pPr>
            <w:r w:rsidRPr="00781112">
              <w:rPr>
                <w:rFonts w:cs="Arial"/>
                <w:color w:val="000000" w:themeColor="text1"/>
                <w:szCs w:val="16"/>
              </w:rPr>
              <w:t>Grade 4</w:t>
            </w:r>
          </w:p>
        </w:tc>
        <w:tc>
          <w:tcPr>
            <w:tcW w:w="821" w:type="pct"/>
            <w:shd w:val="clear" w:color="auto" w:fill="auto"/>
            <w:vAlign w:val="center"/>
          </w:tcPr>
          <w:p w14:paraId="643E3EC7" w14:textId="5E734881" w:rsidR="00BE7AF0" w:rsidRPr="00781112" w:rsidRDefault="00BE7AF0" w:rsidP="00C362C0">
            <w:pPr>
              <w:jc w:val="center"/>
              <w:rPr>
                <w:rFonts w:cs="Arial"/>
                <w:color w:val="000000" w:themeColor="text1"/>
                <w:szCs w:val="16"/>
              </w:rPr>
            </w:pPr>
            <w:r w:rsidRPr="00781112">
              <w:rPr>
                <w:rFonts w:cs="Arial"/>
                <w:color w:val="000000" w:themeColor="text1"/>
                <w:szCs w:val="16"/>
              </w:rPr>
              <w:t>95.00%</w:t>
            </w:r>
          </w:p>
        </w:tc>
        <w:tc>
          <w:tcPr>
            <w:tcW w:w="821" w:type="pct"/>
            <w:vAlign w:val="center"/>
          </w:tcPr>
          <w:p w14:paraId="5C17E435" w14:textId="07B15AE7" w:rsidR="00BE7AF0" w:rsidRPr="00781112" w:rsidRDefault="00BE7AF0" w:rsidP="00C362C0">
            <w:pPr>
              <w:jc w:val="center"/>
              <w:rPr>
                <w:rFonts w:cs="Arial"/>
                <w:color w:val="000000" w:themeColor="text1"/>
                <w:szCs w:val="16"/>
              </w:rPr>
            </w:pPr>
            <w:r w:rsidRPr="00781112">
              <w:rPr>
                <w:rFonts w:cs="Arial"/>
                <w:color w:val="000000" w:themeColor="text1"/>
                <w:szCs w:val="16"/>
              </w:rPr>
              <w:t>95.00%</w:t>
            </w:r>
          </w:p>
        </w:tc>
        <w:tc>
          <w:tcPr>
            <w:tcW w:w="821" w:type="pct"/>
            <w:vAlign w:val="center"/>
          </w:tcPr>
          <w:p w14:paraId="1B9AA205" w14:textId="39F901D2" w:rsidR="00BE7AF0" w:rsidRPr="00781112" w:rsidRDefault="00BE7AF0" w:rsidP="00C362C0">
            <w:pPr>
              <w:jc w:val="center"/>
              <w:rPr>
                <w:rFonts w:cs="Arial"/>
                <w:color w:val="000000" w:themeColor="text1"/>
                <w:szCs w:val="16"/>
              </w:rPr>
            </w:pPr>
            <w:r w:rsidRPr="00781112">
              <w:rPr>
                <w:rFonts w:cs="Arial"/>
                <w:color w:val="000000" w:themeColor="text1"/>
                <w:szCs w:val="16"/>
              </w:rPr>
              <w:t>95.00%</w:t>
            </w:r>
          </w:p>
        </w:tc>
        <w:tc>
          <w:tcPr>
            <w:tcW w:w="821" w:type="pct"/>
            <w:vAlign w:val="center"/>
          </w:tcPr>
          <w:p w14:paraId="4966A75F" w14:textId="20C7AE15" w:rsidR="00BE7AF0" w:rsidRPr="00781112" w:rsidRDefault="00BE7AF0" w:rsidP="00C362C0">
            <w:pPr>
              <w:jc w:val="center"/>
              <w:rPr>
                <w:rFonts w:cs="Arial"/>
                <w:color w:val="000000" w:themeColor="text1"/>
                <w:szCs w:val="16"/>
              </w:rPr>
            </w:pPr>
            <w:r w:rsidRPr="00781112">
              <w:rPr>
                <w:rFonts w:cs="Arial"/>
                <w:color w:val="000000" w:themeColor="text1"/>
                <w:szCs w:val="16"/>
              </w:rPr>
              <w:t>95.00%</w:t>
            </w:r>
          </w:p>
        </w:tc>
      </w:tr>
      <w:tr w:rsidR="00BE7AF0" w:rsidRPr="00781112" w14:paraId="36D735AC" w14:textId="5C55C170" w:rsidTr="001A31FD">
        <w:tc>
          <w:tcPr>
            <w:tcW w:w="552" w:type="pct"/>
            <w:shd w:val="clear" w:color="auto" w:fill="auto"/>
            <w:vAlign w:val="center"/>
          </w:tcPr>
          <w:p w14:paraId="3DD28514" w14:textId="77777777" w:rsidR="00BE7AF0" w:rsidRPr="00781112" w:rsidRDefault="00BE7AF0" w:rsidP="00C362C0">
            <w:pPr>
              <w:spacing w:before="0" w:after="0"/>
              <w:jc w:val="center"/>
              <w:rPr>
                <w:rFonts w:cs="Arial"/>
                <w:color w:val="000000" w:themeColor="text1"/>
                <w:szCs w:val="16"/>
              </w:rPr>
            </w:pPr>
            <w:r w:rsidRPr="00781112">
              <w:rPr>
                <w:rFonts w:cs="Arial"/>
                <w:color w:val="000000" w:themeColor="text1"/>
                <w:szCs w:val="16"/>
              </w:rPr>
              <w:t>Math</w:t>
            </w:r>
          </w:p>
        </w:tc>
        <w:tc>
          <w:tcPr>
            <w:tcW w:w="444" w:type="pct"/>
            <w:shd w:val="clear" w:color="auto" w:fill="auto"/>
            <w:vAlign w:val="center"/>
          </w:tcPr>
          <w:p w14:paraId="504829E1" w14:textId="77777777" w:rsidR="00BE7AF0" w:rsidRPr="00781112" w:rsidRDefault="00BE7AF0" w:rsidP="00C362C0">
            <w:pPr>
              <w:spacing w:before="0" w:after="0"/>
              <w:jc w:val="center"/>
              <w:rPr>
                <w:rFonts w:cs="Arial"/>
                <w:color w:val="000000" w:themeColor="text1"/>
                <w:szCs w:val="16"/>
              </w:rPr>
            </w:pPr>
            <w:r w:rsidRPr="00781112">
              <w:rPr>
                <w:rFonts w:cs="Arial"/>
                <w:color w:val="000000" w:themeColor="text1"/>
                <w:szCs w:val="16"/>
              </w:rPr>
              <w:t>B &gt;=</w:t>
            </w:r>
          </w:p>
        </w:tc>
        <w:tc>
          <w:tcPr>
            <w:tcW w:w="721" w:type="pct"/>
            <w:shd w:val="clear" w:color="auto" w:fill="auto"/>
            <w:vAlign w:val="center"/>
          </w:tcPr>
          <w:p w14:paraId="7B7B7FDD" w14:textId="4EABA9DD" w:rsidR="00BE7AF0" w:rsidRPr="00781112" w:rsidDel="00DB0A73" w:rsidRDefault="00BE7AF0" w:rsidP="00C362C0">
            <w:pPr>
              <w:jc w:val="center"/>
              <w:rPr>
                <w:rFonts w:cs="Arial"/>
                <w:color w:val="000000" w:themeColor="text1"/>
                <w:szCs w:val="16"/>
              </w:rPr>
            </w:pPr>
            <w:r w:rsidRPr="00781112">
              <w:rPr>
                <w:rFonts w:cs="Arial"/>
                <w:color w:val="000000" w:themeColor="text1"/>
                <w:szCs w:val="16"/>
              </w:rPr>
              <w:t>Grade 8</w:t>
            </w:r>
          </w:p>
        </w:tc>
        <w:tc>
          <w:tcPr>
            <w:tcW w:w="821" w:type="pct"/>
            <w:shd w:val="clear" w:color="auto" w:fill="auto"/>
            <w:vAlign w:val="center"/>
          </w:tcPr>
          <w:p w14:paraId="4BE54D67" w14:textId="13C82F03" w:rsidR="00BE7AF0" w:rsidRPr="00781112" w:rsidRDefault="00BE7AF0" w:rsidP="00C362C0">
            <w:pPr>
              <w:jc w:val="center"/>
              <w:rPr>
                <w:rFonts w:cs="Arial"/>
                <w:color w:val="000000" w:themeColor="text1"/>
                <w:szCs w:val="16"/>
              </w:rPr>
            </w:pPr>
            <w:r w:rsidRPr="00781112">
              <w:rPr>
                <w:rFonts w:cs="Arial"/>
                <w:color w:val="000000" w:themeColor="text1"/>
                <w:szCs w:val="16"/>
              </w:rPr>
              <w:t>95.00%</w:t>
            </w:r>
          </w:p>
        </w:tc>
        <w:tc>
          <w:tcPr>
            <w:tcW w:w="821" w:type="pct"/>
            <w:vAlign w:val="center"/>
          </w:tcPr>
          <w:p w14:paraId="1113A8B0" w14:textId="01C04123" w:rsidR="00BE7AF0" w:rsidRPr="00781112" w:rsidRDefault="00BE7AF0" w:rsidP="00C362C0">
            <w:pPr>
              <w:jc w:val="center"/>
              <w:rPr>
                <w:rFonts w:cs="Arial"/>
                <w:color w:val="000000" w:themeColor="text1"/>
                <w:szCs w:val="16"/>
              </w:rPr>
            </w:pPr>
            <w:r w:rsidRPr="00781112">
              <w:rPr>
                <w:rFonts w:cs="Arial"/>
                <w:color w:val="000000" w:themeColor="text1"/>
                <w:szCs w:val="16"/>
              </w:rPr>
              <w:t>95.00%</w:t>
            </w:r>
          </w:p>
        </w:tc>
        <w:tc>
          <w:tcPr>
            <w:tcW w:w="821" w:type="pct"/>
            <w:vAlign w:val="center"/>
          </w:tcPr>
          <w:p w14:paraId="3A3B0FBA" w14:textId="478F9449" w:rsidR="00BE7AF0" w:rsidRPr="00781112" w:rsidRDefault="00BE7AF0" w:rsidP="00C362C0">
            <w:pPr>
              <w:jc w:val="center"/>
              <w:rPr>
                <w:rFonts w:cs="Arial"/>
                <w:color w:val="000000" w:themeColor="text1"/>
                <w:szCs w:val="16"/>
              </w:rPr>
            </w:pPr>
            <w:r w:rsidRPr="00781112">
              <w:rPr>
                <w:rFonts w:cs="Arial"/>
                <w:color w:val="000000" w:themeColor="text1"/>
                <w:szCs w:val="16"/>
              </w:rPr>
              <w:t>95.00%</w:t>
            </w:r>
          </w:p>
        </w:tc>
        <w:tc>
          <w:tcPr>
            <w:tcW w:w="821" w:type="pct"/>
            <w:vAlign w:val="center"/>
          </w:tcPr>
          <w:p w14:paraId="789FBACE" w14:textId="6A3893AE" w:rsidR="00BE7AF0" w:rsidRPr="00781112" w:rsidRDefault="00BE7AF0" w:rsidP="00C362C0">
            <w:pPr>
              <w:jc w:val="center"/>
              <w:rPr>
                <w:rFonts w:cs="Arial"/>
                <w:color w:val="000000" w:themeColor="text1"/>
                <w:szCs w:val="16"/>
              </w:rPr>
            </w:pPr>
            <w:r w:rsidRPr="00781112">
              <w:rPr>
                <w:rFonts w:cs="Arial"/>
                <w:color w:val="000000" w:themeColor="text1"/>
                <w:szCs w:val="16"/>
              </w:rPr>
              <w:t>95.00%</w:t>
            </w:r>
          </w:p>
        </w:tc>
      </w:tr>
      <w:tr w:rsidR="00BE7AF0" w:rsidRPr="00781112" w14:paraId="6D5345B6" w14:textId="77468A6F" w:rsidTr="001A31FD">
        <w:tc>
          <w:tcPr>
            <w:tcW w:w="552" w:type="pct"/>
            <w:shd w:val="clear" w:color="auto" w:fill="auto"/>
            <w:vAlign w:val="center"/>
          </w:tcPr>
          <w:p w14:paraId="7932C55F" w14:textId="77777777" w:rsidR="00BE7AF0" w:rsidRPr="00781112" w:rsidRDefault="00BE7AF0" w:rsidP="00C362C0">
            <w:pPr>
              <w:spacing w:before="0" w:after="0"/>
              <w:jc w:val="center"/>
              <w:rPr>
                <w:rFonts w:cs="Arial"/>
                <w:color w:val="000000" w:themeColor="text1"/>
                <w:szCs w:val="16"/>
              </w:rPr>
            </w:pPr>
            <w:r w:rsidRPr="00781112">
              <w:rPr>
                <w:rFonts w:cs="Arial"/>
                <w:color w:val="000000" w:themeColor="text1"/>
                <w:szCs w:val="16"/>
              </w:rPr>
              <w:t>Math</w:t>
            </w:r>
          </w:p>
        </w:tc>
        <w:tc>
          <w:tcPr>
            <w:tcW w:w="444" w:type="pct"/>
            <w:shd w:val="clear" w:color="auto" w:fill="auto"/>
            <w:vAlign w:val="center"/>
          </w:tcPr>
          <w:p w14:paraId="2BCACF10" w14:textId="77777777" w:rsidR="00BE7AF0" w:rsidRPr="00781112" w:rsidRDefault="00BE7AF0" w:rsidP="00C362C0">
            <w:pPr>
              <w:spacing w:before="0" w:after="0"/>
              <w:jc w:val="center"/>
              <w:rPr>
                <w:rFonts w:cs="Arial"/>
                <w:color w:val="000000" w:themeColor="text1"/>
                <w:szCs w:val="16"/>
              </w:rPr>
            </w:pPr>
            <w:r w:rsidRPr="00781112">
              <w:rPr>
                <w:rFonts w:cs="Arial"/>
                <w:color w:val="000000" w:themeColor="text1"/>
                <w:szCs w:val="16"/>
              </w:rPr>
              <w:t>C &gt;=</w:t>
            </w:r>
          </w:p>
        </w:tc>
        <w:tc>
          <w:tcPr>
            <w:tcW w:w="721" w:type="pct"/>
            <w:shd w:val="clear" w:color="auto" w:fill="auto"/>
            <w:vAlign w:val="center"/>
          </w:tcPr>
          <w:p w14:paraId="1E7674E7" w14:textId="620A24D0" w:rsidR="00BE7AF0" w:rsidRPr="00781112" w:rsidDel="00DB0A73" w:rsidRDefault="00BE7AF0" w:rsidP="00C362C0">
            <w:pPr>
              <w:jc w:val="center"/>
              <w:rPr>
                <w:rFonts w:cs="Arial"/>
                <w:color w:val="000000" w:themeColor="text1"/>
                <w:szCs w:val="16"/>
              </w:rPr>
            </w:pPr>
            <w:r w:rsidRPr="00781112">
              <w:rPr>
                <w:rFonts w:cs="Arial"/>
                <w:color w:val="000000" w:themeColor="text1"/>
                <w:szCs w:val="16"/>
              </w:rPr>
              <w:t>Grade HS</w:t>
            </w:r>
          </w:p>
        </w:tc>
        <w:tc>
          <w:tcPr>
            <w:tcW w:w="821" w:type="pct"/>
            <w:shd w:val="clear" w:color="auto" w:fill="auto"/>
            <w:vAlign w:val="center"/>
          </w:tcPr>
          <w:p w14:paraId="416F7E76" w14:textId="5B460752" w:rsidR="00BE7AF0" w:rsidRPr="00781112" w:rsidRDefault="00BE7AF0" w:rsidP="00C362C0">
            <w:pPr>
              <w:jc w:val="center"/>
              <w:rPr>
                <w:rFonts w:cs="Arial"/>
                <w:color w:val="000000" w:themeColor="text1"/>
                <w:szCs w:val="16"/>
              </w:rPr>
            </w:pPr>
            <w:r w:rsidRPr="00781112">
              <w:rPr>
                <w:rFonts w:cs="Arial"/>
                <w:color w:val="000000" w:themeColor="text1"/>
                <w:szCs w:val="16"/>
              </w:rPr>
              <w:t>95.00%</w:t>
            </w:r>
          </w:p>
        </w:tc>
        <w:tc>
          <w:tcPr>
            <w:tcW w:w="821" w:type="pct"/>
            <w:vAlign w:val="center"/>
          </w:tcPr>
          <w:p w14:paraId="7ADA18AC" w14:textId="2893C149" w:rsidR="00BE7AF0" w:rsidRPr="00781112" w:rsidRDefault="00BE7AF0" w:rsidP="00C362C0">
            <w:pPr>
              <w:jc w:val="center"/>
              <w:rPr>
                <w:rFonts w:cs="Arial"/>
                <w:color w:val="000000" w:themeColor="text1"/>
                <w:szCs w:val="16"/>
              </w:rPr>
            </w:pPr>
            <w:r w:rsidRPr="00781112">
              <w:rPr>
                <w:rFonts w:cs="Arial"/>
                <w:color w:val="000000" w:themeColor="text1"/>
                <w:szCs w:val="16"/>
              </w:rPr>
              <w:t>95.00%</w:t>
            </w:r>
          </w:p>
        </w:tc>
        <w:tc>
          <w:tcPr>
            <w:tcW w:w="821" w:type="pct"/>
            <w:vAlign w:val="center"/>
          </w:tcPr>
          <w:p w14:paraId="1BF168BC" w14:textId="476AE7F5" w:rsidR="00BE7AF0" w:rsidRPr="00781112" w:rsidRDefault="00BE7AF0" w:rsidP="00C362C0">
            <w:pPr>
              <w:jc w:val="center"/>
              <w:rPr>
                <w:rFonts w:cs="Arial"/>
                <w:color w:val="000000" w:themeColor="text1"/>
                <w:szCs w:val="16"/>
              </w:rPr>
            </w:pPr>
            <w:r w:rsidRPr="00781112">
              <w:rPr>
                <w:rFonts w:cs="Arial"/>
                <w:color w:val="000000" w:themeColor="text1"/>
                <w:szCs w:val="16"/>
              </w:rPr>
              <w:t>95.00%</w:t>
            </w:r>
          </w:p>
        </w:tc>
        <w:tc>
          <w:tcPr>
            <w:tcW w:w="821" w:type="pct"/>
            <w:vAlign w:val="center"/>
          </w:tcPr>
          <w:p w14:paraId="3BB5329F" w14:textId="6B51850F" w:rsidR="00BE7AF0" w:rsidRPr="00781112" w:rsidRDefault="00BE7AF0" w:rsidP="00C362C0">
            <w:pPr>
              <w:jc w:val="center"/>
              <w:rPr>
                <w:rFonts w:cs="Arial"/>
                <w:color w:val="000000" w:themeColor="text1"/>
                <w:szCs w:val="16"/>
              </w:rPr>
            </w:pPr>
            <w:r w:rsidRPr="00781112">
              <w:rPr>
                <w:rFonts w:cs="Arial"/>
                <w:color w:val="000000" w:themeColor="text1"/>
                <w:szCs w:val="16"/>
              </w:rPr>
              <w:t>95.00%</w:t>
            </w:r>
          </w:p>
        </w:tc>
      </w:tr>
    </w:tbl>
    <w:p w14:paraId="4FED9CA8" w14:textId="44F264E8" w:rsidR="007765EF" w:rsidRDefault="007765EF" w:rsidP="00480083">
      <w:pPr>
        <w:rPr>
          <w:b/>
          <w:color w:val="000000" w:themeColor="text1"/>
        </w:rPr>
      </w:pPr>
    </w:p>
    <w:p w14:paraId="2215E695" w14:textId="77777777" w:rsidR="007765EF" w:rsidRDefault="007765EF">
      <w:pPr>
        <w:spacing w:before="0" w:after="200" w:line="276" w:lineRule="auto"/>
        <w:rPr>
          <w:b/>
          <w:color w:val="000000" w:themeColor="text1"/>
        </w:rPr>
      </w:pPr>
      <w:r>
        <w:rPr>
          <w:b/>
          <w:color w:val="000000" w:themeColor="text1"/>
        </w:rPr>
        <w:br w:type="page"/>
      </w:r>
    </w:p>
    <w:p w14:paraId="504D6A43" w14:textId="77777777" w:rsidR="00480083" w:rsidRPr="00781112" w:rsidRDefault="00480083" w:rsidP="00480083">
      <w:pPr>
        <w:rPr>
          <w:b/>
          <w:color w:val="000000" w:themeColor="text1"/>
        </w:rPr>
      </w:pPr>
    </w:p>
    <w:p w14:paraId="3F503660" w14:textId="72C6CE84" w:rsidR="00480083" w:rsidRPr="00781112" w:rsidRDefault="00480083" w:rsidP="00480083">
      <w:pPr>
        <w:rPr>
          <w:b/>
          <w:color w:val="000000" w:themeColor="text1"/>
        </w:rPr>
      </w:pPr>
      <w:r w:rsidRPr="00781112">
        <w:rPr>
          <w:b/>
          <w:color w:val="000000" w:themeColor="text1"/>
        </w:rPr>
        <w:t xml:space="preserve">Targets: Description of Stakeholder Input </w:t>
      </w:r>
    </w:p>
    <w:p w14:paraId="2DB4239B" w14:textId="2F83DC57" w:rsidR="00480083" w:rsidRPr="00781112" w:rsidRDefault="00480083" w:rsidP="00480083">
      <w:pPr>
        <w:rPr>
          <w:rFonts w:cs="Arial"/>
          <w:color w:val="000000" w:themeColor="text1"/>
          <w:szCs w:val="16"/>
        </w:rPr>
      </w:pPr>
      <w:r w:rsidRPr="00781112">
        <w:rPr>
          <w:rFonts w:cs="Arial"/>
          <w:color w:val="000000" w:themeColor="text1"/>
          <w:szCs w:val="16"/>
        </w:rPr>
        <w:t>For FFY 2022, CDE presented, discussed, and solicited feedback on the SPP/APR Indicators with our Colorado Special Education Advisory Committee (CSEAC).</w:t>
      </w:r>
      <w:r w:rsidRPr="00781112">
        <w:rPr>
          <w:rFonts w:cs="Arial"/>
          <w:color w:val="000000" w:themeColor="text1"/>
          <w:szCs w:val="16"/>
        </w:rPr>
        <w:br/>
      </w:r>
      <w:r w:rsidRPr="00781112">
        <w:rPr>
          <w:rFonts w:cs="Arial"/>
          <w:color w:val="000000" w:themeColor="text1"/>
          <w:szCs w:val="16"/>
        </w:rPr>
        <w:br/>
        <w:t>For FFY 2020, the following mechanisms were used to gather broad stakeholder input:</w:t>
      </w:r>
      <w:r w:rsidRPr="00781112">
        <w:rPr>
          <w:rFonts w:cs="Arial"/>
          <w:color w:val="000000" w:themeColor="text1"/>
          <w:szCs w:val="16"/>
        </w:rPr>
        <w:br/>
      </w:r>
      <w:r w:rsidRPr="00781112">
        <w:rPr>
          <w:rFonts w:cs="Arial"/>
          <w:color w:val="000000" w:themeColor="text1"/>
          <w:szCs w:val="16"/>
        </w:rPr>
        <w:br/>
        <w:t>Identified CDE internal stakeholders and content experts for each indicator:</w:t>
      </w:r>
      <w:r w:rsidRPr="00781112">
        <w:rPr>
          <w:rFonts w:cs="Arial"/>
          <w:color w:val="000000" w:themeColor="text1"/>
          <w:szCs w:val="16"/>
        </w:rPr>
        <w:br/>
        <w:t>1. Scheduled meetings for each CDE internal stakeholder indicator team.</w:t>
      </w:r>
      <w:r w:rsidRPr="00781112">
        <w:rPr>
          <w:rFonts w:cs="Arial"/>
          <w:color w:val="000000" w:themeColor="text1"/>
          <w:szCs w:val="16"/>
        </w:rPr>
        <w:br/>
        <w:t>2. Met with each CDE stakeholder team, explain rules and parameters, Colorado history of indicator, past and current improvement strategies, facilitate discussion, and solicit feedback and develop options for each of the SPP/APR targets.</w:t>
      </w:r>
      <w:r w:rsidRPr="00781112">
        <w:rPr>
          <w:rFonts w:cs="Arial"/>
          <w:color w:val="000000" w:themeColor="text1"/>
          <w:szCs w:val="16"/>
        </w:rPr>
        <w:br/>
        <w:t>3. Met with each CDE stakeholder team to facilitate discussion and come to consensus on targets and improvement strategies to present to the external stakeholder groups.</w:t>
      </w:r>
      <w:r w:rsidRPr="00781112">
        <w:rPr>
          <w:rFonts w:cs="Arial"/>
          <w:color w:val="000000" w:themeColor="text1"/>
          <w:szCs w:val="16"/>
        </w:rPr>
        <w:br/>
        <w:t xml:space="preserve">4. Requested and collected improvement strategies for each indicator from each CDE internal stakeholder team. </w:t>
      </w:r>
      <w:r w:rsidRPr="00781112">
        <w:rPr>
          <w:rFonts w:cs="Arial"/>
          <w:color w:val="000000" w:themeColor="text1"/>
          <w:szCs w:val="16"/>
        </w:rPr>
        <w:br/>
      </w:r>
      <w:r w:rsidRPr="00781112">
        <w:rPr>
          <w:rFonts w:cs="Arial"/>
          <w:color w:val="000000" w:themeColor="text1"/>
          <w:szCs w:val="16"/>
        </w:rPr>
        <w:br/>
        <w:t>Built a survey to collect evidence and information from external stakeholder groups and the public to gain feedback on current SPP/APR indicators to collect the following data:</w:t>
      </w:r>
      <w:r w:rsidRPr="00781112">
        <w:rPr>
          <w:rFonts w:cs="Arial"/>
          <w:color w:val="000000" w:themeColor="text1"/>
          <w:szCs w:val="16"/>
        </w:rPr>
        <w:br/>
        <w:t xml:space="preserve">1. Are targets too high, too low, </w:t>
      </w:r>
      <w:proofErr w:type="gramStart"/>
      <w:r w:rsidRPr="00781112">
        <w:rPr>
          <w:rFonts w:cs="Arial"/>
          <w:color w:val="000000" w:themeColor="text1"/>
          <w:szCs w:val="16"/>
        </w:rPr>
        <w:t>just</w:t>
      </w:r>
      <w:proofErr w:type="gramEnd"/>
      <w:r w:rsidRPr="00781112">
        <w:rPr>
          <w:rFonts w:cs="Arial"/>
          <w:color w:val="000000" w:themeColor="text1"/>
          <w:szCs w:val="16"/>
        </w:rPr>
        <w:t xml:space="preserve"> right?</w:t>
      </w:r>
      <w:r w:rsidRPr="00781112">
        <w:rPr>
          <w:rFonts w:cs="Arial"/>
          <w:color w:val="000000" w:themeColor="text1"/>
          <w:szCs w:val="16"/>
        </w:rPr>
        <w:br/>
        <w:t>2. If the proposed improvement strategies are reasonably calculated to help Colorado reach the proposed targets?</w:t>
      </w:r>
      <w:r w:rsidRPr="00781112">
        <w:rPr>
          <w:rFonts w:cs="Arial"/>
          <w:color w:val="000000" w:themeColor="text1"/>
          <w:szCs w:val="16"/>
        </w:rPr>
        <w:br/>
        <w:t>3. Is the proposed choice of demographic category to be analyzed for representation an appropriate selection?</w:t>
      </w:r>
      <w:r w:rsidRPr="00781112">
        <w:rPr>
          <w:rFonts w:cs="Arial"/>
          <w:color w:val="000000" w:themeColor="text1"/>
          <w:szCs w:val="16"/>
        </w:rPr>
        <w:br/>
      </w:r>
      <w:r w:rsidRPr="00781112">
        <w:rPr>
          <w:rFonts w:cs="Arial"/>
          <w:color w:val="000000" w:themeColor="text1"/>
          <w:szCs w:val="16"/>
        </w:rPr>
        <w:br/>
        <w:t>Built a web page to include:</w:t>
      </w:r>
      <w:r w:rsidRPr="00781112">
        <w:rPr>
          <w:rFonts w:cs="Arial"/>
          <w:color w:val="000000" w:themeColor="text1"/>
          <w:szCs w:val="16"/>
        </w:rPr>
        <w:br/>
        <w:t>1. basic information regarding the SPP/APR and the 6-year target resetting process.</w:t>
      </w:r>
      <w:r w:rsidRPr="00781112">
        <w:rPr>
          <w:rFonts w:cs="Arial"/>
          <w:color w:val="000000" w:themeColor="text1"/>
          <w:szCs w:val="16"/>
        </w:rPr>
        <w:br/>
        <w:t>2. asyncronys access to a series of webinars explaining each of the SPP/APR indicators, proposed targets, and improvement strategies.</w:t>
      </w:r>
      <w:r w:rsidRPr="00781112">
        <w:rPr>
          <w:rFonts w:cs="Arial"/>
          <w:color w:val="000000" w:themeColor="text1"/>
          <w:szCs w:val="16"/>
        </w:rPr>
        <w:br/>
        <w:t>3. a link to an indicator survey to gather information from the public during the comment period. This survey was designed to solicit the following information: (a) Are the proposed targets too high, too low, or appropriate? (b) Are the proposed improvement strategies reasonably calculated to help Colorado reach the proposed targets? (c) Is the proposed demographic group to be analyzed for representation an appropriate selection?</w:t>
      </w:r>
      <w:r w:rsidRPr="00781112">
        <w:rPr>
          <w:rFonts w:cs="Arial"/>
          <w:color w:val="000000" w:themeColor="text1"/>
          <w:szCs w:val="16"/>
        </w:rPr>
        <w:br/>
      </w:r>
      <w:r w:rsidRPr="00781112">
        <w:rPr>
          <w:rFonts w:cs="Arial"/>
          <w:color w:val="000000" w:themeColor="text1"/>
          <w:szCs w:val="16"/>
        </w:rPr>
        <w:br/>
        <w:t>Presented and requested input on agreed on targets and improvement strategies to the following indicator specific advisory councils: Preschool School Special Education Advisory Committee (PSSEAC), and the Secondary Transition Task Force Advisory Committee. Review and incorporate feedback into the final draft of the new targets and share proposed version with ESSU Executive Director for approval.</w:t>
      </w:r>
      <w:r w:rsidRPr="00781112">
        <w:rPr>
          <w:rFonts w:cs="Arial"/>
          <w:color w:val="000000" w:themeColor="text1"/>
          <w:szCs w:val="16"/>
        </w:rPr>
        <w:br/>
        <w:t>Presented proposed targets and gathered additional feedback to the following State advisory groups and advocacy groups: Colorado Special Education Advisory Committee (CSEAC) and Parent Partnerships for Equity Advisory Committee, The Arc of Colorado, PEAK Parent Center, and Disability Law Colorado.</w:t>
      </w:r>
      <w:r w:rsidRPr="00781112">
        <w:rPr>
          <w:rFonts w:cs="Arial"/>
          <w:color w:val="000000" w:themeColor="text1"/>
          <w:szCs w:val="16"/>
        </w:rPr>
        <w:br/>
        <w:t>Presented proposed targets for all indicators to Colorado LEA Special Education Directors.</w:t>
      </w:r>
      <w:r w:rsidRPr="00781112">
        <w:rPr>
          <w:rFonts w:cs="Arial"/>
          <w:color w:val="000000" w:themeColor="text1"/>
          <w:szCs w:val="16"/>
        </w:rPr>
        <w:br/>
        <w:t>Held a 2-month public comment period to solicit public comments through a broad CDE-wide communication plan made up of a dedicated webpage with short videos and surveys for each indicator, CDE Facebook page, CDE Twitter Account, a CDE webpage news story, CDE’s Weekly Newsletter, and notifications to our parent advocacy agencies.</w:t>
      </w:r>
      <w:r w:rsidRPr="00781112">
        <w:rPr>
          <w:rFonts w:cs="Arial"/>
          <w:color w:val="000000" w:themeColor="text1"/>
          <w:szCs w:val="16"/>
        </w:rPr>
        <w:br/>
        <w:t xml:space="preserve"> </w:t>
      </w:r>
      <w:r w:rsidRPr="00781112">
        <w:rPr>
          <w:rFonts w:cs="Arial"/>
          <w:color w:val="000000" w:themeColor="text1"/>
          <w:szCs w:val="16"/>
        </w:rPr>
        <w:br/>
        <w:t>Reviewed and considered public comments received through the indicator survey mechanism, finalize all targets with ESSU Executive Director, and published targets on CDE webpage.</w:t>
      </w:r>
    </w:p>
    <w:p w14:paraId="4B8B8032" w14:textId="4731FBE7" w:rsidR="0034094E" w:rsidRPr="00781112" w:rsidRDefault="0034094E">
      <w:pPr>
        <w:spacing w:before="0" w:after="200" w:line="276" w:lineRule="auto"/>
        <w:rPr>
          <w:b/>
          <w:color w:val="000000" w:themeColor="text1"/>
        </w:rPr>
      </w:pPr>
    </w:p>
    <w:p w14:paraId="185A3541" w14:textId="450E36CC" w:rsidR="004F4016" w:rsidRPr="00781112" w:rsidRDefault="00FA33C9" w:rsidP="004F4016">
      <w:pPr>
        <w:rPr>
          <w:b/>
          <w:color w:val="000000" w:themeColor="text1"/>
        </w:rPr>
      </w:pPr>
      <w:r>
        <w:rPr>
          <w:b/>
          <w:color w:val="000000" w:themeColor="text1"/>
        </w:rPr>
        <w:t>FFY 2022 Data Disaggregation from ED</w:t>
      </w:r>
      <w:r w:rsidRPr="00BA3DBE">
        <w:rPr>
          <w:b/>
          <w:i/>
          <w:iCs/>
          <w:color w:val="000000" w:themeColor="text1"/>
        </w:rPr>
        <w:t>Facts</w:t>
      </w:r>
    </w:p>
    <w:p w14:paraId="0D09503A" w14:textId="77777777" w:rsidR="004F4016" w:rsidRPr="00781112" w:rsidRDefault="004F4016" w:rsidP="004F4016">
      <w:pPr>
        <w:rPr>
          <w:rFonts w:cs="Arial"/>
          <w:b/>
          <w:color w:val="000000" w:themeColor="text1"/>
          <w:szCs w:val="16"/>
        </w:rPr>
      </w:pPr>
      <w:r w:rsidRPr="00781112">
        <w:rPr>
          <w:rFonts w:cs="Arial"/>
          <w:b/>
          <w:color w:val="000000" w:themeColor="text1"/>
          <w:szCs w:val="16"/>
        </w:rPr>
        <w:t xml:space="preserve">Data Source:  </w:t>
      </w:r>
    </w:p>
    <w:p w14:paraId="395788DA" w14:textId="4855F4A0" w:rsidR="004F4016" w:rsidRPr="00781112" w:rsidRDefault="004F4016" w:rsidP="004F4016">
      <w:pPr>
        <w:rPr>
          <w:rFonts w:cs="Arial"/>
          <w:color w:val="000000" w:themeColor="text1"/>
          <w:szCs w:val="16"/>
        </w:rPr>
      </w:pPr>
      <w:r w:rsidRPr="00781112">
        <w:rPr>
          <w:rFonts w:cs="Arial"/>
          <w:color w:val="000000" w:themeColor="text1"/>
          <w:szCs w:val="16"/>
        </w:rPr>
        <w:t xml:space="preserve">SY 2022-23 Assessment Data Groups - </w:t>
      </w:r>
      <w:proofErr w:type="gramStart"/>
      <w:r w:rsidRPr="00781112">
        <w:rPr>
          <w:rFonts w:cs="Arial"/>
          <w:color w:val="000000" w:themeColor="text1"/>
          <w:szCs w:val="16"/>
        </w:rPr>
        <w:t>Reading  (</w:t>
      </w:r>
      <w:proofErr w:type="gramEnd"/>
      <w:r w:rsidRPr="00781112">
        <w:rPr>
          <w:rFonts w:cs="Arial"/>
          <w:color w:val="000000" w:themeColor="text1"/>
          <w:szCs w:val="16"/>
        </w:rPr>
        <w:t>EDFacts file spec FS188; Data Group: 589)</w:t>
      </w:r>
    </w:p>
    <w:p w14:paraId="6E29ED7B" w14:textId="77777777" w:rsidR="004F4016" w:rsidRPr="00781112" w:rsidRDefault="004F4016" w:rsidP="004F4016">
      <w:pPr>
        <w:rPr>
          <w:rFonts w:cs="Arial"/>
          <w:b/>
          <w:color w:val="000000" w:themeColor="text1"/>
          <w:szCs w:val="16"/>
        </w:rPr>
      </w:pPr>
      <w:r w:rsidRPr="00781112">
        <w:rPr>
          <w:rFonts w:cs="Arial"/>
          <w:b/>
          <w:color w:val="000000" w:themeColor="text1"/>
          <w:szCs w:val="16"/>
        </w:rPr>
        <w:t xml:space="preserve">Date: </w:t>
      </w:r>
    </w:p>
    <w:p w14:paraId="5988832A" w14:textId="77777777" w:rsidR="004F4016" w:rsidRPr="00781112" w:rsidRDefault="004F4016" w:rsidP="004F4016">
      <w:pPr>
        <w:rPr>
          <w:rFonts w:cs="Arial"/>
          <w:color w:val="000000" w:themeColor="text1"/>
          <w:szCs w:val="16"/>
        </w:rPr>
      </w:pPr>
      <w:r w:rsidRPr="00781112">
        <w:rPr>
          <w:rFonts w:cs="Arial"/>
          <w:color w:val="000000" w:themeColor="text1"/>
          <w:szCs w:val="16"/>
        </w:rPr>
        <w:t>01/10/2024</w:t>
      </w:r>
    </w:p>
    <w:p w14:paraId="651CC948" w14:textId="7845CFDF" w:rsidR="004F4016" w:rsidRPr="00781112" w:rsidRDefault="004F4016" w:rsidP="004F4016">
      <w:pPr>
        <w:rPr>
          <w:b/>
          <w:color w:val="000000" w:themeColor="text1"/>
        </w:rPr>
      </w:pPr>
      <w:r w:rsidRPr="00781112">
        <w:rPr>
          <w:b/>
          <w:color w:val="000000" w:themeColor="text1"/>
        </w:rPr>
        <w:t>Reading Assessment Participation Data by Grade</w:t>
      </w:r>
      <w:r w:rsidR="00993B32">
        <w:rPr>
          <w:b/>
          <w:color w:val="000000" w:themeColor="text1"/>
        </w:rPr>
        <w:t xml:space="preserve"> (1)</w:t>
      </w:r>
    </w:p>
    <w:tbl>
      <w:tblPr>
        <w:tblStyle w:val="TableGrid"/>
        <w:tblW w:w="5000" w:type="pct"/>
        <w:tblLayout w:type="fixed"/>
        <w:tblLook w:val="04A0" w:firstRow="1" w:lastRow="0" w:firstColumn="1" w:lastColumn="0" w:noHBand="0" w:noVBand="1"/>
        <w:tblCaption w:val="B03ASSPARTDATABYGRDRLA"/>
      </w:tblPr>
      <w:tblGrid>
        <w:gridCol w:w="3326"/>
        <w:gridCol w:w="2488"/>
        <w:gridCol w:w="2488"/>
        <w:gridCol w:w="2488"/>
      </w:tblGrid>
      <w:tr w:rsidR="00DD7CEF" w:rsidRPr="00781112" w14:paraId="403AD72A" w14:textId="77777777" w:rsidTr="009E026B">
        <w:tc>
          <w:tcPr>
            <w:tcW w:w="1541" w:type="pct"/>
            <w:shd w:val="clear" w:color="auto" w:fill="auto"/>
            <w:vAlign w:val="center"/>
          </w:tcPr>
          <w:p w14:paraId="1C62C5FF" w14:textId="603ACFA1" w:rsidR="00DD7CEF" w:rsidRPr="00781112" w:rsidRDefault="00DD7CEF" w:rsidP="00827FF4">
            <w:pPr>
              <w:jc w:val="center"/>
              <w:rPr>
                <w:rFonts w:cs="Arial"/>
                <w:b/>
                <w:bCs/>
                <w:color w:val="000000" w:themeColor="text1"/>
                <w:szCs w:val="16"/>
              </w:rPr>
            </w:pPr>
            <w:r w:rsidRPr="00781112">
              <w:rPr>
                <w:rFonts w:cs="Arial"/>
                <w:b/>
                <w:bCs/>
                <w:color w:val="000000" w:themeColor="text1"/>
                <w:szCs w:val="16"/>
              </w:rPr>
              <w:t>Group</w:t>
            </w:r>
          </w:p>
        </w:tc>
        <w:tc>
          <w:tcPr>
            <w:tcW w:w="1153" w:type="pct"/>
            <w:shd w:val="clear" w:color="auto" w:fill="auto"/>
            <w:vAlign w:val="center"/>
          </w:tcPr>
          <w:p w14:paraId="3BC293C7" w14:textId="23FBE050" w:rsidR="00DD7CEF" w:rsidRPr="00781112" w:rsidRDefault="0014778D">
            <w:pPr>
              <w:jc w:val="center"/>
              <w:rPr>
                <w:rFonts w:cs="Arial"/>
                <w:b/>
                <w:bCs/>
                <w:color w:val="000000" w:themeColor="text1"/>
                <w:szCs w:val="16"/>
              </w:rPr>
            </w:pPr>
            <w:r w:rsidRPr="00781112">
              <w:rPr>
                <w:rFonts w:cs="Arial"/>
                <w:b/>
                <w:bCs/>
                <w:color w:val="000000" w:themeColor="text1"/>
                <w:szCs w:val="16"/>
              </w:rPr>
              <w:t>Grade 4</w:t>
            </w:r>
          </w:p>
        </w:tc>
        <w:tc>
          <w:tcPr>
            <w:tcW w:w="1153" w:type="pct"/>
            <w:shd w:val="clear" w:color="auto" w:fill="auto"/>
            <w:vAlign w:val="center"/>
          </w:tcPr>
          <w:p w14:paraId="2B9E34ED" w14:textId="748CD695" w:rsidR="00DD7CEF" w:rsidRPr="00781112" w:rsidRDefault="009A58F2">
            <w:pPr>
              <w:jc w:val="center"/>
              <w:rPr>
                <w:rFonts w:cs="Arial"/>
                <w:b/>
                <w:bCs/>
                <w:color w:val="000000" w:themeColor="text1"/>
                <w:szCs w:val="16"/>
              </w:rPr>
            </w:pPr>
            <w:r w:rsidRPr="00781112">
              <w:rPr>
                <w:rFonts w:cs="Arial"/>
                <w:b/>
                <w:bCs/>
                <w:color w:val="000000" w:themeColor="text1"/>
                <w:szCs w:val="16"/>
              </w:rPr>
              <w:t>Grade 8</w:t>
            </w:r>
          </w:p>
        </w:tc>
        <w:tc>
          <w:tcPr>
            <w:tcW w:w="1153" w:type="pct"/>
            <w:shd w:val="clear" w:color="auto" w:fill="auto"/>
            <w:vAlign w:val="center"/>
          </w:tcPr>
          <w:p w14:paraId="1C889EA5" w14:textId="5C3575D5" w:rsidR="00DD7CEF" w:rsidRPr="00781112" w:rsidRDefault="00641893">
            <w:pPr>
              <w:jc w:val="center"/>
              <w:rPr>
                <w:rFonts w:cs="Arial"/>
                <w:b/>
                <w:bCs/>
                <w:color w:val="000000" w:themeColor="text1"/>
                <w:szCs w:val="16"/>
              </w:rPr>
            </w:pPr>
            <w:r w:rsidRPr="00781112">
              <w:rPr>
                <w:rFonts w:cs="Arial"/>
                <w:b/>
                <w:bCs/>
                <w:color w:val="000000" w:themeColor="text1"/>
                <w:szCs w:val="16"/>
              </w:rPr>
              <w:t>Grade HS</w:t>
            </w:r>
          </w:p>
        </w:tc>
      </w:tr>
      <w:tr w:rsidR="00DD7CEF" w:rsidRPr="00781112" w14:paraId="384D4241" w14:textId="77777777" w:rsidTr="009E026B">
        <w:tc>
          <w:tcPr>
            <w:tcW w:w="1541" w:type="pct"/>
            <w:shd w:val="clear" w:color="auto" w:fill="auto"/>
            <w:vAlign w:val="center"/>
          </w:tcPr>
          <w:p w14:paraId="2C5D3B14" w14:textId="4D5910D7" w:rsidR="00DD7CEF" w:rsidRPr="00781112" w:rsidRDefault="00DD7CEF" w:rsidP="00827FF4">
            <w:pPr>
              <w:rPr>
                <w:rFonts w:cs="Arial"/>
                <w:color w:val="000000" w:themeColor="text1"/>
                <w:szCs w:val="16"/>
              </w:rPr>
            </w:pPr>
            <w:r w:rsidRPr="00781112">
              <w:rPr>
                <w:rFonts w:cs="Arial"/>
                <w:color w:val="000000" w:themeColor="text1"/>
                <w:szCs w:val="16"/>
              </w:rPr>
              <w:t>a. Children with IEPs (2)</w:t>
            </w:r>
          </w:p>
        </w:tc>
        <w:tc>
          <w:tcPr>
            <w:tcW w:w="1153" w:type="pct"/>
            <w:shd w:val="clear" w:color="auto" w:fill="auto"/>
            <w:vAlign w:val="center"/>
          </w:tcPr>
          <w:p w14:paraId="76979ED3" w14:textId="29C55693" w:rsidR="00DD7CEF" w:rsidRPr="00781112" w:rsidRDefault="00DD7CEF" w:rsidP="00360DD6">
            <w:pPr>
              <w:jc w:val="center"/>
              <w:rPr>
                <w:rFonts w:cs="Arial"/>
                <w:color w:val="000000" w:themeColor="text1"/>
                <w:szCs w:val="16"/>
              </w:rPr>
            </w:pPr>
            <w:r w:rsidRPr="00781112">
              <w:rPr>
                <w:rFonts w:cs="Arial"/>
                <w:color w:val="000000" w:themeColor="text1"/>
                <w:szCs w:val="16"/>
              </w:rPr>
              <w:t>9,175</w:t>
            </w:r>
          </w:p>
        </w:tc>
        <w:tc>
          <w:tcPr>
            <w:tcW w:w="1153" w:type="pct"/>
            <w:shd w:val="clear" w:color="auto" w:fill="auto"/>
            <w:vAlign w:val="center"/>
          </w:tcPr>
          <w:p w14:paraId="35D7BA3B" w14:textId="1A0E2FBE" w:rsidR="00DD7CEF" w:rsidRPr="00781112" w:rsidRDefault="00DD7CEF" w:rsidP="00360DD6">
            <w:pPr>
              <w:jc w:val="center"/>
              <w:rPr>
                <w:rFonts w:cs="Arial"/>
                <w:color w:val="000000" w:themeColor="text1"/>
                <w:szCs w:val="16"/>
              </w:rPr>
            </w:pPr>
            <w:r w:rsidRPr="00781112">
              <w:rPr>
                <w:rFonts w:cs="Arial"/>
                <w:color w:val="000000" w:themeColor="text1"/>
                <w:szCs w:val="16"/>
              </w:rPr>
              <w:t>8,239</w:t>
            </w:r>
          </w:p>
        </w:tc>
        <w:tc>
          <w:tcPr>
            <w:tcW w:w="1153" w:type="pct"/>
            <w:shd w:val="clear" w:color="auto" w:fill="auto"/>
            <w:vAlign w:val="center"/>
          </w:tcPr>
          <w:p w14:paraId="052A06A3" w14:textId="4AC6D010" w:rsidR="00DD7CEF" w:rsidRPr="00781112" w:rsidRDefault="00DD7CEF" w:rsidP="00360DD6">
            <w:pPr>
              <w:jc w:val="center"/>
              <w:rPr>
                <w:rFonts w:cs="Arial"/>
                <w:color w:val="000000" w:themeColor="text1"/>
                <w:szCs w:val="16"/>
              </w:rPr>
            </w:pPr>
            <w:r w:rsidRPr="00781112">
              <w:rPr>
                <w:rFonts w:cs="Arial"/>
                <w:color w:val="000000" w:themeColor="text1"/>
                <w:szCs w:val="16"/>
              </w:rPr>
              <w:t>6,335</w:t>
            </w:r>
          </w:p>
        </w:tc>
      </w:tr>
      <w:tr w:rsidR="00DD7CEF" w:rsidRPr="00781112" w14:paraId="7B6E221D" w14:textId="77777777" w:rsidTr="009E026B">
        <w:tc>
          <w:tcPr>
            <w:tcW w:w="1541" w:type="pct"/>
            <w:shd w:val="clear" w:color="auto" w:fill="auto"/>
            <w:vAlign w:val="center"/>
          </w:tcPr>
          <w:p w14:paraId="06F38372" w14:textId="6CFF7C17" w:rsidR="00DD7CEF" w:rsidRPr="00781112" w:rsidRDefault="00DD7CEF" w:rsidP="00827FF4">
            <w:pPr>
              <w:rPr>
                <w:rFonts w:cs="Arial"/>
                <w:color w:val="000000" w:themeColor="text1"/>
                <w:szCs w:val="16"/>
              </w:rPr>
            </w:pPr>
            <w:r w:rsidRPr="00781112">
              <w:rPr>
                <w:rFonts w:cs="Arial"/>
                <w:color w:val="000000" w:themeColor="text1"/>
                <w:szCs w:val="16"/>
              </w:rPr>
              <w:t>b. Children with IEPs in regular assessment with no accommodations (3)</w:t>
            </w:r>
          </w:p>
        </w:tc>
        <w:tc>
          <w:tcPr>
            <w:tcW w:w="1153" w:type="pct"/>
            <w:shd w:val="clear" w:color="auto" w:fill="auto"/>
            <w:vAlign w:val="center"/>
          </w:tcPr>
          <w:p w14:paraId="59910B66" w14:textId="372C2375" w:rsidR="00DD7CEF" w:rsidRPr="00781112" w:rsidRDefault="00DD7CEF" w:rsidP="00360DD6">
            <w:pPr>
              <w:jc w:val="center"/>
              <w:rPr>
                <w:rFonts w:cs="Arial"/>
                <w:color w:val="000000" w:themeColor="text1"/>
                <w:szCs w:val="16"/>
              </w:rPr>
            </w:pPr>
            <w:r w:rsidRPr="00781112">
              <w:rPr>
                <w:rFonts w:cs="Arial"/>
                <w:color w:val="000000" w:themeColor="text1"/>
                <w:szCs w:val="16"/>
              </w:rPr>
              <w:t>4,143</w:t>
            </w:r>
          </w:p>
        </w:tc>
        <w:tc>
          <w:tcPr>
            <w:tcW w:w="1153" w:type="pct"/>
            <w:shd w:val="clear" w:color="auto" w:fill="auto"/>
            <w:vAlign w:val="center"/>
          </w:tcPr>
          <w:p w14:paraId="58E61FB0" w14:textId="02C429C4" w:rsidR="00DD7CEF" w:rsidRPr="00781112" w:rsidRDefault="00DD7CEF" w:rsidP="00360DD6">
            <w:pPr>
              <w:jc w:val="center"/>
              <w:rPr>
                <w:rFonts w:cs="Arial"/>
                <w:color w:val="000000" w:themeColor="text1"/>
                <w:szCs w:val="16"/>
              </w:rPr>
            </w:pPr>
            <w:r w:rsidRPr="00781112">
              <w:rPr>
                <w:rFonts w:cs="Arial"/>
                <w:color w:val="000000" w:themeColor="text1"/>
                <w:szCs w:val="16"/>
              </w:rPr>
              <w:t>2,814</w:t>
            </w:r>
          </w:p>
        </w:tc>
        <w:tc>
          <w:tcPr>
            <w:tcW w:w="1153" w:type="pct"/>
            <w:shd w:val="clear" w:color="auto" w:fill="auto"/>
            <w:vAlign w:val="center"/>
          </w:tcPr>
          <w:p w14:paraId="60320EC9" w14:textId="6D87AECE" w:rsidR="00DD7CEF" w:rsidRPr="00781112" w:rsidRDefault="00DD7CEF" w:rsidP="00360DD6">
            <w:pPr>
              <w:jc w:val="center"/>
              <w:rPr>
                <w:rFonts w:cs="Arial"/>
                <w:color w:val="000000" w:themeColor="text1"/>
                <w:szCs w:val="16"/>
              </w:rPr>
            </w:pPr>
            <w:r w:rsidRPr="00781112">
              <w:rPr>
                <w:rFonts w:cs="Arial"/>
                <w:color w:val="000000" w:themeColor="text1"/>
                <w:szCs w:val="16"/>
              </w:rPr>
              <w:t>765</w:t>
            </w:r>
          </w:p>
        </w:tc>
      </w:tr>
      <w:tr w:rsidR="00DD7CEF" w:rsidRPr="00781112" w14:paraId="764B5297" w14:textId="77777777" w:rsidTr="009E026B">
        <w:tc>
          <w:tcPr>
            <w:tcW w:w="1541" w:type="pct"/>
            <w:shd w:val="clear" w:color="auto" w:fill="auto"/>
            <w:vAlign w:val="center"/>
          </w:tcPr>
          <w:p w14:paraId="4B1F9E5B" w14:textId="10333647" w:rsidR="00DD7CEF" w:rsidRPr="00781112" w:rsidRDefault="00DD7CEF" w:rsidP="00827FF4">
            <w:pPr>
              <w:rPr>
                <w:rFonts w:cs="Arial"/>
                <w:color w:val="000000" w:themeColor="text1"/>
                <w:szCs w:val="16"/>
              </w:rPr>
            </w:pPr>
            <w:r w:rsidRPr="00781112">
              <w:rPr>
                <w:rFonts w:cs="Arial"/>
                <w:color w:val="000000" w:themeColor="text1"/>
                <w:szCs w:val="16"/>
              </w:rPr>
              <w:t>c. Children with IEPs in regular assessment with accommodations (3)</w:t>
            </w:r>
          </w:p>
        </w:tc>
        <w:tc>
          <w:tcPr>
            <w:tcW w:w="1153" w:type="pct"/>
            <w:shd w:val="clear" w:color="auto" w:fill="auto"/>
            <w:vAlign w:val="center"/>
          </w:tcPr>
          <w:p w14:paraId="19E2C9E2" w14:textId="62074AB9" w:rsidR="00DD7CEF" w:rsidRPr="00781112" w:rsidRDefault="00DD7CEF" w:rsidP="00360DD6">
            <w:pPr>
              <w:jc w:val="center"/>
              <w:rPr>
                <w:rFonts w:cs="Arial"/>
                <w:color w:val="000000" w:themeColor="text1"/>
                <w:szCs w:val="16"/>
              </w:rPr>
            </w:pPr>
            <w:r w:rsidRPr="00781112">
              <w:rPr>
                <w:rFonts w:cs="Arial"/>
                <w:color w:val="000000" w:themeColor="text1"/>
                <w:szCs w:val="16"/>
              </w:rPr>
              <w:t>3,129</w:t>
            </w:r>
          </w:p>
        </w:tc>
        <w:tc>
          <w:tcPr>
            <w:tcW w:w="1153" w:type="pct"/>
            <w:shd w:val="clear" w:color="auto" w:fill="auto"/>
            <w:vAlign w:val="center"/>
          </w:tcPr>
          <w:p w14:paraId="3DB02599" w14:textId="2A0B712D" w:rsidR="00DD7CEF" w:rsidRPr="00781112" w:rsidRDefault="00DD7CEF" w:rsidP="00360DD6">
            <w:pPr>
              <w:jc w:val="center"/>
              <w:rPr>
                <w:rFonts w:cs="Arial"/>
                <w:color w:val="000000" w:themeColor="text1"/>
                <w:szCs w:val="16"/>
              </w:rPr>
            </w:pPr>
            <w:r w:rsidRPr="00781112">
              <w:rPr>
                <w:rFonts w:cs="Arial"/>
                <w:color w:val="000000" w:themeColor="text1"/>
                <w:szCs w:val="16"/>
              </w:rPr>
              <w:t>2,794</w:t>
            </w:r>
          </w:p>
        </w:tc>
        <w:tc>
          <w:tcPr>
            <w:tcW w:w="1153" w:type="pct"/>
            <w:shd w:val="clear" w:color="auto" w:fill="auto"/>
            <w:vAlign w:val="center"/>
          </w:tcPr>
          <w:p w14:paraId="4B5AD287" w14:textId="21E448FD" w:rsidR="00DD7CEF" w:rsidRPr="00781112" w:rsidRDefault="00DD7CEF" w:rsidP="00360DD6">
            <w:pPr>
              <w:jc w:val="center"/>
              <w:rPr>
                <w:rFonts w:cs="Arial"/>
                <w:color w:val="000000" w:themeColor="text1"/>
                <w:szCs w:val="16"/>
              </w:rPr>
            </w:pPr>
            <w:r w:rsidRPr="00781112">
              <w:rPr>
                <w:rFonts w:cs="Arial"/>
                <w:color w:val="000000" w:themeColor="text1"/>
                <w:szCs w:val="16"/>
              </w:rPr>
              <w:t>3,334</w:t>
            </w:r>
          </w:p>
        </w:tc>
      </w:tr>
      <w:tr w:rsidR="00DD7CEF" w:rsidRPr="00781112" w14:paraId="2174424F" w14:textId="77777777" w:rsidTr="009E026B">
        <w:tc>
          <w:tcPr>
            <w:tcW w:w="1541" w:type="pct"/>
            <w:shd w:val="clear" w:color="auto" w:fill="auto"/>
            <w:vAlign w:val="center"/>
          </w:tcPr>
          <w:p w14:paraId="42AC6AFC" w14:textId="1F1C0A89" w:rsidR="00DD7CEF" w:rsidRPr="00781112" w:rsidRDefault="00E67387" w:rsidP="00827FF4">
            <w:pPr>
              <w:rPr>
                <w:rFonts w:cs="Arial"/>
                <w:color w:val="000000" w:themeColor="text1"/>
                <w:szCs w:val="16"/>
              </w:rPr>
            </w:pPr>
            <w:r w:rsidRPr="00781112">
              <w:rPr>
                <w:rFonts w:cs="Arial"/>
                <w:color w:val="000000" w:themeColor="text1"/>
                <w:szCs w:val="16"/>
              </w:rPr>
              <w:t xml:space="preserve">d. Children with IEPs in alternate assessment against alternate standards </w:t>
            </w:r>
          </w:p>
        </w:tc>
        <w:tc>
          <w:tcPr>
            <w:tcW w:w="1153" w:type="pct"/>
            <w:shd w:val="clear" w:color="auto" w:fill="auto"/>
            <w:vAlign w:val="center"/>
          </w:tcPr>
          <w:p w14:paraId="372F0481" w14:textId="200584A1" w:rsidR="00DD7CEF" w:rsidRPr="00781112" w:rsidRDefault="00DD7CEF" w:rsidP="00360DD6">
            <w:pPr>
              <w:jc w:val="center"/>
              <w:rPr>
                <w:rFonts w:cs="Arial"/>
                <w:color w:val="000000" w:themeColor="text1"/>
                <w:szCs w:val="16"/>
              </w:rPr>
            </w:pPr>
            <w:r w:rsidRPr="00781112">
              <w:rPr>
                <w:rFonts w:cs="Arial"/>
                <w:color w:val="000000" w:themeColor="text1"/>
                <w:szCs w:val="16"/>
              </w:rPr>
              <w:t>475</w:t>
            </w:r>
          </w:p>
        </w:tc>
        <w:tc>
          <w:tcPr>
            <w:tcW w:w="1153" w:type="pct"/>
            <w:shd w:val="clear" w:color="auto" w:fill="auto"/>
            <w:vAlign w:val="center"/>
          </w:tcPr>
          <w:p w14:paraId="74C112C5" w14:textId="5B153323" w:rsidR="00DD7CEF" w:rsidRPr="00781112" w:rsidRDefault="00DD7CEF" w:rsidP="00360DD6">
            <w:pPr>
              <w:jc w:val="center"/>
              <w:rPr>
                <w:rFonts w:cs="Arial"/>
                <w:color w:val="000000" w:themeColor="text1"/>
                <w:szCs w:val="16"/>
              </w:rPr>
            </w:pPr>
            <w:r w:rsidRPr="00781112">
              <w:rPr>
                <w:rFonts w:cs="Arial"/>
                <w:color w:val="000000" w:themeColor="text1"/>
                <w:szCs w:val="16"/>
              </w:rPr>
              <w:t>497</w:t>
            </w:r>
          </w:p>
        </w:tc>
        <w:tc>
          <w:tcPr>
            <w:tcW w:w="1153" w:type="pct"/>
            <w:shd w:val="clear" w:color="auto" w:fill="auto"/>
            <w:vAlign w:val="center"/>
          </w:tcPr>
          <w:p w14:paraId="37AA75C1" w14:textId="6F75A72A" w:rsidR="00DD7CEF" w:rsidRPr="00781112" w:rsidRDefault="00DD7CEF" w:rsidP="00360DD6">
            <w:pPr>
              <w:jc w:val="center"/>
              <w:rPr>
                <w:rFonts w:cs="Arial"/>
                <w:color w:val="000000" w:themeColor="text1"/>
                <w:szCs w:val="16"/>
              </w:rPr>
            </w:pPr>
            <w:r w:rsidRPr="00781112">
              <w:rPr>
                <w:rFonts w:cs="Arial"/>
                <w:color w:val="000000" w:themeColor="text1"/>
                <w:szCs w:val="16"/>
              </w:rPr>
              <w:t>402</w:t>
            </w:r>
          </w:p>
        </w:tc>
      </w:tr>
    </w:tbl>
    <w:p w14:paraId="2BFA9082" w14:textId="77777777" w:rsidR="003C0975" w:rsidRPr="00781112" w:rsidRDefault="003C0975" w:rsidP="004F4016">
      <w:pPr>
        <w:rPr>
          <w:b/>
          <w:color w:val="000000" w:themeColor="text1"/>
        </w:rPr>
      </w:pPr>
    </w:p>
    <w:p w14:paraId="7180C13A" w14:textId="77777777" w:rsidR="004F4016" w:rsidRPr="00781112" w:rsidRDefault="004F4016" w:rsidP="004F4016">
      <w:pPr>
        <w:rPr>
          <w:rFonts w:cs="Arial"/>
          <w:b/>
          <w:color w:val="000000" w:themeColor="text1"/>
          <w:szCs w:val="16"/>
        </w:rPr>
      </w:pPr>
      <w:r w:rsidRPr="00781112">
        <w:rPr>
          <w:rFonts w:cs="Arial"/>
          <w:b/>
          <w:color w:val="000000" w:themeColor="text1"/>
          <w:szCs w:val="16"/>
        </w:rPr>
        <w:t xml:space="preserve">Data Source: </w:t>
      </w:r>
    </w:p>
    <w:p w14:paraId="7381D1CB" w14:textId="5EA62270" w:rsidR="004F4016" w:rsidRPr="00781112" w:rsidRDefault="004F4016" w:rsidP="004F4016">
      <w:pPr>
        <w:rPr>
          <w:rFonts w:cs="Arial"/>
          <w:color w:val="000000" w:themeColor="text1"/>
          <w:szCs w:val="16"/>
        </w:rPr>
      </w:pPr>
      <w:r w:rsidRPr="00781112">
        <w:rPr>
          <w:rFonts w:cs="Arial"/>
          <w:color w:val="000000" w:themeColor="text1"/>
          <w:szCs w:val="16"/>
        </w:rPr>
        <w:t xml:space="preserve">SY 2022-23 Assessment Data Groups - </w:t>
      </w:r>
      <w:proofErr w:type="gramStart"/>
      <w:r w:rsidRPr="00781112">
        <w:rPr>
          <w:rFonts w:cs="Arial"/>
          <w:color w:val="000000" w:themeColor="text1"/>
          <w:szCs w:val="16"/>
        </w:rPr>
        <w:t>Math  (</w:t>
      </w:r>
      <w:proofErr w:type="gramEnd"/>
      <w:r w:rsidRPr="00781112">
        <w:rPr>
          <w:rFonts w:cs="Arial"/>
          <w:color w:val="000000" w:themeColor="text1"/>
          <w:szCs w:val="16"/>
        </w:rPr>
        <w:t>EDFacts file spec FS185; Data Group: 588)</w:t>
      </w:r>
    </w:p>
    <w:p w14:paraId="565A3F2C" w14:textId="77777777" w:rsidR="004F4016" w:rsidRPr="00781112" w:rsidRDefault="004F4016" w:rsidP="004F4016">
      <w:pPr>
        <w:rPr>
          <w:rFonts w:cs="Arial"/>
          <w:b/>
          <w:color w:val="000000" w:themeColor="text1"/>
          <w:szCs w:val="16"/>
        </w:rPr>
      </w:pPr>
      <w:r w:rsidRPr="00781112">
        <w:rPr>
          <w:rFonts w:cs="Arial"/>
          <w:b/>
          <w:color w:val="000000" w:themeColor="text1"/>
          <w:szCs w:val="16"/>
        </w:rPr>
        <w:t xml:space="preserve">Date: </w:t>
      </w:r>
    </w:p>
    <w:p w14:paraId="44216026" w14:textId="00B372B9" w:rsidR="004F4016" w:rsidRPr="00781112" w:rsidRDefault="004F4016" w:rsidP="004F4016">
      <w:pPr>
        <w:rPr>
          <w:rFonts w:cs="Arial"/>
          <w:color w:val="000000" w:themeColor="text1"/>
          <w:szCs w:val="16"/>
        </w:rPr>
      </w:pPr>
      <w:r w:rsidRPr="00781112">
        <w:rPr>
          <w:rFonts w:cs="Arial"/>
          <w:color w:val="000000" w:themeColor="text1"/>
          <w:szCs w:val="16"/>
        </w:rPr>
        <w:t>01/10/2024</w:t>
      </w:r>
    </w:p>
    <w:p w14:paraId="4F72747C" w14:textId="77777777" w:rsidR="004F4016" w:rsidRPr="00781112" w:rsidRDefault="004F4016" w:rsidP="004F4016">
      <w:pPr>
        <w:rPr>
          <w:b/>
          <w:color w:val="000000" w:themeColor="text1"/>
        </w:rPr>
      </w:pPr>
      <w:r w:rsidRPr="00781112">
        <w:rPr>
          <w:b/>
          <w:color w:val="000000" w:themeColor="text1"/>
        </w:rPr>
        <w:t>Math Assessment Participation Data by Grade</w:t>
      </w:r>
    </w:p>
    <w:tbl>
      <w:tblPr>
        <w:tblStyle w:val="TableGrid"/>
        <w:tblW w:w="5000" w:type="pct"/>
        <w:tblLayout w:type="fixed"/>
        <w:tblLook w:val="04A0" w:firstRow="1" w:lastRow="0" w:firstColumn="1" w:lastColumn="0" w:noHBand="0" w:noVBand="1"/>
        <w:tblCaption w:val="B03ASSPARTDATABYGRDMATH"/>
      </w:tblPr>
      <w:tblGrid>
        <w:gridCol w:w="3326"/>
        <w:gridCol w:w="2488"/>
        <w:gridCol w:w="2488"/>
        <w:gridCol w:w="2488"/>
      </w:tblGrid>
      <w:tr w:rsidR="00227E23" w:rsidRPr="00781112" w14:paraId="765286EB" w14:textId="77777777" w:rsidTr="009E026B">
        <w:tc>
          <w:tcPr>
            <w:tcW w:w="1541" w:type="pct"/>
            <w:shd w:val="clear" w:color="auto" w:fill="auto"/>
            <w:vAlign w:val="center"/>
          </w:tcPr>
          <w:p w14:paraId="74EB9B5A" w14:textId="0F9AEAED" w:rsidR="00227E23" w:rsidRPr="00781112" w:rsidRDefault="00835EAD" w:rsidP="00227E23">
            <w:pPr>
              <w:jc w:val="center"/>
              <w:rPr>
                <w:rFonts w:cs="Arial"/>
                <w:b/>
                <w:bCs/>
                <w:color w:val="000000" w:themeColor="text1"/>
                <w:szCs w:val="16"/>
              </w:rPr>
            </w:pPr>
            <w:r w:rsidRPr="00781112">
              <w:rPr>
                <w:rFonts w:cs="Arial"/>
                <w:b/>
                <w:bCs/>
                <w:color w:val="000000" w:themeColor="text1"/>
                <w:szCs w:val="16"/>
              </w:rPr>
              <w:t>Group</w:t>
            </w:r>
          </w:p>
        </w:tc>
        <w:tc>
          <w:tcPr>
            <w:tcW w:w="1153" w:type="pct"/>
            <w:shd w:val="clear" w:color="auto" w:fill="auto"/>
            <w:vAlign w:val="center"/>
          </w:tcPr>
          <w:p w14:paraId="0DB3B187" w14:textId="58265A3B" w:rsidR="00227E23" w:rsidRPr="00781112" w:rsidRDefault="00227E23">
            <w:pPr>
              <w:jc w:val="center"/>
              <w:rPr>
                <w:rFonts w:cs="Arial"/>
                <w:b/>
                <w:bCs/>
                <w:color w:val="000000" w:themeColor="text1"/>
                <w:szCs w:val="16"/>
              </w:rPr>
            </w:pPr>
            <w:r w:rsidRPr="00781112">
              <w:rPr>
                <w:rFonts w:cs="Arial"/>
                <w:b/>
                <w:bCs/>
                <w:color w:val="000000" w:themeColor="text1"/>
                <w:szCs w:val="16"/>
              </w:rPr>
              <w:t>Grade 4</w:t>
            </w:r>
          </w:p>
        </w:tc>
        <w:tc>
          <w:tcPr>
            <w:tcW w:w="1153" w:type="pct"/>
            <w:shd w:val="clear" w:color="auto" w:fill="auto"/>
            <w:vAlign w:val="center"/>
          </w:tcPr>
          <w:p w14:paraId="41AE35D3" w14:textId="574BC069" w:rsidR="00227E23" w:rsidRPr="00781112" w:rsidRDefault="00227E23">
            <w:pPr>
              <w:jc w:val="center"/>
              <w:rPr>
                <w:rFonts w:cs="Arial"/>
                <w:b/>
                <w:bCs/>
                <w:color w:val="000000" w:themeColor="text1"/>
                <w:szCs w:val="16"/>
              </w:rPr>
            </w:pPr>
            <w:r w:rsidRPr="00781112">
              <w:rPr>
                <w:rFonts w:cs="Arial"/>
                <w:b/>
                <w:bCs/>
                <w:color w:val="000000" w:themeColor="text1"/>
                <w:szCs w:val="16"/>
              </w:rPr>
              <w:t>Grade 8</w:t>
            </w:r>
          </w:p>
        </w:tc>
        <w:tc>
          <w:tcPr>
            <w:tcW w:w="1153" w:type="pct"/>
            <w:shd w:val="clear" w:color="auto" w:fill="auto"/>
            <w:vAlign w:val="center"/>
          </w:tcPr>
          <w:p w14:paraId="5353B8D1" w14:textId="6B6DA4E3" w:rsidR="00227E23" w:rsidRPr="00781112" w:rsidRDefault="00227E23">
            <w:pPr>
              <w:jc w:val="center"/>
              <w:rPr>
                <w:rFonts w:cs="Arial"/>
                <w:b/>
                <w:bCs/>
                <w:color w:val="000000" w:themeColor="text1"/>
                <w:szCs w:val="16"/>
              </w:rPr>
            </w:pPr>
            <w:r w:rsidRPr="00781112">
              <w:rPr>
                <w:rFonts w:cs="Arial"/>
                <w:b/>
                <w:bCs/>
                <w:color w:val="000000" w:themeColor="text1"/>
                <w:szCs w:val="16"/>
              </w:rPr>
              <w:t>Grade HS</w:t>
            </w:r>
          </w:p>
        </w:tc>
      </w:tr>
      <w:tr w:rsidR="00BA0CFF" w:rsidRPr="00781112" w14:paraId="3F5839E5" w14:textId="77777777" w:rsidTr="009E026B">
        <w:tc>
          <w:tcPr>
            <w:tcW w:w="1541" w:type="pct"/>
            <w:shd w:val="clear" w:color="auto" w:fill="auto"/>
            <w:vAlign w:val="center"/>
          </w:tcPr>
          <w:p w14:paraId="570ED876" w14:textId="6CE7F50C" w:rsidR="00BA0CFF" w:rsidRPr="00781112" w:rsidRDefault="00BA0CFF" w:rsidP="00BA0CFF">
            <w:pPr>
              <w:rPr>
                <w:rFonts w:cs="Arial"/>
                <w:color w:val="000000" w:themeColor="text1"/>
                <w:szCs w:val="16"/>
              </w:rPr>
            </w:pPr>
            <w:r w:rsidRPr="00781112">
              <w:rPr>
                <w:rFonts w:cs="Arial"/>
                <w:color w:val="000000" w:themeColor="text1"/>
                <w:szCs w:val="16"/>
              </w:rPr>
              <w:t>a. Children with IEPs (2)</w:t>
            </w:r>
          </w:p>
        </w:tc>
        <w:tc>
          <w:tcPr>
            <w:tcW w:w="1153" w:type="pct"/>
            <w:shd w:val="clear" w:color="auto" w:fill="auto"/>
            <w:vAlign w:val="center"/>
          </w:tcPr>
          <w:p w14:paraId="6F9300B4" w14:textId="685B8914" w:rsidR="00BA0CFF" w:rsidRPr="00781112" w:rsidRDefault="00BA0CFF" w:rsidP="00360DD6">
            <w:pPr>
              <w:jc w:val="center"/>
              <w:rPr>
                <w:rFonts w:cs="Arial"/>
                <w:color w:val="000000" w:themeColor="text1"/>
                <w:szCs w:val="16"/>
              </w:rPr>
            </w:pPr>
            <w:r w:rsidRPr="00781112">
              <w:rPr>
                <w:rFonts w:cs="Arial"/>
                <w:color w:val="000000" w:themeColor="text1"/>
                <w:szCs w:val="16"/>
              </w:rPr>
              <w:t>9,177</w:t>
            </w:r>
          </w:p>
        </w:tc>
        <w:tc>
          <w:tcPr>
            <w:tcW w:w="1153" w:type="pct"/>
            <w:shd w:val="clear" w:color="auto" w:fill="auto"/>
            <w:vAlign w:val="center"/>
          </w:tcPr>
          <w:p w14:paraId="758EF16C" w14:textId="1AA6C4C5" w:rsidR="00BA0CFF" w:rsidRPr="00781112" w:rsidRDefault="00BA0CFF" w:rsidP="00360DD6">
            <w:pPr>
              <w:jc w:val="center"/>
              <w:rPr>
                <w:rFonts w:cs="Arial"/>
                <w:color w:val="000000" w:themeColor="text1"/>
                <w:szCs w:val="16"/>
              </w:rPr>
            </w:pPr>
            <w:r w:rsidRPr="00781112">
              <w:rPr>
                <w:rFonts w:cs="Arial"/>
                <w:color w:val="000000" w:themeColor="text1"/>
                <w:szCs w:val="16"/>
              </w:rPr>
              <w:t>8,239</w:t>
            </w:r>
          </w:p>
        </w:tc>
        <w:tc>
          <w:tcPr>
            <w:tcW w:w="1153" w:type="pct"/>
            <w:shd w:val="clear" w:color="auto" w:fill="auto"/>
            <w:vAlign w:val="center"/>
          </w:tcPr>
          <w:p w14:paraId="07D0BC24" w14:textId="0AD780C0" w:rsidR="00BA0CFF" w:rsidRPr="00781112" w:rsidRDefault="00BA0CFF" w:rsidP="00360DD6">
            <w:pPr>
              <w:jc w:val="center"/>
              <w:rPr>
                <w:rFonts w:cs="Arial"/>
                <w:color w:val="000000" w:themeColor="text1"/>
                <w:szCs w:val="16"/>
              </w:rPr>
            </w:pPr>
            <w:r w:rsidRPr="00781112">
              <w:rPr>
                <w:rFonts w:cs="Arial"/>
                <w:color w:val="000000" w:themeColor="text1"/>
                <w:szCs w:val="16"/>
              </w:rPr>
              <w:t>6,336</w:t>
            </w:r>
          </w:p>
        </w:tc>
      </w:tr>
      <w:tr w:rsidR="003A67B1" w:rsidRPr="00781112" w14:paraId="1B3F669C" w14:textId="77777777" w:rsidTr="009E026B">
        <w:tc>
          <w:tcPr>
            <w:tcW w:w="1541" w:type="pct"/>
            <w:shd w:val="clear" w:color="auto" w:fill="auto"/>
            <w:vAlign w:val="center"/>
          </w:tcPr>
          <w:p w14:paraId="36B1CD39" w14:textId="0D04D4C9" w:rsidR="003A67B1" w:rsidRPr="00781112" w:rsidRDefault="003A67B1" w:rsidP="003A67B1">
            <w:pPr>
              <w:rPr>
                <w:rFonts w:cs="Arial"/>
                <w:color w:val="000000" w:themeColor="text1"/>
                <w:szCs w:val="16"/>
              </w:rPr>
            </w:pPr>
            <w:r w:rsidRPr="00781112">
              <w:rPr>
                <w:rFonts w:cs="Arial"/>
                <w:color w:val="000000" w:themeColor="text1"/>
                <w:szCs w:val="16"/>
              </w:rPr>
              <w:lastRenderedPageBreak/>
              <w:t>b. Children with IEPs in regular assessment with no accommodations (3)</w:t>
            </w:r>
          </w:p>
        </w:tc>
        <w:tc>
          <w:tcPr>
            <w:tcW w:w="1153" w:type="pct"/>
            <w:shd w:val="clear" w:color="auto" w:fill="auto"/>
            <w:vAlign w:val="center"/>
          </w:tcPr>
          <w:p w14:paraId="5E1AE50A" w14:textId="410612C1" w:rsidR="003A67B1" w:rsidRPr="00781112" w:rsidRDefault="003A67B1" w:rsidP="003A67B1">
            <w:pPr>
              <w:jc w:val="center"/>
              <w:rPr>
                <w:rFonts w:cs="Arial"/>
                <w:color w:val="000000" w:themeColor="text1"/>
                <w:szCs w:val="16"/>
              </w:rPr>
            </w:pPr>
            <w:r w:rsidRPr="00781112">
              <w:rPr>
                <w:rFonts w:cs="Arial"/>
                <w:color w:val="000000" w:themeColor="text1"/>
                <w:szCs w:val="16"/>
              </w:rPr>
              <w:t>4,011</w:t>
            </w:r>
          </w:p>
        </w:tc>
        <w:tc>
          <w:tcPr>
            <w:tcW w:w="1153" w:type="pct"/>
            <w:shd w:val="clear" w:color="auto" w:fill="auto"/>
            <w:vAlign w:val="center"/>
          </w:tcPr>
          <w:p w14:paraId="48D18899" w14:textId="210A5A25" w:rsidR="003A67B1" w:rsidRPr="00781112" w:rsidRDefault="003A67B1" w:rsidP="003A67B1">
            <w:pPr>
              <w:jc w:val="center"/>
              <w:rPr>
                <w:rFonts w:cs="Arial"/>
                <w:color w:val="000000" w:themeColor="text1"/>
                <w:szCs w:val="16"/>
              </w:rPr>
            </w:pPr>
            <w:r w:rsidRPr="00781112">
              <w:rPr>
                <w:rFonts w:cs="Arial"/>
                <w:color w:val="000000" w:themeColor="text1"/>
                <w:szCs w:val="16"/>
              </w:rPr>
              <w:t>2,663</w:t>
            </w:r>
          </w:p>
        </w:tc>
        <w:tc>
          <w:tcPr>
            <w:tcW w:w="1153" w:type="pct"/>
            <w:shd w:val="clear" w:color="auto" w:fill="auto"/>
            <w:vAlign w:val="center"/>
          </w:tcPr>
          <w:p w14:paraId="297238DD" w14:textId="253103BA" w:rsidR="003A67B1" w:rsidRPr="00781112" w:rsidRDefault="003A67B1" w:rsidP="003A67B1">
            <w:pPr>
              <w:jc w:val="center"/>
              <w:rPr>
                <w:rFonts w:cs="Arial"/>
                <w:color w:val="000000" w:themeColor="text1"/>
                <w:szCs w:val="16"/>
              </w:rPr>
            </w:pPr>
            <w:r w:rsidRPr="00781112">
              <w:rPr>
                <w:rFonts w:cs="Arial"/>
                <w:color w:val="000000" w:themeColor="text1"/>
                <w:szCs w:val="16"/>
              </w:rPr>
              <w:t>765</w:t>
            </w:r>
          </w:p>
        </w:tc>
      </w:tr>
      <w:tr w:rsidR="003A67B1" w:rsidRPr="00781112" w14:paraId="206D39D6" w14:textId="77777777" w:rsidTr="009E026B">
        <w:tc>
          <w:tcPr>
            <w:tcW w:w="1541" w:type="pct"/>
            <w:shd w:val="clear" w:color="auto" w:fill="auto"/>
            <w:vAlign w:val="center"/>
          </w:tcPr>
          <w:p w14:paraId="6A501FD3" w14:textId="1E096187" w:rsidR="003A67B1" w:rsidRPr="00781112" w:rsidRDefault="003A67B1" w:rsidP="003A67B1">
            <w:pPr>
              <w:rPr>
                <w:rFonts w:cs="Arial"/>
                <w:color w:val="000000" w:themeColor="text1"/>
                <w:szCs w:val="16"/>
              </w:rPr>
            </w:pPr>
            <w:r w:rsidRPr="00781112">
              <w:rPr>
                <w:rFonts w:cs="Arial"/>
                <w:color w:val="000000" w:themeColor="text1"/>
                <w:szCs w:val="16"/>
              </w:rPr>
              <w:t>c. Children with IEPs in regular assessment with accommodations (3)</w:t>
            </w:r>
          </w:p>
        </w:tc>
        <w:tc>
          <w:tcPr>
            <w:tcW w:w="1153" w:type="pct"/>
            <w:shd w:val="clear" w:color="auto" w:fill="auto"/>
            <w:vAlign w:val="center"/>
          </w:tcPr>
          <w:p w14:paraId="1EE1C17D" w14:textId="207E06F2" w:rsidR="003A67B1" w:rsidRPr="00781112" w:rsidRDefault="003A67B1" w:rsidP="003A67B1">
            <w:pPr>
              <w:jc w:val="center"/>
              <w:rPr>
                <w:rFonts w:cs="Arial"/>
                <w:color w:val="000000" w:themeColor="text1"/>
                <w:szCs w:val="16"/>
              </w:rPr>
            </w:pPr>
            <w:r w:rsidRPr="00781112">
              <w:rPr>
                <w:rFonts w:cs="Arial"/>
                <w:color w:val="000000" w:themeColor="text1"/>
                <w:szCs w:val="16"/>
              </w:rPr>
              <w:t>3,281</w:t>
            </w:r>
          </w:p>
        </w:tc>
        <w:tc>
          <w:tcPr>
            <w:tcW w:w="1153" w:type="pct"/>
            <w:shd w:val="clear" w:color="auto" w:fill="auto"/>
            <w:vAlign w:val="center"/>
          </w:tcPr>
          <w:p w14:paraId="55C89819" w14:textId="1DDD2B16" w:rsidR="003A67B1" w:rsidRPr="00781112" w:rsidRDefault="003A67B1" w:rsidP="003A67B1">
            <w:pPr>
              <w:jc w:val="center"/>
              <w:rPr>
                <w:rFonts w:cs="Arial"/>
                <w:color w:val="000000" w:themeColor="text1"/>
                <w:szCs w:val="16"/>
              </w:rPr>
            </w:pPr>
            <w:r w:rsidRPr="00781112">
              <w:rPr>
                <w:rFonts w:cs="Arial"/>
                <w:color w:val="000000" w:themeColor="text1"/>
                <w:szCs w:val="16"/>
              </w:rPr>
              <w:t>2,941</w:t>
            </w:r>
          </w:p>
        </w:tc>
        <w:tc>
          <w:tcPr>
            <w:tcW w:w="1153" w:type="pct"/>
            <w:shd w:val="clear" w:color="auto" w:fill="auto"/>
            <w:vAlign w:val="center"/>
          </w:tcPr>
          <w:p w14:paraId="0B7FE00F" w14:textId="48CAB52C" w:rsidR="003A67B1" w:rsidRPr="00781112" w:rsidRDefault="003A67B1" w:rsidP="003A67B1">
            <w:pPr>
              <w:jc w:val="center"/>
              <w:rPr>
                <w:rFonts w:cs="Arial"/>
                <w:color w:val="000000" w:themeColor="text1"/>
                <w:szCs w:val="16"/>
              </w:rPr>
            </w:pPr>
            <w:r w:rsidRPr="00781112">
              <w:rPr>
                <w:rFonts w:cs="Arial"/>
                <w:color w:val="000000" w:themeColor="text1"/>
                <w:szCs w:val="16"/>
              </w:rPr>
              <w:t>3,334</w:t>
            </w:r>
          </w:p>
        </w:tc>
      </w:tr>
      <w:tr w:rsidR="003A67B1" w:rsidRPr="00781112" w14:paraId="7C657E3A" w14:textId="77777777" w:rsidTr="009E026B">
        <w:tc>
          <w:tcPr>
            <w:tcW w:w="1541" w:type="pct"/>
            <w:shd w:val="clear" w:color="auto" w:fill="auto"/>
            <w:vAlign w:val="center"/>
          </w:tcPr>
          <w:p w14:paraId="19508B28" w14:textId="5DE1D8D0" w:rsidR="003A67B1" w:rsidRPr="00781112" w:rsidRDefault="003A67B1" w:rsidP="003A67B1">
            <w:pPr>
              <w:rPr>
                <w:rFonts w:cs="Arial"/>
                <w:color w:val="000000" w:themeColor="text1"/>
                <w:szCs w:val="16"/>
              </w:rPr>
            </w:pPr>
            <w:r w:rsidRPr="00781112">
              <w:rPr>
                <w:rFonts w:cs="Arial"/>
                <w:color w:val="000000" w:themeColor="text1"/>
                <w:szCs w:val="16"/>
              </w:rPr>
              <w:t xml:space="preserve">d. Children with IEPs in alternate assessment against alternate standards </w:t>
            </w:r>
          </w:p>
        </w:tc>
        <w:tc>
          <w:tcPr>
            <w:tcW w:w="1153" w:type="pct"/>
            <w:shd w:val="clear" w:color="auto" w:fill="auto"/>
            <w:vAlign w:val="center"/>
          </w:tcPr>
          <w:p w14:paraId="41F72ACA" w14:textId="2CC8E5F7" w:rsidR="003A67B1" w:rsidRPr="00781112" w:rsidRDefault="003A67B1" w:rsidP="003A67B1">
            <w:pPr>
              <w:jc w:val="center"/>
              <w:rPr>
                <w:rFonts w:cs="Arial"/>
                <w:color w:val="000000" w:themeColor="text1"/>
                <w:szCs w:val="16"/>
              </w:rPr>
            </w:pPr>
            <w:r w:rsidRPr="00781112">
              <w:rPr>
                <w:rFonts w:cs="Arial"/>
                <w:color w:val="000000" w:themeColor="text1"/>
                <w:szCs w:val="16"/>
              </w:rPr>
              <w:t>474</w:t>
            </w:r>
          </w:p>
        </w:tc>
        <w:tc>
          <w:tcPr>
            <w:tcW w:w="1153" w:type="pct"/>
            <w:shd w:val="clear" w:color="auto" w:fill="auto"/>
            <w:vAlign w:val="center"/>
          </w:tcPr>
          <w:p w14:paraId="42315622" w14:textId="322B0162" w:rsidR="003A67B1" w:rsidRPr="00781112" w:rsidRDefault="003A67B1" w:rsidP="003A67B1">
            <w:pPr>
              <w:jc w:val="center"/>
              <w:rPr>
                <w:rFonts w:cs="Arial"/>
                <w:color w:val="000000" w:themeColor="text1"/>
                <w:szCs w:val="16"/>
              </w:rPr>
            </w:pPr>
            <w:r w:rsidRPr="00781112">
              <w:rPr>
                <w:rFonts w:cs="Arial"/>
                <w:color w:val="000000" w:themeColor="text1"/>
                <w:szCs w:val="16"/>
              </w:rPr>
              <w:t>497</w:t>
            </w:r>
          </w:p>
        </w:tc>
        <w:tc>
          <w:tcPr>
            <w:tcW w:w="1153" w:type="pct"/>
            <w:shd w:val="clear" w:color="auto" w:fill="auto"/>
            <w:vAlign w:val="center"/>
          </w:tcPr>
          <w:p w14:paraId="79C22C84" w14:textId="36E0DF79" w:rsidR="003A67B1" w:rsidRPr="00781112" w:rsidRDefault="003A67B1" w:rsidP="003A67B1">
            <w:pPr>
              <w:jc w:val="center"/>
              <w:rPr>
                <w:rFonts w:cs="Arial"/>
                <w:color w:val="000000" w:themeColor="text1"/>
                <w:szCs w:val="16"/>
              </w:rPr>
            </w:pPr>
            <w:r w:rsidRPr="00781112">
              <w:rPr>
                <w:rFonts w:cs="Arial"/>
                <w:color w:val="000000" w:themeColor="text1"/>
                <w:szCs w:val="16"/>
              </w:rPr>
              <w:t>402</w:t>
            </w:r>
          </w:p>
        </w:tc>
      </w:tr>
    </w:tbl>
    <w:p w14:paraId="28134ACD" w14:textId="77777777" w:rsidR="004F2A22" w:rsidRDefault="004F2A22" w:rsidP="003E3AED"/>
    <w:p w14:paraId="042AB40E" w14:textId="7D37232C" w:rsidR="00AF1BC7" w:rsidRDefault="00AF1BC7" w:rsidP="006D1560">
      <w:r>
        <w:t>(1) The children with IEPs who are English learners and took the ELP in lieu of the regular reading/language arts assessment are not included in the prefilled data in this indicator.</w:t>
      </w:r>
    </w:p>
    <w:p w14:paraId="1074FBF7" w14:textId="19B0D19C" w:rsidR="003E3AED" w:rsidRDefault="006D1560" w:rsidP="006D1560">
      <w:r>
        <w:t>(</w:t>
      </w:r>
      <w:r w:rsidR="00AF1BC7">
        <w:t>2</w:t>
      </w:r>
      <w:r>
        <w:t xml:space="preserve">) </w:t>
      </w:r>
      <w:r w:rsidR="003C0975">
        <w:t xml:space="preserve">The children with IEPs count </w:t>
      </w:r>
      <w:r w:rsidR="003C0975" w:rsidRPr="007905E7">
        <w:t xml:space="preserve">excludes </w:t>
      </w:r>
      <w:r w:rsidR="003C0975">
        <w:t xml:space="preserve">children with disabilities </w:t>
      </w:r>
      <w:r w:rsidR="003C0975" w:rsidRPr="007905E7">
        <w:t>who were reported as exempt due to significant medical emergency</w:t>
      </w:r>
      <w:r w:rsidR="003E3AED">
        <w:t xml:space="preserve"> in row </w:t>
      </w:r>
      <w:proofErr w:type="gramStart"/>
      <w:r w:rsidR="003E3AED">
        <w:t>a for</w:t>
      </w:r>
      <w:proofErr w:type="gramEnd"/>
      <w:r w:rsidR="003E3AED">
        <w:t xml:space="preserve"> all the prefilled data in this indicator.</w:t>
      </w:r>
    </w:p>
    <w:p w14:paraId="06016F5B" w14:textId="5AE2AD96" w:rsidR="006D1560" w:rsidRPr="006D1560" w:rsidRDefault="006D1560" w:rsidP="006D1560">
      <w:r>
        <w:t>(</w:t>
      </w:r>
      <w:r w:rsidR="00AF1BC7">
        <w:t>3</w:t>
      </w:r>
      <w:r>
        <w:t xml:space="preserve">) </w:t>
      </w:r>
      <w:r w:rsidR="00502870" w:rsidRPr="00416CC6">
        <w:t>The term</w:t>
      </w:r>
      <w:r w:rsidR="00502870" w:rsidRPr="00580D24">
        <w:rPr>
          <w:bCs/>
        </w:rPr>
        <w:t xml:space="preserve"> “regular assessment” is an aggregation of the following types of assessments</w:t>
      </w:r>
      <w:r w:rsidR="00502870">
        <w:rPr>
          <w:bCs/>
        </w:rPr>
        <w:t>, as applicable for each grade/ grade group</w:t>
      </w:r>
      <w:r w:rsidR="00502870" w:rsidRPr="00580D24">
        <w:rPr>
          <w:bCs/>
        </w:rPr>
        <w:t>: regular assessment based on grade-level achievement standards, advanced assessment, Innovative Assessment Demonstration Authority (IADA) pilot assessment, high school regular assessment I, high school regular assessment II, high school regular assessment III and locally-selected nationally recognized high school assessment in the prefilled data in this indicator.</w:t>
      </w:r>
    </w:p>
    <w:p w14:paraId="3B88B048" w14:textId="77777777" w:rsidR="006D1560" w:rsidRPr="00781112" w:rsidRDefault="006D1560" w:rsidP="004F4016">
      <w:pPr>
        <w:rPr>
          <w:color w:val="000000" w:themeColor="text1"/>
        </w:rPr>
      </w:pPr>
    </w:p>
    <w:p w14:paraId="44A15970" w14:textId="2F661814" w:rsidR="004F4016" w:rsidRPr="00781112" w:rsidRDefault="0047313F" w:rsidP="004F4016">
      <w:pPr>
        <w:rPr>
          <w:b/>
          <w:color w:val="000000" w:themeColor="text1"/>
        </w:rPr>
      </w:pPr>
      <w:r>
        <w:rPr>
          <w:b/>
          <w:color w:val="000000" w:themeColor="text1"/>
        </w:rPr>
        <w:t>FFY 2022 SPP/APR Data: Reading Assessment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B03AFFYAPRDATARLA"/>
      </w:tblPr>
      <w:tblGrid>
        <w:gridCol w:w="767"/>
        <w:gridCol w:w="1025"/>
        <w:gridCol w:w="1981"/>
        <w:gridCol w:w="1981"/>
        <w:gridCol w:w="1006"/>
        <w:gridCol w:w="1008"/>
        <w:gridCol w:w="1008"/>
        <w:gridCol w:w="1008"/>
        <w:gridCol w:w="1006"/>
      </w:tblGrid>
      <w:tr w:rsidR="00073BD7" w:rsidRPr="00781112" w14:paraId="3BAF6B00" w14:textId="77777777" w:rsidTr="0047313F">
        <w:trPr>
          <w:tblHeader/>
        </w:trPr>
        <w:tc>
          <w:tcPr>
            <w:tcW w:w="355" w:type="pct"/>
            <w:shd w:val="clear" w:color="auto" w:fill="auto"/>
            <w:vAlign w:val="bottom"/>
          </w:tcPr>
          <w:p w14:paraId="3F94C694" w14:textId="77777777" w:rsidR="00073BD7" w:rsidRPr="00781112" w:rsidRDefault="00073BD7" w:rsidP="00073BD7">
            <w:pPr>
              <w:jc w:val="center"/>
              <w:rPr>
                <w:b/>
                <w:color w:val="000000" w:themeColor="text1"/>
              </w:rPr>
            </w:pPr>
            <w:r w:rsidRPr="00781112">
              <w:rPr>
                <w:b/>
                <w:color w:val="000000" w:themeColor="text1"/>
              </w:rPr>
              <w:t>Group</w:t>
            </w:r>
          </w:p>
        </w:tc>
        <w:tc>
          <w:tcPr>
            <w:tcW w:w="475" w:type="pct"/>
            <w:shd w:val="clear" w:color="auto" w:fill="auto"/>
            <w:vAlign w:val="bottom"/>
          </w:tcPr>
          <w:p w14:paraId="4992F96D" w14:textId="77777777" w:rsidR="00073BD7" w:rsidRPr="00781112" w:rsidRDefault="00073BD7" w:rsidP="00073BD7">
            <w:pPr>
              <w:jc w:val="center"/>
              <w:rPr>
                <w:b/>
                <w:color w:val="000000" w:themeColor="text1"/>
              </w:rPr>
            </w:pPr>
            <w:r w:rsidRPr="00781112">
              <w:rPr>
                <w:b/>
                <w:color w:val="000000" w:themeColor="text1"/>
              </w:rPr>
              <w:t>Group Name</w:t>
            </w:r>
          </w:p>
        </w:tc>
        <w:tc>
          <w:tcPr>
            <w:tcW w:w="918" w:type="pct"/>
            <w:shd w:val="clear" w:color="auto" w:fill="auto"/>
            <w:vAlign w:val="bottom"/>
          </w:tcPr>
          <w:p w14:paraId="2677A663" w14:textId="57D25781" w:rsidR="00073BD7" w:rsidRPr="00781112" w:rsidRDefault="00073BD7" w:rsidP="00073BD7">
            <w:pPr>
              <w:jc w:val="center"/>
              <w:rPr>
                <w:b/>
                <w:color w:val="000000" w:themeColor="text1"/>
              </w:rPr>
            </w:pPr>
            <w:r w:rsidRPr="00781112">
              <w:rPr>
                <w:b/>
                <w:color w:val="000000" w:themeColor="text1"/>
              </w:rPr>
              <w:t>Number of Children with IEPs Participating</w:t>
            </w:r>
          </w:p>
        </w:tc>
        <w:tc>
          <w:tcPr>
            <w:tcW w:w="918" w:type="pct"/>
            <w:shd w:val="clear" w:color="auto" w:fill="auto"/>
            <w:vAlign w:val="bottom"/>
          </w:tcPr>
          <w:p w14:paraId="5736EAFF" w14:textId="26F0F47E" w:rsidR="00073BD7" w:rsidRPr="00781112" w:rsidRDefault="00073BD7" w:rsidP="00073BD7">
            <w:pPr>
              <w:jc w:val="center"/>
              <w:rPr>
                <w:b/>
                <w:color w:val="000000" w:themeColor="text1"/>
              </w:rPr>
            </w:pPr>
            <w:r w:rsidRPr="00781112">
              <w:rPr>
                <w:b/>
                <w:color w:val="000000" w:themeColor="text1"/>
              </w:rPr>
              <w:t>Number of Children with IEPs</w:t>
            </w:r>
          </w:p>
        </w:tc>
        <w:tc>
          <w:tcPr>
            <w:tcW w:w="466" w:type="pct"/>
            <w:shd w:val="clear" w:color="auto" w:fill="auto"/>
            <w:vAlign w:val="bottom"/>
          </w:tcPr>
          <w:p w14:paraId="70E219F7" w14:textId="7AB678E6" w:rsidR="00073BD7" w:rsidRPr="00781112" w:rsidRDefault="00073BD7" w:rsidP="00073BD7">
            <w:pPr>
              <w:jc w:val="center"/>
              <w:rPr>
                <w:b/>
                <w:color w:val="000000" w:themeColor="text1"/>
              </w:rPr>
            </w:pPr>
            <w:r w:rsidRPr="00073BD7">
              <w:rPr>
                <w:b/>
                <w:bCs/>
              </w:rPr>
              <w:t>FFY 2021 Data</w:t>
            </w:r>
          </w:p>
        </w:tc>
        <w:tc>
          <w:tcPr>
            <w:tcW w:w="467" w:type="pct"/>
            <w:shd w:val="clear" w:color="auto" w:fill="auto"/>
            <w:vAlign w:val="bottom"/>
          </w:tcPr>
          <w:p w14:paraId="2D0B1710" w14:textId="45491441" w:rsidR="00073BD7" w:rsidRPr="00781112" w:rsidRDefault="00073BD7" w:rsidP="00073BD7">
            <w:pPr>
              <w:jc w:val="center"/>
              <w:rPr>
                <w:b/>
                <w:color w:val="000000" w:themeColor="text1"/>
              </w:rPr>
            </w:pPr>
            <w:r w:rsidRPr="00073BD7">
              <w:rPr>
                <w:b/>
                <w:bCs/>
              </w:rPr>
              <w:t>FFY 2022 Target</w:t>
            </w:r>
          </w:p>
        </w:tc>
        <w:tc>
          <w:tcPr>
            <w:tcW w:w="467" w:type="pct"/>
            <w:shd w:val="clear" w:color="auto" w:fill="auto"/>
            <w:vAlign w:val="bottom"/>
          </w:tcPr>
          <w:p w14:paraId="1D807DE2" w14:textId="1F9ACF77" w:rsidR="00073BD7" w:rsidRPr="00781112" w:rsidRDefault="00073BD7" w:rsidP="00073BD7">
            <w:pPr>
              <w:jc w:val="center"/>
              <w:rPr>
                <w:b/>
                <w:color w:val="000000" w:themeColor="text1"/>
              </w:rPr>
            </w:pPr>
            <w:r w:rsidRPr="00073BD7">
              <w:rPr>
                <w:b/>
                <w:bCs/>
              </w:rPr>
              <w:t>FFY 2022 Data</w:t>
            </w:r>
          </w:p>
        </w:tc>
        <w:tc>
          <w:tcPr>
            <w:tcW w:w="467" w:type="pct"/>
            <w:shd w:val="clear" w:color="auto" w:fill="auto"/>
            <w:vAlign w:val="bottom"/>
          </w:tcPr>
          <w:p w14:paraId="6569FC00" w14:textId="77777777" w:rsidR="00073BD7" w:rsidRPr="00781112" w:rsidRDefault="00073BD7" w:rsidP="00073BD7">
            <w:pPr>
              <w:jc w:val="center"/>
              <w:rPr>
                <w:b/>
                <w:color w:val="000000" w:themeColor="text1"/>
              </w:rPr>
            </w:pPr>
            <w:r w:rsidRPr="00781112">
              <w:rPr>
                <w:b/>
                <w:color w:val="000000" w:themeColor="text1"/>
              </w:rPr>
              <w:t>Status</w:t>
            </w:r>
          </w:p>
        </w:tc>
        <w:tc>
          <w:tcPr>
            <w:tcW w:w="466" w:type="pct"/>
            <w:shd w:val="clear" w:color="auto" w:fill="auto"/>
            <w:vAlign w:val="bottom"/>
          </w:tcPr>
          <w:p w14:paraId="2DF56EFB" w14:textId="77777777" w:rsidR="00073BD7" w:rsidRPr="00781112" w:rsidRDefault="00073BD7" w:rsidP="00073BD7">
            <w:pPr>
              <w:jc w:val="center"/>
              <w:rPr>
                <w:b/>
                <w:color w:val="000000" w:themeColor="text1"/>
              </w:rPr>
            </w:pPr>
            <w:r w:rsidRPr="00781112">
              <w:rPr>
                <w:b/>
                <w:color w:val="000000" w:themeColor="text1"/>
              </w:rPr>
              <w:t>Slippage</w:t>
            </w:r>
          </w:p>
        </w:tc>
      </w:tr>
      <w:tr w:rsidR="00396BA3" w:rsidRPr="00781112" w14:paraId="376FC28A" w14:textId="77777777" w:rsidTr="0047313F">
        <w:tc>
          <w:tcPr>
            <w:tcW w:w="355" w:type="pct"/>
            <w:shd w:val="clear" w:color="auto" w:fill="auto"/>
            <w:vAlign w:val="center"/>
          </w:tcPr>
          <w:p w14:paraId="53A8B458" w14:textId="77777777" w:rsidR="00892DD7" w:rsidRPr="00781112" w:rsidRDefault="00892DD7" w:rsidP="00892DD7">
            <w:pPr>
              <w:pStyle w:val="Default"/>
              <w:jc w:val="center"/>
              <w:rPr>
                <w:rFonts w:eastAsiaTheme="minorHAnsi"/>
                <w:color w:val="000000" w:themeColor="text1"/>
                <w:sz w:val="16"/>
                <w:szCs w:val="16"/>
              </w:rPr>
            </w:pPr>
            <w:r w:rsidRPr="00781112">
              <w:rPr>
                <w:b/>
                <w:color w:val="000000" w:themeColor="text1"/>
                <w:sz w:val="16"/>
                <w:szCs w:val="16"/>
              </w:rPr>
              <w:t>A</w:t>
            </w:r>
          </w:p>
        </w:tc>
        <w:tc>
          <w:tcPr>
            <w:tcW w:w="475" w:type="pct"/>
            <w:shd w:val="clear" w:color="auto" w:fill="auto"/>
            <w:vAlign w:val="center"/>
          </w:tcPr>
          <w:p w14:paraId="0A1B698A" w14:textId="5AC06767" w:rsidR="00892DD7" w:rsidRPr="00781112" w:rsidDel="00DE5045" w:rsidRDefault="00892DD7" w:rsidP="00892DD7">
            <w:pPr>
              <w:jc w:val="center"/>
              <w:rPr>
                <w:rFonts w:cs="Arial"/>
                <w:color w:val="000000" w:themeColor="text1"/>
                <w:szCs w:val="16"/>
              </w:rPr>
            </w:pPr>
            <w:r w:rsidRPr="00781112">
              <w:rPr>
                <w:rFonts w:cs="Arial"/>
                <w:color w:val="000000" w:themeColor="text1"/>
                <w:szCs w:val="16"/>
              </w:rPr>
              <w:t>Grade 4</w:t>
            </w:r>
          </w:p>
        </w:tc>
        <w:tc>
          <w:tcPr>
            <w:tcW w:w="918" w:type="pct"/>
            <w:shd w:val="clear" w:color="auto" w:fill="auto"/>
            <w:vAlign w:val="center"/>
          </w:tcPr>
          <w:p w14:paraId="58AC973E" w14:textId="3ED347A2" w:rsidR="00892DD7" w:rsidRPr="00781112" w:rsidRDefault="00892DD7" w:rsidP="00892DD7">
            <w:pPr>
              <w:jc w:val="center"/>
              <w:rPr>
                <w:rFonts w:cs="Arial"/>
                <w:color w:val="000000" w:themeColor="text1"/>
                <w:szCs w:val="16"/>
              </w:rPr>
            </w:pPr>
            <w:r w:rsidRPr="00781112">
              <w:rPr>
                <w:rFonts w:cs="Arial"/>
                <w:color w:val="000000"/>
                <w:szCs w:val="16"/>
              </w:rPr>
              <w:t>7,747</w:t>
            </w:r>
          </w:p>
        </w:tc>
        <w:tc>
          <w:tcPr>
            <w:tcW w:w="918" w:type="pct"/>
            <w:shd w:val="clear" w:color="auto" w:fill="auto"/>
            <w:vAlign w:val="center"/>
          </w:tcPr>
          <w:p w14:paraId="703303A1" w14:textId="4183E48D" w:rsidR="00892DD7" w:rsidRPr="00781112" w:rsidRDefault="00892DD7" w:rsidP="00892DD7">
            <w:pPr>
              <w:jc w:val="center"/>
              <w:rPr>
                <w:rFonts w:cs="Arial"/>
                <w:color w:val="000000" w:themeColor="text1"/>
                <w:szCs w:val="16"/>
              </w:rPr>
            </w:pPr>
            <w:r w:rsidRPr="00781112">
              <w:rPr>
                <w:rFonts w:cs="Arial"/>
                <w:color w:val="000000" w:themeColor="text1"/>
                <w:szCs w:val="16"/>
              </w:rPr>
              <w:t>9,175</w:t>
            </w:r>
          </w:p>
        </w:tc>
        <w:tc>
          <w:tcPr>
            <w:tcW w:w="466" w:type="pct"/>
            <w:shd w:val="clear" w:color="auto" w:fill="auto"/>
            <w:vAlign w:val="center"/>
          </w:tcPr>
          <w:p w14:paraId="701F3D15" w14:textId="6F1538C4" w:rsidR="00892DD7" w:rsidRPr="00781112" w:rsidRDefault="00892DD7" w:rsidP="00892DD7">
            <w:pPr>
              <w:jc w:val="center"/>
              <w:rPr>
                <w:rFonts w:cs="Arial"/>
                <w:color w:val="000000" w:themeColor="text1"/>
                <w:szCs w:val="16"/>
              </w:rPr>
            </w:pPr>
            <w:r w:rsidRPr="00781112">
              <w:rPr>
                <w:rFonts w:cs="Arial"/>
                <w:color w:val="000000" w:themeColor="text1"/>
                <w:szCs w:val="16"/>
              </w:rPr>
              <w:t>83.74%</w:t>
            </w:r>
          </w:p>
        </w:tc>
        <w:tc>
          <w:tcPr>
            <w:tcW w:w="467" w:type="pct"/>
            <w:shd w:val="clear" w:color="auto" w:fill="auto"/>
            <w:vAlign w:val="center"/>
          </w:tcPr>
          <w:p w14:paraId="797749BC" w14:textId="696E92A3" w:rsidR="00892DD7" w:rsidRPr="00781112" w:rsidRDefault="00892DD7" w:rsidP="00892DD7">
            <w:pPr>
              <w:jc w:val="center"/>
              <w:rPr>
                <w:rFonts w:cs="Arial"/>
                <w:color w:val="000000" w:themeColor="text1"/>
                <w:szCs w:val="16"/>
              </w:rPr>
            </w:pPr>
            <w:r w:rsidRPr="00781112">
              <w:rPr>
                <w:rFonts w:cs="Arial"/>
                <w:color w:val="000000" w:themeColor="text1"/>
                <w:szCs w:val="16"/>
              </w:rPr>
              <w:t>95.00%</w:t>
            </w:r>
          </w:p>
        </w:tc>
        <w:tc>
          <w:tcPr>
            <w:tcW w:w="467" w:type="pct"/>
            <w:shd w:val="clear" w:color="auto" w:fill="auto"/>
            <w:vAlign w:val="center"/>
          </w:tcPr>
          <w:p w14:paraId="70549BEB" w14:textId="587EEF17" w:rsidR="00892DD7" w:rsidRPr="00781112" w:rsidRDefault="00892DD7" w:rsidP="00892DD7">
            <w:pPr>
              <w:jc w:val="center"/>
              <w:rPr>
                <w:rFonts w:cs="Arial"/>
                <w:color w:val="000000" w:themeColor="text1"/>
                <w:szCs w:val="16"/>
              </w:rPr>
            </w:pPr>
            <w:r w:rsidRPr="00781112">
              <w:rPr>
                <w:rFonts w:cs="Arial"/>
                <w:color w:val="000000" w:themeColor="text1"/>
                <w:szCs w:val="16"/>
              </w:rPr>
              <w:t>84.44%</w:t>
            </w:r>
          </w:p>
        </w:tc>
        <w:tc>
          <w:tcPr>
            <w:tcW w:w="467" w:type="pct"/>
            <w:shd w:val="clear" w:color="auto" w:fill="auto"/>
            <w:vAlign w:val="center"/>
          </w:tcPr>
          <w:p w14:paraId="78EE727D" w14:textId="62F0BE75" w:rsidR="00892DD7" w:rsidRPr="00781112" w:rsidRDefault="00892DD7" w:rsidP="00892DD7">
            <w:pPr>
              <w:jc w:val="center"/>
              <w:rPr>
                <w:rFonts w:cs="Arial"/>
                <w:color w:val="000000" w:themeColor="text1"/>
                <w:szCs w:val="16"/>
              </w:rPr>
            </w:pPr>
            <w:r w:rsidRPr="00781112">
              <w:rPr>
                <w:rFonts w:cs="Arial"/>
                <w:color w:val="000000" w:themeColor="text1"/>
                <w:szCs w:val="16"/>
              </w:rPr>
              <w:t>Did not meet target</w:t>
            </w:r>
          </w:p>
        </w:tc>
        <w:tc>
          <w:tcPr>
            <w:tcW w:w="466" w:type="pct"/>
            <w:shd w:val="clear" w:color="auto" w:fill="auto"/>
            <w:vAlign w:val="center"/>
          </w:tcPr>
          <w:p w14:paraId="6EAB29CE" w14:textId="27C0C9B3" w:rsidR="00892DD7" w:rsidRPr="00781112" w:rsidRDefault="00892DD7" w:rsidP="00892DD7">
            <w:pPr>
              <w:jc w:val="center"/>
              <w:rPr>
                <w:rFonts w:cs="Arial"/>
                <w:color w:val="000000" w:themeColor="text1"/>
                <w:szCs w:val="16"/>
              </w:rPr>
            </w:pPr>
            <w:r w:rsidRPr="00781112">
              <w:rPr>
                <w:rFonts w:cs="Arial"/>
                <w:color w:val="000000" w:themeColor="text1"/>
                <w:szCs w:val="16"/>
              </w:rPr>
              <w:t>No Slippage</w:t>
            </w:r>
          </w:p>
        </w:tc>
      </w:tr>
      <w:tr w:rsidR="00396BA3" w:rsidRPr="00781112" w14:paraId="56F1A9B2" w14:textId="77777777" w:rsidTr="0047313F">
        <w:tc>
          <w:tcPr>
            <w:tcW w:w="355" w:type="pct"/>
            <w:shd w:val="clear" w:color="auto" w:fill="auto"/>
            <w:vAlign w:val="center"/>
          </w:tcPr>
          <w:p w14:paraId="558707F7" w14:textId="77777777" w:rsidR="00892DD7" w:rsidRPr="00781112" w:rsidRDefault="00892DD7" w:rsidP="00892DD7">
            <w:pPr>
              <w:pStyle w:val="Default"/>
              <w:jc w:val="center"/>
              <w:rPr>
                <w:rFonts w:eastAsiaTheme="minorHAnsi"/>
                <w:color w:val="000000" w:themeColor="text1"/>
                <w:sz w:val="16"/>
                <w:szCs w:val="16"/>
              </w:rPr>
            </w:pPr>
            <w:r w:rsidRPr="00781112">
              <w:rPr>
                <w:b/>
                <w:color w:val="000000" w:themeColor="text1"/>
                <w:sz w:val="16"/>
                <w:szCs w:val="16"/>
              </w:rPr>
              <w:t>B</w:t>
            </w:r>
          </w:p>
        </w:tc>
        <w:tc>
          <w:tcPr>
            <w:tcW w:w="475" w:type="pct"/>
            <w:shd w:val="clear" w:color="auto" w:fill="auto"/>
            <w:vAlign w:val="center"/>
          </w:tcPr>
          <w:p w14:paraId="384974C9" w14:textId="0A4570C5" w:rsidR="00892DD7" w:rsidRPr="00781112" w:rsidDel="00DE5045" w:rsidRDefault="00892DD7" w:rsidP="00892DD7">
            <w:pPr>
              <w:jc w:val="center"/>
              <w:rPr>
                <w:rFonts w:cs="Arial"/>
                <w:color w:val="000000" w:themeColor="text1"/>
                <w:szCs w:val="16"/>
              </w:rPr>
            </w:pPr>
            <w:r w:rsidRPr="00781112">
              <w:rPr>
                <w:rFonts w:cs="Arial"/>
                <w:color w:val="000000" w:themeColor="text1"/>
                <w:szCs w:val="16"/>
              </w:rPr>
              <w:t>Grade 8</w:t>
            </w:r>
          </w:p>
        </w:tc>
        <w:tc>
          <w:tcPr>
            <w:tcW w:w="918" w:type="pct"/>
            <w:shd w:val="clear" w:color="auto" w:fill="auto"/>
            <w:vAlign w:val="center"/>
          </w:tcPr>
          <w:p w14:paraId="751205A1" w14:textId="2503E0F4" w:rsidR="00892DD7" w:rsidRPr="00781112" w:rsidRDefault="00892DD7" w:rsidP="00892DD7">
            <w:pPr>
              <w:jc w:val="center"/>
              <w:rPr>
                <w:rFonts w:cs="Arial"/>
                <w:color w:val="000000" w:themeColor="text1"/>
                <w:szCs w:val="16"/>
              </w:rPr>
            </w:pPr>
            <w:r w:rsidRPr="00781112">
              <w:rPr>
                <w:rFonts w:cs="Arial"/>
                <w:color w:val="000000"/>
                <w:szCs w:val="16"/>
              </w:rPr>
              <w:t>6,105</w:t>
            </w:r>
          </w:p>
        </w:tc>
        <w:tc>
          <w:tcPr>
            <w:tcW w:w="918" w:type="pct"/>
            <w:shd w:val="clear" w:color="auto" w:fill="auto"/>
            <w:vAlign w:val="center"/>
          </w:tcPr>
          <w:p w14:paraId="4F6EDDAF" w14:textId="20D9AAA3" w:rsidR="00892DD7" w:rsidRPr="00781112" w:rsidRDefault="00892DD7" w:rsidP="00892DD7">
            <w:pPr>
              <w:jc w:val="center"/>
              <w:rPr>
                <w:rFonts w:cs="Arial"/>
                <w:color w:val="000000" w:themeColor="text1"/>
                <w:szCs w:val="16"/>
              </w:rPr>
            </w:pPr>
            <w:r w:rsidRPr="00781112">
              <w:rPr>
                <w:rFonts w:cs="Arial"/>
                <w:color w:val="000000" w:themeColor="text1"/>
                <w:szCs w:val="16"/>
              </w:rPr>
              <w:t>8,239</w:t>
            </w:r>
          </w:p>
        </w:tc>
        <w:tc>
          <w:tcPr>
            <w:tcW w:w="466" w:type="pct"/>
            <w:shd w:val="clear" w:color="auto" w:fill="auto"/>
            <w:vAlign w:val="center"/>
          </w:tcPr>
          <w:p w14:paraId="6B3B6780" w14:textId="51308AEA" w:rsidR="00892DD7" w:rsidRPr="00781112" w:rsidRDefault="00892DD7" w:rsidP="00892DD7">
            <w:pPr>
              <w:jc w:val="center"/>
              <w:rPr>
                <w:rFonts w:cs="Arial"/>
                <w:color w:val="000000" w:themeColor="text1"/>
                <w:szCs w:val="16"/>
              </w:rPr>
            </w:pPr>
            <w:r w:rsidRPr="00781112">
              <w:rPr>
                <w:rFonts w:cs="Arial"/>
                <w:color w:val="000000" w:themeColor="text1"/>
                <w:szCs w:val="16"/>
              </w:rPr>
              <w:t>73.55%</w:t>
            </w:r>
          </w:p>
        </w:tc>
        <w:tc>
          <w:tcPr>
            <w:tcW w:w="467" w:type="pct"/>
            <w:shd w:val="clear" w:color="auto" w:fill="auto"/>
            <w:vAlign w:val="center"/>
          </w:tcPr>
          <w:p w14:paraId="60FE8D0A" w14:textId="26748E4B" w:rsidR="00892DD7" w:rsidRPr="00781112" w:rsidRDefault="00892DD7" w:rsidP="00892DD7">
            <w:pPr>
              <w:jc w:val="center"/>
              <w:rPr>
                <w:rFonts w:cs="Arial"/>
                <w:color w:val="000000" w:themeColor="text1"/>
                <w:szCs w:val="16"/>
              </w:rPr>
            </w:pPr>
            <w:r w:rsidRPr="00781112">
              <w:rPr>
                <w:rFonts w:cs="Arial"/>
                <w:color w:val="000000" w:themeColor="text1"/>
                <w:szCs w:val="16"/>
              </w:rPr>
              <w:t>95.00%</w:t>
            </w:r>
          </w:p>
        </w:tc>
        <w:tc>
          <w:tcPr>
            <w:tcW w:w="467" w:type="pct"/>
            <w:shd w:val="clear" w:color="auto" w:fill="auto"/>
            <w:vAlign w:val="center"/>
          </w:tcPr>
          <w:p w14:paraId="20759612" w14:textId="360FBC9D" w:rsidR="00892DD7" w:rsidRPr="00781112" w:rsidRDefault="00892DD7" w:rsidP="00892DD7">
            <w:pPr>
              <w:jc w:val="center"/>
              <w:rPr>
                <w:rFonts w:cs="Arial"/>
                <w:color w:val="000000" w:themeColor="text1"/>
                <w:szCs w:val="16"/>
              </w:rPr>
            </w:pPr>
            <w:r w:rsidRPr="00781112">
              <w:rPr>
                <w:rFonts w:cs="Arial"/>
                <w:color w:val="000000" w:themeColor="text1"/>
                <w:szCs w:val="16"/>
              </w:rPr>
              <w:t>74.10%</w:t>
            </w:r>
          </w:p>
        </w:tc>
        <w:tc>
          <w:tcPr>
            <w:tcW w:w="467" w:type="pct"/>
            <w:shd w:val="clear" w:color="auto" w:fill="auto"/>
            <w:vAlign w:val="center"/>
          </w:tcPr>
          <w:p w14:paraId="5A0AF76C" w14:textId="316463B4" w:rsidR="00892DD7" w:rsidRPr="00781112" w:rsidRDefault="00892DD7" w:rsidP="00892DD7">
            <w:pPr>
              <w:jc w:val="center"/>
              <w:rPr>
                <w:rFonts w:cs="Arial"/>
                <w:color w:val="000000" w:themeColor="text1"/>
                <w:szCs w:val="16"/>
              </w:rPr>
            </w:pPr>
            <w:r w:rsidRPr="00781112">
              <w:rPr>
                <w:rFonts w:cs="Arial"/>
                <w:color w:val="000000" w:themeColor="text1"/>
                <w:szCs w:val="16"/>
              </w:rPr>
              <w:t>Did not meet target</w:t>
            </w:r>
          </w:p>
        </w:tc>
        <w:tc>
          <w:tcPr>
            <w:tcW w:w="466" w:type="pct"/>
            <w:shd w:val="clear" w:color="auto" w:fill="auto"/>
            <w:vAlign w:val="center"/>
          </w:tcPr>
          <w:p w14:paraId="71C2BDA0" w14:textId="22F354AD" w:rsidR="00892DD7" w:rsidRPr="00781112" w:rsidRDefault="00892DD7" w:rsidP="00892DD7">
            <w:pPr>
              <w:jc w:val="center"/>
              <w:rPr>
                <w:rFonts w:cs="Arial"/>
                <w:color w:val="000000" w:themeColor="text1"/>
                <w:szCs w:val="16"/>
              </w:rPr>
            </w:pPr>
            <w:r w:rsidRPr="00781112">
              <w:rPr>
                <w:rFonts w:cs="Arial"/>
                <w:color w:val="000000" w:themeColor="text1"/>
                <w:szCs w:val="16"/>
              </w:rPr>
              <w:t>No Slippage</w:t>
            </w:r>
          </w:p>
        </w:tc>
      </w:tr>
      <w:tr w:rsidR="00396BA3" w:rsidRPr="00781112" w14:paraId="7455692E" w14:textId="77777777" w:rsidTr="0047313F">
        <w:tc>
          <w:tcPr>
            <w:tcW w:w="355" w:type="pct"/>
            <w:shd w:val="clear" w:color="auto" w:fill="auto"/>
            <w:vAlign w:val="center"/>
          </w:tcPr>
          <w:p w14:paraId="1007F433" w14:textId="77777777" w:rsidR="00892DD7" w:rsidRPr="00781112" w:rsidRDefault="00892DD7" w:rsidP="00892DD7">
            <w:pPr>
              <w:pStyle w:val="Default"/>
              <w:jc w:val="center"/>
              <w:rPr>
                <w:rFonts w:eastAsiaTheme="minorHAnsi"/>
                <w:color w:val="000000" w:themeColor="text1"/>
                <w:sz w:val="16"/>
                <w:szCs w:val="16"/>
              </w:rPr>
            </w:pPr>
            <w:r w:rsidRPr="00781112">
              <w:rPr>
                <w:b/>
                <w:color w:val="000000" w:themeColor="text1"/>
                <w:sz w:val="16"/>
                <w:szCs w:val="16"/>
              </w:rPr>
              <w:t>C</w:t>
            </w:r>
          </w:p>
        </w:tc>
        <w:tc>
          <w:tcPr>
            <w:tcW w:w="475" w:type="pct"/>
            <w:shd w:val="clear" w:color="auto" w:fill="auto"/>
            <w:vAlign w:val="center"/>
          </w:tcPr>
          <w:p w14:paraId="1C2FF689" w14:textId="7B5617BF" w:rsidR="00892DD7" w:rsidRPr="00781112" w:rsidDel="00DE5045" w:rsidRDefault="00892DD7" w:rsidP="00892DD7">
            <w:pPr>
              <w:jc w:val="center"/>
              <w:rPr>
                <w:rFonts w:cs="Arial"/>
                <w:color w:val="000000" w:themeColor="text1"/>
                <w:szCs w:val="16"/>
              </w:rPr>
            </w:pPr>
            <w:r w:rsidRPr="00781112">
              <w:rPr>
                <w:rFonts w:cs="Arial"/>
                <w:color w:val="000000" w:themeColor="text1"/>
                <w:szCs w:val="16"/>
              </w:rPr>
              <w:t>Grade HS</w:t>
            </w:r>
          </w:p>
        </w:tc>
        <w:tc>
          <w:tcPr>
            <w:tcW w:w="918" w:type="pct"/>
            <w:shd w:val="clear" w:color="auto" w:fill="auto"/>
            <w:vAlign w:val="center"/>
          </w:tcPr>
          <w:p w14:paraId="7711AD79" w14:textId="30D9E4B6" w:rsidR="00892DD7" w:rsidRPr="00781112" w:rsidRDefault="00892DD7" w:rsidP="00892DD7">
            <w:pPr>
              <w:jc w:val="center"/>
              <w:rPr>
                <w:rFonts w:cs="Arial"/>
                <w:color w:val="000000" w:themeColor="text1"/>
                <w:szCs w:val="16"/>
              </w:rPr>
            </w:pPr>
            <w:r w:rsidRPr="00781112">
              <w:rPr>
                <w:rFonts w:cs="Arial"/>
                <w:color w:val="000000"/>
                <w:szCs w:val="16"/>
              </w:rPr>
              <w:t>4,501</w:t>
            </w:r>
          </w:p>
        </w:tc>
        <w:tc>
          <w:tcPr>
            <w:tcW w:w="918" w:type="pct"/>
            <w:shd w:val="clear" w:color="auto" w:fill="auto"/>
            <w:vAlign w:val="center"/>
          </w:tcPr>
          <w:p w14:paraId="7C38F4A3" w14:textId="3227EA5E" w:rsidR="00892DD7" w:rsidRPr="00781112" w:rsidRDefault="00892DD7" w:rsidP="00892DD7">
            <w:pPr>
              <w:jc w:val="center"/>
              <w:rPr>
                <w:rFonts w:cs="Arial"/>
                <w:color w:val="000000" w:themeColor="text1"/>
                <w:szCs w:val="16"/>
              </w:rPr>
            </w:pPr>
            <w:r w:rsidRPr="00781112">
              <w:rPr>
                <w:rFonts w:cs="Arial"/>
                <w:color w:val="000000" w:themeColor="text1"/>
                <w:szCs w:val="16"/>
              </w:rPr>
              <w:t>6,335</w:t>
            </w:r>
          </w:p>
        </w:tc>
        <w:tc>
          <w:tcPr>
            <w:tcW w:w="466" w:type="pct"/>
            <w:shd w:val="clear" w:color="auto" w:fill="auto"/>
            <w:vAlign w:val="center"/>
          </w:tcPr>
          <w:p w14:paraId="300E10D2" w14:textId="5FE5073B" w:rsidR="00892DD7" w:rsidRPr="00781112" w:rsidRDefault="00892DD7" w:rsidP="00892DD7">
            <w:pPr>
              <w:jc w:val="center"/>
              <w:rPr>
                <w:rFonts w:cs="Arial"/>
                <w:color w:val="000000" w:themeColor="text1"/>
                <w:szCs w:val="16"/>
              </w:rPr>
            </w:pPr>
            <w:r w:rsidRPr="00781112">
              <w:rPr>
                <w:rFonts w:cs="Arial"/>
                <w:color w:val="000000" w:themeColor="text1"/>
                <w:szCs w:val="16"/>
              </w:rPr>
              <w:t>72.29%</w:t>
            </w:r>
          </w:p>
        </w:tc>
        <w:tc>
          <w:tcPr>
            <w:tcW w:w="467" w:type="pct"/>
            <w:shd w:val="clear" w:color="auto" w:fill="auto"/>
            <w:vAlign w:val="center"/>
          </w:tcPr>
          <w:p w14:paraId="26A808A8" w14:textId="46CE5D7C" w:rsidR="00892DD7" w:rsidRPr="00781112" w:rsidRDefault="00892DD7" w:rsidP="00892DD7">
            <w:pPr>
              <w:jc w:val="center"/>
              <w:rPr>
                <w:rFonts w:cs="Arial"/>
                <w:color w:val="000000" w:themeColor="text1"/>
                <w:szCs w:val="16"/>
              </w:rPr>
            </w:pPr>
            <w:r w:rsidRPr="00781112">
              <w:rPr>
                <w:rFonts w:cs="Arial"/>
                <w:color w:val="000000" w:themeColor="text1"/>
                <w:szCs w:val="16"/>
              </w:rPr>
              <w:t>95.00%</w:t>
            </w:r>
          </w:p>
        </w:tc>
        <w:tc>
          <w:tcPr>
            <w:tcW w:w="467" w:type="pct"/>
            <w:shd w:val="clear" w:color="auto" w:fill="auto"/>
            <w:vAlign w:val="center"/>
          </w:tcPr>
          <w:p w14:paraId="1760C9A2" w14:textId="77DCB745" w:rsidR="00892DD7" w:rsidRPr="00781112" w:rsidRDefault="00892DD7" w:rsidP="00892DD7">
            <w:pPr>
              <w:jc w:val="center"/>
              <w:rPr>
                <w:rFonts w:cs="Arial"/>
                <w:color w:val="000000" w:themeColor="text1"/>
                <w:szCs w:val="16"/>
              </w:rPr>
            </w:pPr>
            <w:r w:rsidRPr="00781112">
              <w:rPr>
                <w:rFonts w:cs="Arial"/>
                <w:color w:val="000000" w:themeColor="text1"/>
                <w:szCs w:val="16"/>
              </w:rPr>
              <w:t>71.05%</w:t>
            </w:r>
          </w:p>
        </w:tc>
        <w:tc>
          <w:tcPr>
            <w:tcW w:w="467" w:type="pct"/>
            <w:shd w:val="clear" w:color="auto" w:fill="auto"/>
            <w:vAlign w:val="center"/>
          </w:tcPr>
          <w:p w14:paraId="772412F5" w14:textId="7F0E1366" w:rsidR="00892DD7" w:rsidRPr="00781112" w:rsidRDefault="00892DD7" w:rsidP="00892DD7">
            <w:pPr>
              <w:jc w:val="center"/>
              <w:rPr>
                <w:rFonts w:cs="Arial"/>
                <w:color w:val="000000" w:themeColor="text1"/>
                <w:szCs w:val="16"/>
              </w:rPr>
            </w:pPr>
            <w:r w:rsidRPr="00781112">
              <w:rPr>
                <w:rFonts w:cs="Arial"/>
                <w:color w:val="000000" w:themeColor="text1"/>
                <w:szCs w:val="16"/>
              </w:rPr>
              <w:t>Did not meet target</w:t>
            </w:r>
          </w:p>
        </w:tc>
        <w:tc>
          <w:tcPr>
            <w:tcW w:w="466" w:type="pct"/>
            <w:shd w:val="clear" w:color="auto" w:fill="auto"/>
            <w:vAlign w:val="center"/>
          </w:tcPr>
          <w:p w14:paraId="3DF8294E" w14:textId="7BA8B5E3" w:rsidR="00892DD7" w:rsidRPr="00781112" w:rsidRDefault="00892DD7" w:rsidP="00892DD7">
            <w:pPr>
              <w:jc w:val="center"/>
              <w:rPr>
                <w:rFonts w:cs="Arial"/>
                <w:color w:val="000000" w:themeColor="text1"/>
                <w:szCs w:val="16"/>
              </w:rPr>
            </w:pPr>
            <w:r w:rsidRPr="00781112">
              <w:rPr>
                <w:rFonts w:cs="Arial"/>
                <w:color w:val="000000" w:themeColor="text1"/>
                <w:szCs w:val="16"/>
              </w:rPr>
              <w:t>Slippage</w:t>
            </w:r>
          </w:p>
        </w:tc>
      </w:tr>
    </w:tbl>
    <w:p w14:paraId="6C09A01C" w14:textId="77777777" w:rsidR="007765EF" w:rsidRDefault="007765EF" w:rsidP="00802A46">
      <w:pPr>
        <w:rPr>
          <w:b/>
          <w:color w:val="000000" w:themeColor="text1"/>
        </w:rPr>
      </w:pPr>
    </w:p>
    <w:p w14:paraId="4A8694DE" w14:textId="77777777" w:rsidR="007765EF" w:rsidRDefault="007765EF" w:rsidP="00802A46">
      <w:pPr>
        <w:rPr>
          <w:b/>
          <w:color w:val="000000" w:themeColor="text1"/>
        </w:rPr>
      </w:pPr>
    </w:p>
    <w:p w14:paraId="1C3A5E7E" w14:textId="77777777" w:rsidR="007765EF" w:rsidRDefault="007765EF" w:rsidP="00802A46">
      <w:pPr>
        <w:rPr>
          <w:b/>
          <w:color w:val="000000" w:themeColor="text1"/>
        </w:rPr>
      </w:pPr>
    </w:p>
    <w:p w14:paraId="04940E25" w14:textId="64501C32" w:rsidR="000B3578" w:rsidRPr="00781112" w:rsidRDefault="000B3578" w:rsidP="000B3578">
      <w:pPr>
        <w:rPr>
          <w:b/>
          <w:color w:val="000000" w:themeColor="text1"/>
        </w:rPr>
      </w:pPr>
      <w:r w:rsidRPr="00781112">
        <w:rPr>
          <w:b/>
          <w:color w:val="000000" w:themeColor="text1"/>
        </w:rPr>
        <w:t>Provide reasons for slippage for Group C, if applicable</w:t>
      </w:r>
    </w:p>
    <w:p w14:paraId="3EEF51EC" w14:textId="0B461EEF" w:rsidR="000B3578" w:rsidRPr="00781112" w:rsidRDefault="000B3578" w:rsidP="000B3578">
      <w:pPr>
        <w:rPr>
          <w:rFonts w:cs="Arial"/>
          <w:color w:val="000000" w:themeColor="text1"/>
          <w:szCs w:val="16"/>
        </w:rPr>
      </w:pPr>
      <w:r w:rsidRPr="00781112">
        <w:rPr>
          <w:rFonts w:cs="Arial"/>
          <w:color w:val="000000" w:themeColor="text1"/>
          <w:szCs w:val="16"/>
        </w:rPr>
        <w:t>Probable factors contributing to the slippage from the FY 2021 to 2022 high school reading assessments include parental excusals and chronic absenteeism.</w:t>
      </w:r>
      <w:r w:rsidRPr="00781112">
        <w:rPr>
          <w:rFonts w:cs="Arial"/>
          <w:color w:val="000000" w:themeColor="text1"/>
          <w:szCs w:val="16"/>
        </w:rPr>
        <w:br/>
      </w:r>
      <w:r w:rsidRPr="00781112">
        <w:rPr>
          <w:rFonts w:cs="Arial"/>
          <w:color w:val="000000" w:themeColor="text1"/>
          <w:szCs w:val="16"/>
        </w:rPr>
        <w:br/>
        <w:t>Parental Excusal: State data indicate that 17% of students with disabilities were excused from the 2022 administration of the SAT. Data are not collected for the reasons for parental excusal from state tests.</w:t>
      </w:r>
      <w:r w:rsidRPr="00781112">
        <w:rPr>
          <w:rFonts w:cs="Arial"/>
          <w:color w:val="000000" w:themeColor="text1"/>
          <w:szCs w:val="16"/>
        </w:rPr>
        <w:br/>
      </w:r>
      <w:r w:rsidRPr="00781112">
        <w:rPr>
          <w:rFonts w:cs="Arial"/>
          <w:color w:val="000000" w:themeColor="text1"/>
          <w:szCs w:val="16"/>
        </w:rPr>
        <w:br/>
        <w:t>Chronic Absenteeism: The number of chronically absent students in Colorado school districts ranged from a low 0% to a high of 70% in two individual districts. State data indicated a statewide average of chronic absenteeism rate of 35% for the 2021-22 count of 896,039 students in Colorado school districts. The US Department of Education’s October 2016 Chronic Absenteeism in the Nation’s School: A Hidden Educational Crisis document highlighted that one in five high school students is chronically absent. This percentage is further exacerbated for students who are English Language learners and/or students with disabilities.</w:t>
      </w:r>
    </w:p>
    <w:p w14:paraId="4D76CCAA" w14:textId="77777777" w:rsidR="007A7E93" w:rsidRPr="00781112" w:rsidRDefault="007A7E93">
      <w:pPr>
        <w:spacing w:before="0" w:after="200" w:line="276" w:lineRule="auto"/>
        <w:rPr>
          <w:b/>
          <w:color w:val="000000" w:themeColor="text1"/>
        </w:rPr>
      </w:pPr>
    </w:p>
    <w:p w14:paraId="68F24FCA" w14:textId="1115D782" w:rsidR="00F17D5E" w:rsidRPr="00781112" w:rsidRDefault="0047313F" w:rsidP="00F17D5E">
      <w:pPr>
        <w:rPr>
          <w:b/>
          <w:color w:val="000000" w:themeColor="text1"/>
        </w:rPr>
      </w:pPr>
      <w:r>
        <w:rPr>
          <w:b/>
          <w:color w:val="000000" w:themeColor="text1"/>
        </w:rPr>
        <w:t>FFY 2022 SPP/APR Data: Math Assessment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B03AFFYAPDATAMTH"/>
      </w:tblPr>
      <w:tblGrid>
        <w:gridCol w:w="715"/>
        <w:gridCol w:w="1080"/>
        <w:gridCol w:w="1982"/>
        <w:gridCol w:w="1960"/>
        <w:gridCol w:w="1011"/>
        <w:gridCol w:w="1010"/>
        <w:gridCol w:w="1010"/>
        <w:gridCol w:w="1010"/>
        <w:gridCol w:w="1012"/>
      </w:tblGrid>
      <w:tr w:rsidR="0047313F" w:rsidRPr="00781112" w14:paraId="681A67CD" w14:textId="77777777" w:rsidTr="00360DD6">
        <w:trPr>
          <w:tblHeader/>
        </w:trPr>
        <w:tc>
          <w:tcPr>
            <w:tcW w:w="331" w:type="pct"/>
            <w:shd w:val="clear" w:color="auto" w:fill="auto"/>
            <w:vAlign w:val="bottom"/>
          </w:tcPr>
          <w:p w14:paraId="32EBDF09" w14:textId="77777777" w:rsidR="0047313F" w:rsidRPr="00781112" w:rsidRDefault="0047313F" w:rsidP="0047313F">
            <w:pPr>
              <w:jc w:val="center"/>
              <w:rPr>
                <w:b/>
                <w:color w:val="000000" w:themeColor="text1"/>
              </w:rPr>
            </w:pPr>
            <w:r w:rsidRPr="00781112">
              <w:rPr>
                <w:b/>
                <w:color w:val="000000" w:themeColor="text1"/>
              </w:rPr>
              <w:t>Group</w:t>
            </w:r>
          </w:p>
        </w:tc>
        <w:tc>
          <w:tcPr>
            <w:tcW w:w="500" w:type="pct"/>
            <w:shd w:val="clear" w:color="auto" w:fill="auto"/>
            <w:vAlign w:val="bottom"/>
          </w:tcPr>
          <w:p w14:paraId="1DD83044" w14:textId="77777777" w:rsidR="0047313F" w:rsidRPr="00781112" w:rsidRDefault="0047313F" w:rsidP="0047313F">
            <w:pPr>
              <w:jc w:val="center"/>
              <w:rPr>
                <w:b/>
                <w:color w:val="000000" w:themeColor="text1"/>
              </w:rPr>
            </w:pPr>
            <w:r w:rsidRPr="00781112">
              <w:rPr>
                <w:b/>
                <w:color w:val="000000" w:themeColor="text1"/>
              </w:rPr>
              <w:t>Group Name</w:t>
            </w:r>
          </w:p>
        </w:tc>
        <w:tc>
          <w:tcPr>
            <w:tcW w:w="918" w:type="pct"/>
            <w:shd w:val="clear" w:color="auto" w:fill="auto"/>
            <w:vAlign w:val="bottom"/>
          </w:tcPr>
          <w:p w14:paraId="09C06BEF" w14:textId="77777777" w:rsidR="0047313F" w:rsidRPr="00781112" w:rsidRDefault="0047313F" w:rsidP="0047313F">
            <w:pPr>
              <w:jc w:val="center"/>
              <w:rPr>
                <w:b/>
                <w:color w:val="000000" w:themeColor="text1"/>
              </w:rPr>
            </w:pPr>
            <w:r w:rsidRPr="00781112">
              <w:rPr>
                <w:b/>
                <w:color w:val="000000" w:themeColor="text1"/>
              </w:rPr>
              <w:t>Number of Children with IEPs Participating</w:t>
            </w:r>
          </w:p>
        </w:tc>
        <w:tc>
          <w:tcPr>
            <w:tcW w:w="908" w:type="pct"/>
            <w:shd w:val="clear" w:color="auto" w:fill="auto"/>
            <w:vAlign w:val="bottom"/>
          </w:tcPr>
          <w:p w14:paraId="35F97163" w14:textId="77777777" w:rsidR="0047313F" w:rsidRPr="00781112" w:rsidRDefault="0047313F" w:rsidP="0047313F">
            <w:pPr>
              <w:jc w:val="center"/>
              <w:rPr>
                <w:b/>
                <w:color w:val="000000" w:themeColor="text1"/>
              </w:rPr>
            </w:pPr>
            <w:r w:rsidRPr="00781112">
              <w:rPr>
                <w:b/>
                <w:color w:val="000000" w:themeColor="text1"/>
              </w:rPr>
              <w:t>Number of Children with IEPs</w:t>
            </w:r>
          </w:p>
        </w:tc>
        <w:tc>
          <w:tcPr>
            <w:tcW w:w="468" w:type="pct"/>
            <w:shd w:val="clear" w:color="auto" w:fill="auto"/>
            <w:vAlign w:val="bottom"/>
          </w:tcPr>
          <w:p w14:paraId="3D7FBA55" w14:textId="0DF95073" w:rsidR="0047313F" w:rsidRPr="00073BD7" w:rsidRDefault="0047313F" w:rsidP="0047313F">
            <w:pPr>
              <w:jc w:val="center"/>
              <w:rPr>
                <w:b/>
                <w:bCs/>
                <w:color w:val="000000" w:themeColor="text1"/>
              </w:rPr>
            </w:pPr>
            <w:r w:rsidRPr="00073BD7">
              <w:rPr>
                <w:b/>
                <w:bCs/>
              </w:rPr>
              <w:t>FFY 2021 Data</w:t>
            </w:r>
          </w:p>
        </w:tc>
        <w:tc>
          <w:tcPr>
            <w:tcW w:w="468" w:type="pct"/>
            <w:shd w:val="clear" w:color="auto" w:fill="auto"/>
            <w:vAlign w:val="bottom"/>
          </w:tcPr>
          <w:p w14:paraId="681C20C6" w14:textId="3090046D" w:rsidR="0047313F" w:rsidRPr="00073BD7" w:rsidRDefault="0047313F" w:rsidP="0047313F">
            <w:pPr>
              <w:jc w:val="center"/>
              <w:rPr>
                <w:b/>
                <w:bCs/>
                <w:color w:val="000000" w:themeColor="text1"/>
              </w:rPr>
            </w:pPr>
            <w:r w:rsidRPr="00073BD7">
              <w:rPr>
                <w:b/>
                <w:bCs/>
              </w:rPr>
              <w:t>FFY 2022 Target</w:t>
            </w:r>
          </w:p>
        </w:tc>
        <w:tc>
          <w:tcPr>
            <w:tcW w:w="468" w:type="pct"/>
            <w:shd w:val="clear" w:color="auto" w:fill="auto"/>
            <w:vAlign w:val="bottom"/>
          </w:tcPr>
          <w:p w14:paraId="1A223A3A" w14:textId="2006895D" w:rsidR="0047313F" w:rsidRPr="00073BD7" w:rsidRDefault="0047313F" w:rsidP="0047313F">
            <w:pPr>
              <w:jc w:val="center"/>
              <w:rPr>
                <w:b/>
                <w:bCs/>
                <w:color w:val="000000" w:themeColor="text1"/>
              </w:rPr>
            </w:pPr>
            <w:r w:rsidRPr="00073BD7">
              <w:rPr>
                <w:b/>
                <w:bCs/>
              </w:rPr>
              <w:t>FFY 2022 Data</w:t>
            </w:r>
          </w:p>
        </w:tc>
        <w:tc>
          <w:tcPr>
            <w:tcW w:w="468" w:type="pct"/>
            <w:shd w:val="clear" w:color="auto" w:fill="auto"/>
            <w:vAlign w:val="bottom"/>
          </w:tcPr>
          <w:p w14:paraId="2E2084EF" w14:textId="77777777" w:rsidR="0047313F" w:rsidRPr="00781112" w:rsidRDefault="0047313F" w:rsidP="0047313F">
            <w:pPr>
              <w:jc w:val="center"/>
              <w:rPr>
                <w:b/>
                <w:color w:val="000000" w:themeColor="text1"/>
              </w:rPr>
            </w:pPr>
            <w:r w:rsidRPr="00781112">
              <w:rPr>
                <w:b/>
                <w:color w:val="000000" w:themeColor="text1"/>
              </w:rPr>
              <w:t>Status</w:t>
            </w:r>
          </w:p>
        </w:tc>
        <w:tc>
          <w:tcPr>
            <w:tcW w:w="469" w:type="pct"/>
            <w:shd w:val="clear" w:color="auto" w:fill="auto"/>
            <w:vAlign w:val="bottom"/>
          </w:tcPr>
          <w:p w14:paraId="309891B4" w14:textId="77777777" w:rsidR="0047313F" w:rsidRPr="00781112" w:rsidRDefault="0047313F" w:rsidP="0047313F">
            <w:pPr>
              <w:jc w:val="center"/>
              <w:rPr>
                <w:b/>
                <w:color w:val="000000" w:themeColor="text1"/>
              </w:rPr>
            </w:pPr>
            <w:r w:rsidRPr="00781112">
              <w:rPr>
                <w:b/>
                <w:color w:val="000000" w:themeColor="text1"/>
              </w:rPr>
              <w:t>Slippage</w:t>
            </w:r>
          </w:p>
        </w:tc>
      </w:tr>
      <w:tr w:rsidR="00396BA3" w:rsidRPr="00781112" w14:paraId="1BDE8C09" w14:textId="77777777" w:rsidTr="00396BA3">
        <w:tc>
          <w:tcPr>
            <w:tcW w:w="331" w:type="pct"/>
            <w:shd w:val="clear" w:color="auto" w:fill="auto"/>
            <w:vAlign w:val="center"/>
          </w:tcPr>
          <w:p w14:paraId="580D1344" w14:textId="77777777" w:rsidR="002C43CF" w:rsidRPr="00781112" w:rsidRDefault="002C43CF" w:rsidP="002C43CF">
            <w:pPr>
              <w:pStyle w:val="Default"/>
              <w:jc w:val="center"/>
              <w:rPr>
                <w:rFonts w:eastAsiaTheme="minorHAnsi"/>
                <w:color w:val="000000" w:themeColor="text1"/>
                <w:sz w:val="16"/>
                <w:szCs w:val="16"/>
              </w:rPr>
            </w:pPr>
            <w:r w:rsidRPr="00781112">
              <w:rPr>
                <w:b/>
                <w:color w:val="000000" w:themeColor="text1"/>
                <w:sz w:val="16"/>
                <w:szCs w:val="16"/>
              </w:rPr>
              <w:t>A</w:t>
            </w:r>
          </w:p>
        </w:tc>
        <w:tc>
          <w:tcPr>
            <w:tcW w:w="500" w:type="pct"/>
            <w:shd w:val="clear" w:color="auto" w:fill="auto"/>
            <w:vAlign w:val="center"/>
          </w:tcPr>
          <w:p w14:paraId="08A8F1D8" w14:textId="4D1DB180" w:rsidR="002C43CF" w:rsidRPr="00781112" w:rsidDel="00DE5045" w:rsidRDefault="002C43CF" w:rsidP="002C43CF">
            <w:pPr>
              <w:jc w:val="center"/>
              <w:rPr>
                <w:rFonts w:cs="Arial"/>
                <w:color w:val="000000" w:themeColor="text1"/>
                <w:szCs w:val="16"/>
              </w:rPr>
            </w:pPr>
            <w:r w:rsidRPr="00781112">
              <w:rPr>
                <w:rFonts w:cs="Arial"/>
                <w:color w:val="000000" w:themeColor="text1"/>
                <w:szCs w:val="16"/>
              </w:rPr>
              <w:t>Grade 4</w:t>
            </w:r>
          </w:p>
        </w:tc>
        <w:tc>
          <w:tcPr>
            <w:tcW w:w="918" w:type="pct"/>
            <w:shd w:val="clear" w:color="auto" w:fill="auto"/>
            <w:vAlign w:val="center"/>
          </w:tcPr>
          <w:p w14:paraId="5452B2A6" w14:textId="0D3478E5" w:rsidR="002C43CF" w:rsidRPr="00781112" w:rsidRDefault="002C43CF" w:rsidP="002C43CF">
            <w:pPr>
              <w:jc w:val="center"/>
              <w:rPr>
                <w:rFonts w:cs="Arial"/>
                <w:color w:val="000000" w:themeColor="text1"/>
                <w:szCs w:val="16"/>
              </w:rPr>
            </w:pPr>
            <w:r w:rsidRPr="00781112">
              <w:rPr>
                <w:rFonts w:cs="Arial"/>
                <w:color w:val="000000"/>
                <w:szCs w:val="16"/>
              </w:rPr>
              <w:t>7,766</w:t>
            </w:r>
          </w:p>
        </w:tc>
        <w:tc>
          <w:tcPr>
            <w:tcW w:w="908" w:type="pct"/>
            <w:shd w:val="clear" w:color="auto" w:fill="auto"/>
            <w:vAlign w:val="center"/>
          </w:tcPr>
          <w:p w14:paraId="039C7994" w14:textId="2644FC1F" w:rsidR="002C43CF" w:rsidRPr="00781112" w:rsidRDefault="002C43CF" w:rsidP="002C43CF">
            <w:pPr>
              <w:jc w:val="center"/>
              <w:rPr>
                <w:rFonts w:cs="Arial"/>
                <w:color w:val="000000" w:themeColor="text1"/>
                <w:szCs w:val="16"/>
              </w:rPr>
            </w:pPr>
            <w:r w:rsidRPr="00781112">
              <w:rPr>
                <w:rFonts w:cs="Arial"/>
                <w:color w:val="000000" w:themeColor="text1"/>
                <w:szCs w:val="16"/>
              </w:rPr>
              <w:t>9,177</w:t>
            </w:r>
          </w:p>
        </w:tc>
        <w:tc>
          <w:tcPr>
            <w:tcW w:w="468" w:type="pct"/>
            <w:shd w:val="clear" w:color="auto" w:fill="auto"/>
            <w:vAlign w:val="center"/>
          </w:tcPr>
          <w:p w14:paraId="24F0CC21" w14:textId="70B062C4" w:rsidR="002C43CF" w:rsidRPr="00781112" w:rsidRDefault="002C43CF" w:rsidP="002C43CF">
            <w:pPr>
              <w:jc w:val="center"/>
              <w:rPr>
                <w:rFonts w:cs="Arial"/>
                <w:color w:val="000000" w:themeColor="text1"/>
                <w:szCs w:val="16"/>
              </w:rPr>
            </w:pPr>
            <w:r w:rsidRPr="00781112">
              <w:rPr>
                <w:rFonts w:cs="Arial"/>
                <w:color w:val="000000" w:themeColor="text1"/>
                <w:szCs w:val="16"/>
              </w:rPr>
              <w:t>83.67%</w:t>
            </w:r>
          </w:p>
        </w:tc>
        <w:tc>
          <w:tcPr>
            <w:tcW w:w="468" w:type="pct"/>
            <w:shd w:val="clear" w:color="auto" w:fill="auto"/>
            <w:vAlign w:val="center"/>
          </w:tcPr>
          <w:p w14:paraId="44D3CBA8" w14:textId="716B8037" w:rsidR="002C43CF" w:rsidRPr="00781112" w:rsidRDefault="002C43CF" w:rsidP="002C43CF">
            <w:pPr>
              <w:jc w:val="center"/>
              <w:rPr>
                <w:rFonts w:cs="Arial"/>
                <w:color w:val="000000" w:themeColor="text1"/>
                <w:szCs w:val="16"/>
              </w:rPr>
            </w:pPr>
            <w:r w:rsidRPr="00781112">
              <w:rPr>
                <w:rFonts w:cs="Arial"/>
                <w:color w:val="000000" w:themeColor="text1"/>
                <w:szCs w:val="16"/>
              </w:rPr>
              <w:t>95.00%</w:t>
            </w:r>
          </w:p>
        </w:tc>
        <w:tc>
          <w:tcPr>
            <w:tcW w:w="468" w:type="pct"/>
            <w:shd w:val="clear" w:color="auto" w:fill="auto"/>
            <w:vAlign w:val="center"/>
          </w:tcPr>
          <w:p w14:paraId="0C38B251" w14:textId="6362D41B" w:rsidR="002C43CF" w:rsidRPr="00781112" w:rsidRDefault="002C43CF" w:rsidP="002C43CF">
            <w:pPr>
              <w:jc w:val="center"/>
              <w:rPr>
                <w:rFonts w:cs="Arial"/>
                <w:color w:val="000000" w:themeColor="text1"/>
                <w:szCs w:val="16"/>
              </w:rPr>
            </w:pPr>
            <w:r w:rsidRPr="00781112">
              <w:rPr>
                <w:rFonts w:cs="Arial"/>
                <w:color w:val="000000" w:themeColor="text1"/>
                <w:szCs w:val="16"/>
              </w:rPr>
              <w:t>84.62%</w:t>
            </w:r>
          </w:p>
        </w:tc>
        <w:tc>
          <w:tcPr>
            <w:tcW w:w="468" w:type="pct"/>
            <w:shd w:val="clear" w:color="auto" w:fill="auto"/>
            <w:vAlign w:val="center"/>
          </w:tcPr>
          <w:p w14:paraId="761D8F6F" w14:textId="46B9913C" w:rsidR="002C43CF" w:rsidRPr="00781112" w:rsidRDefault="002C43CF" w:rsidP="002C43CF">
            <w:pPr>
              <w:jc w:val="center"/>
              <w:rPr>
                <w:rFonts w:cs="Arial"/>
                <w:color w:val="000000" w:themeColor="text1"/>
                <w:szCs w:val="16"/>
              </w:rPr>
            </w:pPr>
            <w:r w:rsidRPr="00781112">
              <w:rPr>
                <w:rFonts w:cs="Arial"/>
                <w:color w:val="000000" w:themeColor="text1"/>
                <w:szCs w:val="16"/>
              </w:rPr>
              <w:t>Did not meet target</w:t>
            </w:r>
          </w:p>
        </w:tc>
        <w:tc>
          <w:tcPr>
            <w:tcW w:w="469" w:type="pct"/>
            <w:shd w:val="clear" w:color="auto" w:fill="auto"/>
            <w:vAlign w:val="center"/>
          </w:tcPr>
          <w:p w14:paraId="67149680" w14:textId="213ADF64" w:rsidR="002C43CF" w:rsidRPr="00781112" w:rsidRDefault="002C43CF" w:rsidP="002C43CF">
            <w:pPr>
              <w:jc w:val="center"/>
              <w:rPr>
                <w:rFonts w:cs="Arial"/>
                <w:color w:val="000000" w:themeColor="text1"/>
                <w:szCs w:val="16"/>
              </w:rPr>
            </w:pPr>
            <w:r w:rsidRPr="00781112">
              <w:rPr>
                <w:rFonts w:cs="Arial"/>
                <w:color w:val="000000" w:themeColor="text1"/>
                <w:szCs w:val="16"/>
              </w:rPr>
              <w:t>No Slippage</w:t>
            </w:r>
          </w:p>
        </w:tc>
      </w:tr>
      <w:tr w:rsidR="00396BA3" w:rsidRPr="00781112" w14:paraId="1922D3D8" w14:textId="77777777" w:rsidTr="00396BA3">
        <w:tc>
          <w:tcPr>
            <w:tcW w:w="331" w:type="pct"/>
            <w:shd w:val="clear" w:color="auto" w:fill="auto"/>
            <w:vAlign w:val="center"/>
          </w:tcPr>
          <w:p w14:paraId="43AEFF73" w14:textId="77777777" w:rsidR="002C43CF" w:rsidRPr="00781112" w:rsidRDefault="002C43CF" w:rsidP="002C43CF">
            <w:pPr>
              <w:pStyle w:val="Default"/>
              <w:jc w:val="center"/>
              <w:rPr>
                <w:rFonts w:eastAsiaTheme="minorHAnsi"/>
                <w:color w:val="000000" w:themeColor="text1"/>
                <w:sz w:val="16"/>
                <w:szCs w:val="16"/>
              </w:rPr>
            </w:pPr>
            <w:r w:rsidRPr="00781112">
              <w:rPr>
                <w:b/>
                <w:color w:val="000000" w:themeColor="text1"/>
                <w:sz w:val="16"/>
                <w:szCs w:val="16"/>
              </w:rPr>
              <w:t>B</w:t>
            </w:r>
          </w:p>
        </w:tc>
        <w:tc>
          <w:tcPr>
            <w:tcW w:w="500" w:type="pct"/>
            <w:shd w:val="clear" w:color="auto" w:fill="auto"/>
            <w:vAlign w:val="center"/>
          </w:tcPr>
          <w:p w14:paraId="2B8AB1E0" w14:textId="3F093CFB" w:rsidR="002C43CF" w:rsidRPr="00781112" w:rsidDel="00DE5045" w:rsidRDefault="002C43CF" w:rsidP="002C43CF">
            <w:pPr>
              <w:jc w:val="center"/>
              <w:rPr>
                <w:rFonts w:cs="Arial"/>
                <w:color w:val="000000" w:themeColor="text1"/>
                <w:szCs w:val="16"/>
              </w:rPr>
            </w:pPr>
            <w:r w:rsidRPr="00781112">
              <w:rPr>
                <w:rFonts w:cs="Arial"/>
                <w:color w:val="000000" w:themeColor="text1"/>
                <w:szCs w:val="16"/>
              </w:rPr>
              <w:t>Grade 8</w:t>
            </w:r>
          </w:p>
        </w:tc>
        <w:tc>
          <w:tcPr>
            <w:tcW w:w="918" w:type="pct"/>
            <w:shd w:val="clear" w:color="auto" w:fill="auto"/>
            <w:vAlign w:val="center"/>
          </w:tcPr>
          <w:p w14:paraId="02D6A2B7" w14:textId="310E9DB8" w:rsidR="002C43CF" w:rsidRPr="00781112" w:rsidRDefault="002C43CF" w:rsidP="002C43CF">
            <w:pPr>
              <w:jc w:val="center"/>
              <w:rPr>
                <w:rFonts w:cs="Arial"/>
                <w:color w:val="000000" w:themeColor="text1"/>
                <w:szCs w:val="16"/>
              </w:rPr>
            </w:pPr>
            <w:r w:rsidRPr="00781112">
              <w:rPr>
                <w:rFonts w:cs="Arial"/>
                <w:color w:val="000000"/>
                <w:szCs w:val="16"/>
              </w:rPr>
              <w:t>6,101</w:t>
            </w:r>
          </w:p>
        </w:tc>
        <w:tc>
          <w:tcPr>
            <w:tcW w:w="908" w:type="pct"/>
            <w:shd w:val="clear" w:color="auto" w:fill="auto"/>
            <w:vAlign w:val="center"/>
          </w:tcPr>
          <w:p w14:paraId="7F2CECC4" w14:textId="3F890748" w:rsidR="002C43CF" w:rsidRPr="00781112" w:rsidRDefault="002C43CF" w:rsidP="002C43CF">
            <w:pPr>
              <w:jc w:val="center"/>
              <w:rPr>
                <w:rFonts w:cs="Arial"/>
                <w:color w:val="000000" w:themeColor="text1"/>
                <w:szCs w:val="16"/>
              </w:rPr>
            </w:pPr>
            <w:r w:rsidRPr="00781112">
              <w:rPr>
                <w:rFonts w:cs="Arial"/>
                <w:color w:val="000000" w:themeColor="text1"/>
                <w:szCs w:val="16"/>
              </w:rPr>
              <w:t>8,239</w:t>
            </w:r>
          </w:p>
        </w:tc>
        <w:tc>
          <w:tcPr>
            <w:tcW w:w="468" w:type="pct"/>
            <w:shd w:val="clear" w:color="auto" w:fill="auto"/>
            <w:vAlign w:val="center"/>
          </w:tcPr>
          <w:p w14:paraId="79841470" w14:textId="267EECAA" w:rsidR="002C43CF" w:rsidRPr="00781112" w:rsidRDefault="002C43CF" w:rsidP="002C43CF">
            <w:pPr>
              <w:jc w:val="center"/>
              <w:rPr>
                <w:rFonts w:cs="Arial"/>
                <w:color w:val="000000" w:themeColor="text1"/>
                <w:szCs w:val="16"/>
              </w:rPr>
            </w:pPr>
            <w:r w:rsidRPr="00781112">
              <w:rPr>
                <w:rFonts w:cs="Arial"/>
                <w:color w:val="000000" w:themeColor="text1"/>
                <w:szCs w:val="16"/>
              </w:rPr>
              <w:t>73.35%</w:t>
            </w:r>
          </w:p>
        </w:tc>
        <w:tc>
          <w:tcPr>
            <w:tcW w:w="468" w:type="pct"/>
            <w:shd w:val="clear" w:color="auto" w:fill="auto"/>
            <w:vAlign w:val="center"/>
          </w:tcPr>
          <w:p w14:paraId="5B10F98F" w14:textId="77777777" w:rsidR="002C43CF" w:rsidRPr="00781112" w:rsidRDefault="002C43CF" w:rsidP="002C43CF">
            <w:pPr>
              <w:jc w:val="center"/>
              <w:rPr>
                <w:rFonts w:cs="Arial"/>
                <w:color w:val="000000" w:themeColor="text1"/>
                <w:szCs w:val="16"/>
              </w:rPr>
            </w:pPr>
            <w:r w:rsidRPr="00781112">
              <w:rPr>
                <w:rFonts w:cs="Arial"/>
                <w:color w:val="000000" w:themeColor="text1"/>
                <w:szCs w:val="16"/>
              </w:rPr>
              <w:t>95.00%</w:t>
            </w:r>
          </w:p>
        </w:tc>
        <w:tc>
          <w:tcPr>
            <w:tcW w:w="468" w:type="pct"/>
            <w:shd w:val="clear" w:color="auto" w:fill="auto"/>
            <w:vAlign w:val="center"/>
          </w:tcPr>
          <w:p w14:paraId="3542B9F1" w14:textId="37C83969" w:rsidR="002C43CF" w:rsidRPr="00781112" w:rsidRDefault="002C43CF" w:rsidP="002C43CF">
            <w:pPr>
              <w:jc w:val="center"/>
              <w:rPr>
                <w:rFonts w:cs="Arial"/>
                <w:color w:val="000000" w:themeColor="text1"/>
                <w:szCs w:val="16"/>
              </w:rPr>
            </w:pPr>
            <w:r w:rsidRPr="00781112">
              <w:rPr>
                <w:rFonts w:cs="Arial"/>
                <w:color w:val="000000" w:themeColor="text1"/>
                <w:szCs w:val="16"/>
              </w:rPr>
              <w:t>74.05%</w:t>
            </w:r>
          </w:p>
        </w:tc>
        <w:tc>
          <w:tcPr>
            <w:tcW w:w="468" w:type="pct"/>
            <w:shd w:val="clear" w:color="auto" w:fill="auto"/>
            <w:vAlign w:val="center"/>
          </w:tcPr>
          <w:p w14:paraId="5BE427F8" w14:textId="56EB7A82" w:rsidR="002C43CF" w:rsidRPr="00781112" w:rsidRDefault="002C43CF" w:rsidP="002C43CF">
            <w:pPr>
              <w:jc w:val="center"/>
              <w:rPr>
                <w:rFonts w:cs="Arial"/>
                <w:color w:val="000000" w:themeColor="text1"/>
                <w:szCs w:val="16"/>
              </w:rPr>
            </w:pPr>
            <w:r w:rsidRPr="00781112">
              <w:rPr>
                <w:rFonts w:cs="Arial"/>
                <w:color w:val="000000" w:themeColor="text1"/>
                <w:szCs w:val="16"/>
              </w:rPr>
              <w:t>Did not meet target</w:t>
            </w:r>
          </w:p>
        </w:tc>
        <w:tc>
          <w:tcPr>
            <w:tcW w:w="469" w:type="pct"/>
            <w:shd w:val="clear" w:color="auto" w:fill="auto"/>
            <w:vAlign w:val="center"/>
          </w:tcPr>
          <w:p w14:paraId="5ADE31A1" w14:textId="6021CBB1" w:rsidR="002C43CF" w:rsidRPr="00781112" w:rsidRDefault="002C43CF" w:rsidP="002C43CF">
            <w:pPr>
              <w:jc w:val="center"/>
              <w:rPr>
                <w:rFonts w:cs="Arial"/>
                <w:color w:val="000000" w:themeColor="text1"/>
                <w:szCs w:val="16"/>
              </w:rPr>
            </w:pPr>
            <w:r w:rsidRPr="00781112">
              <w:rPr>
                <w:rFonts w:cs="Arial"/>
                <w:color w:val="000000" w:themeColor="text1"/>
                <w:szCs w:val="16"/>
              </w:rPr>
              <w:t>No Slippage</w:t>
            </w:r>
          </w:p>
        </w:tc>
      </w:tr>
      <w:tr w:rsidR="00396BA3" w:rsidRPr="00781112" w14:paraId="2E1BAFB0" w14:textId="77777777" w:rsidTr="00396BA3">
        <w:tc>
          <w:tcPr>
            <w:tcW w:w="331" w:type="pct"/>
            <w:shd w:val="clear" w:color="auto" w:fill="auto"/>
            <w:vAlign w:val="center"/>
          </w:tcPr>
          <w:p w14:paraId="6825BD97" w14:textId="77777777" w:rsidR="002C43CF" w:rsidRPr="00781112" w:rsidRDefault="002C43CF" w:rsidP="002C43CF">
            <w:pPr>
              <w:pStyle w:val="Default"/>
              <w:jc w:val="center"/>
              <w:rPr>
                <w:rFonts w:eastAsiaTheme="minorHAnsi"/>
                <w:color w:val="000000" w:themeColor="text1"/>
                <w:sz w:val="16"/>
                <w:szCs w:val="16"/>
              </w:rPr>
            </w:pPr>
            <w:r w:rsidRPr="00781112">
              <w:rPr>
                <w:b/>
                <w:color w:val="000000" w:themeColor="text1"/>
                <w:sz w:val="16"/>
                <w:szCs w:val="16"/>
              </w:rPr>
              <w:t>C</w:t>
            </w:r>
          </w:p>
        </w:tc>
        <w:tc>
          <w:tcPr>
            <w:tcW w:w="500" w:type="pct"/>
            <w:shd w:val="clear" w:color="auto" w:fill="auto"/>
            <w:vAlign w:val="center"/>
          </w:tcPr>
          <w:p w14:paraId="0AE72592" w14:textId="0F597AAE" w:rsidR="002C43CF" w:rsidRPr="00781112" w:rsidDel="00DE5045" w:rsidRDefault="002C43CF" w:rsidP="002C43CF">
            <w:pPr>
              <w:jc w:val="center"/>
              <w:rPr>
                <w:rFonts w:cs="Arial"/>
                <w:color w:val="000000" w:themeColor="text1"/>
                <w:szCs w:val="16"/>
              </w:rPr>
            </w:pPr>
            <w:r w:rsidRPr="00781112">
              <w:rPr>
                <w:rFonts w:cs="Arial"/>
                <w:color w:val="000000" w:themeColor="text1"/>
                <w:szCs w:val="16"/>
              </w:rPr>
              <w:t>Grade HS</w:t>
            </w:r>
          </w:p>
        </w:tc>
        <w:tc>
          <w:tcPr>
            <w:tcW w:w="918" w:type="pct"/>
            <w:shd w:val="clear" w:color="auto" w:fill="auto"/>
            <w:vAlign w:val="center"/>
          </w:tcPr>
          <w:p w14:paraId="6099121A" w14:textId="18C55BFC" w:rsidR="002C43CF" w:rsidRPr="00781112" w:rsidRDefault="002C43CF" w:rsidP="002C43CF">
            <w:pPr>
              <w:jc w:val="center"/>
              <w:rPr>
                <w:rFonts w:cs="Arial"/>
                <w:color w:val="000000" w:themeColor="text1"/>
                <w:szCs w:val="16"/>
              </w:rPr>
            </w:pPr>
            <w:r w:rsidRPr="00781112">
              <w:rPr>
                <w:rFonts w:cs="Arial"/>
                <w:color w:val="000000"/>
                <w:szCs w:val="16"/>
              </w:rPr>
              <w:t>4,501</w:t>
            </w:r>
          </w:p>
        </w:tc>
        <w:tc>
          <w:tcPr>
            <w:tcW w:w="908" w:type="pct"/>
            <w:shd w:val="clear" w:color="auto" w:fill="auto"/>
            <w:vAlign w:val="center"/>
          </w:tcPr>
          <w:p w14:paraId="6B5854E5" w14:textId="06E91CB7" w:rsidR="002C43CF" w:rsidRPr="00781112" w:rsidRDefault="002C43CF" w:rsidP="002C43CF">
            <w:pPr>
              <w:jc w:val="center"/>
              <w:rPr>
                <w:rFonts w:cs="Arial"/>
                <w:color w:val="000000" w:themeColor="text1"/>
                <w:szCs w:val="16"/>
              </w:rPr>
            </w:pPr>
            <w:r w:rsidRPr="00781112">
              <w:rPr>
                <w:rFonts w:cs="Arial"/>
                <w:color w:val="000000" w:themeColor="text1"/>
                <w:szCs w:val="16"/>
              </w:rPr>
              <w:t>6,336</w:t>
            </w:r>
          </w:p>
        </w:tc>
        <w:tc>
          <w:tcPr>
            <w:tcW w:w="468" w:type="pct"/>
            <w:shd w:val="clear" w:color="auto" w:fill="auto"/>
            <w:vAlign w:val="center"/>
          </w:tcPr>
          <w:p w14:paraId="36BDD326" w14:textId="6EBA39BF" w:rsidR="002C43CF" w:rsidRPr="00781112" w:rsidRDefault="002C43CF" w:rsidP="002C43CF">
            <w:pPr>
              <w:jc w:val="center"/>
              <w:rPr>
                <w:rFonts w:cs="Arial"/>
                <w:color w:val="000000" w:themeColor="text1"/>
                <w:szCs w:val="16"/>
              </w:rPr>
            </w:pPr>
            <w:r w:rsidRPr="00781112">
              <w:rPr>
                <w:rFonts w:cs="Arial"/>
                <w:color w:val="000000" w:themeColor="text1"/>
                <w:szCs w:val="16"/>
              </w:rPr>
              <w:t>72.32%</w:t>
            </w:r>
          </w:p>
        </w:tc>
        <w:tc>
          <w:tcPr>
            <w:tcW w:w="468" w:type="pct"/>
            <w:shd w:val="clear" w:color="auto" w:fill="auto"/>
            <w:vAlign w:val="center"/>
          </w:tcPr>
          <w:p w14:paraId="2B5A1952" w14:textId="77777777" w:rsidR="002C43CF" w:rsidRPr="00781112" w:rsidRDefault="002C43CF" w:rsidP="002C43CF">
            <w:pPr>
              <w:jc w:val="center"/>
              <w:rPr>
                <w:rFonts w:cs="Arial"/>
                <w:color w:val="000000" w:themeColor="text1"/>
                <w:szCs w:val="16"/>
              </w:rPr>
            </w:pPr>
            <w:r w:rsidRPr="00781112">
              <w:rPr>
                <w:rFonts w:cs="Arial"/>
                <w:color w:val="000000" w:themeColor="text1"/>
                <w:szCs w:val="16"/>
              </w:rPr>
              <w:t>95.00%</w:t>
            </w:r>
          </w:p>
        </w:tc>
        <w:tc>
          <w:tcPr>
            <w:tcW w:w="468" w:type="pct"/>
            <w:shd w:val="clear" w:color="auto" w:fill="auto"/>
            <w:vAlign w:val="center"/>
          </w:tcPr>
          <w:p w14:paraId="3A8A2153" w14:textId="350CE279" w:rsidR="002C43CF" w:rsidRPr="00781112" w:rsidRDefault="002C43CF" w:rsidP="002C43CF">
            <w:pPr>
              <w:jc w:val="center"/>
              <w:rPr>
                <w:rFonts w:cs="Arial"/>
                <w:color w:val="000000" w:themeColor="text1"/>
                <w:szCs w:val="16"/>
              </w:rPr>
            </w:pPr>
            <w:r w:rsidRPr="00781112">
              <w:rPr>
                <w:rFonts w:cs="Arial"/>
                <w:color w:val="000000" w:themeColor="text1"/>
                <w:szCs w:val="16"/>
              </w:rPr>
              <w:t>71.04%</w:t>
            </w:r>
          </w:p>
        </w:tc>
        <w:tc>
          <w:tcPr>
            <w:tcW w:w="468" w:type="pct"/>
            <w:shd w:val="clear" w:color="auto" w:fill="auto"/>
            <w:vAlign w:val="center"/>
          </w:tcPr>
          <w:p w14:paraId="602D5261" w14:textId="54A65BCD" w:rsidR="002C43CF" w:rsidRPr="00781112" w:rsidRDefault="002C43CF" w:rsidP="002C43CF">
            <w:pPr>
              <w:jc w:val="center"/>
              <w:rPr>
                <w:rFonts w:cs="Arial"/>
                <w:color w:val="000000" w:themeColor="text1"/>
                <w:szCs w:val="16"/>
              </w:rPr>
            </w:pPr>
            <w:r w:rsidRPr="00781112">
              <w:rPr>
                <w:rFonts w:cs="Arial"/>
                <w:color w:val="000000" w:themeColor="text1"/>
                <w:szCs w:val="16"/>
              </w:rPr>
              <w:t>Did not meet target</w:t>
            </w:r>
          </w:p>
        </w:tc>
        <w:tc>
          <w:tcPr>
            <w:tcW w:w="469" w:type="pct"/>
            <w:shd w:val="clear" w:color="auto" w:fill="auto"/>
            <w:vAlign w:val="center"/>
          </w:tcPr>
          <w:p w14:paraId="45BE3C4A" w14:textId="1F06447F" w:rsidR="002C43CF" w:rsidRPr="00781112" w:rsidRDefault="002C43CF" w:rsidP="002C43CF">
            <w:pPr>
              <w:jc w:val="center"/>
              <w:rPr>
                <w:rFonts w:cs="Arial"/>
                <w:color w:val="000000" w:themeColor="text1"/>
                <w:szCs w:val="16"/>
              </w:rPr>
            </w:pPr>
            <w:r w:rsidRPr="00781112">
              <w:rPr>
                <w:rFonts w:cs="Arial"/>
                <w:color w:val="000000" w:themeColor="text1"/>
                <w:szCs w:val="16"/>
              </w:rPr>
              <w:t>Slippage</w:t>
            </w:r>
          </w:p>
        </w:tc>
      </w:tr>
    </w:tbl>
    <w:p w14:paraId="7829628A" w14:textId="77777777" w:rsidR="00A34633" w:rsidRPr="00781112" w:rsidRDefault="00A34633" w:rsidP="00A34633">
      <w:pPr>
        <w:rPr>
          <w:b/>
          <w:color w:val="000000" w:themeColor="text1"/>
        </w:rPr>
      </w:pPr>
      <w:r w:rsidRPr="00781112">
        <w:rPr>
          <w:b/>
          <w:color w:val="000000" w:themeColor="text1"/>
        </w:rPr>
        <w:t>Provide reasons for slippage for Group C, if applicable</w:t>
      </w:r>
    </w:p>
    <w:p w14:paraId="66B62E2F" w14:textId="7DC14B55" w:rsidR="00A34633" w:rsidRPr="00781112" w:rsidRDefault="00A34633" w:rsidP="00A34633">
      <w:pPr>
        <w:rPr>
          <w:rFonts w:cs="Arial"/>
          <w:color w:val="000000" w:themeColor="text1"/>
          <w:szCs w:val="16"/>
        </w:rPr>
      </w:pPr>
      <w:r w:rsidRPr="00781112">
        <w:rPr>
          <w:rFonts w:cs="Arial"/>
          <w:color w:val="000000" w:themeColor="text1"/>
          <w:szCs w:val="16"/>
        </w:rPr>
        <w:t>Probable factors contributing to the slippage from the FY 2021 to 2022 high school math assessments include parental excusals and chronic absenteeism.</w:t>
      </w:r>
      <w:r w:rsidRPr="00781112">
        <w:rPr>
          <w:rFonts w:cs="Arial"/>
          <w:color w:val="000000" w:themeColor="text1"/>
          <w:szCs w:val="16"/>
        </w:rPr>
        <w:br/>
      </w:r>
      <w:r w:rsidRPr="00781112">
        <w:rPr>
          <w:rFonts w:cs="Arial"/>
          <w:color w:val="000000" w:themeColor="text1"/>
          <w:szCs w:val="16"/>
        </w:rPr>
        <w:br/>
        <w:t>Parental Excusal: State data indicate that 17% of students with disabilities were excused from the 2022 administration of the SAT. Data are not collected for the reasons for parental excusal from state tests.</w:t>
      </w:r>
      <w:r w:rsidRPr="00781112">
        <w:rPr>
          <w:rFonts w:cs="Arial"/>
          <w:color w:val="000000" w:themeColor="text1"/>
          <w:szCs w:val="16"/>
        </w:rPr>
        <w:br/>
      </w:r>
      <w:r w:rsidRPr="00781112">
        <w:rPr>
          <w:rFonts w:cs="Arial"/>
          <w:color w:val="000000" w:themeColor="text1"/>
          <w:szCs w:val="16"/>
        </w:rPr>
        <w:br/>
      </w:r>
      <w:r w:rsidRPr="00781112">
        <w:rPr>
          <w:rFonts w:cs="Arial"/>
          <w:color w:val="000000" w:themeColor="text1"/>
          <w:szCs w:val="16"/>
        </w:rPr>
        <w:lastRenderedPageBreak/>
        <w:t>Chronic Absenteeism: The number of chronically absent students in Colorado school districts ranged from a low 0% to a high of 70% in two individual districts. State data indicated a statewide average of chronic absenteeism rate of 35% for the 2021-22 count of 896,039 students in Colorado school districts. The US Department of Education’s October 2016 Chronic Absenteeism in the Nation’s School: A Hidden Educational Crisis document highlighted that one in five high school students is chronically absent. This percentage is further exacerbated for students who are English Language learners and/or students with disabilities.</w:t>
      </w:r>
    </w:p>
    <w:p w14:paraId="0CDF2DF2" w14:textId="7E4745D3" w:rsidR="00F17D5E" w:rsidRPr="00781112" w:rsidRDefault="00F17D5E">
      <w:pPr>
        <w:spacing w:before="0" w:after="200" w:line="276" w:lineRule="auto"/>
        <w:rPr>
          <w:b/>
          <w:color w:val="000000" w:themeColor="text1"/>
        </w:rPr>
      </w:pPr>
    </w:p>
    <w:p w14:paraId="13A59EA6" w14:textId="77777777" w:rsidR="00A134AA" w:rsidRPr="00781112" w:rsidRDefault="00A134AA" w:rsidP="00A134AA">
      <w:pPr>
        <w:rPr>
          <w:color w:val="000000" w:themeColor="text1"/>
        </w:rPr>
      </w:pPr>
      <w:r w:rsidRPr="00781112">
        <w:rPr>
          <w:b/>
          <w:color w:val="000000" w:themeColor="text1"/>
        </w:rPr>
        <w:t>Regulatory Information</w:t>
      </w:r>
    </w:p>
    <w:p w14:paraId="53C4149B" w14:textId="77777777" w:rsidR="00A134AA" w:rsidRPr="00781112" w:rsidRDefault="00A134AA" w:rsidP="00A134AA">
      <w:pPr>
        <w:rPr>
          <w:rFonts w:cs="Arial"/>
          <w:b/>
          <w:color w:val="000000" w:themeColor="text1"/>
          <w:szCs w:val="16"/>
          <w:shd w:val="clear" w:color="auto" w:fill="FFFFFF"/>
        </w:rPr>
      </w:pPr>
      <w:r w:rsidRPr="00781112">
        <w:rPr>
          <w:rFonts w:cs="Arial"/>
          <w:b/>
          <w:color w:val="000000" w:themeColor="text1"/>
          <w:szCs w:val="16"/>
        </w:rPr>
        <w:t>The SEA, (or, in the case of a district-wide assessment, LEA) must make available to the public, and report to the public with the same frequency and in the same detail as it reports on the assessment of nondisabled children: (1) the number of children with disabilities participating in: (a) regular assessments, and the number of those children who were provided accommodations in order to participate in those assessments; and (b) alternate assessments aligned with alternate achievement standards; and (2) the performance of children with disabilities on regular assessments and on alternate assessments, compared with the achievement of all children, including children with disabilities, on those assessments. [20 U.S.C. 1412 (a)(16)(D); 34 CFR §300.160(f)]</w:t>
      </w:r>
      <w:r w:rsidRPr="00781112">
        <w:rPr>
          <w:rFonts w:cs="Arial"/>
          <w:b/>
          <w:color w:val="000000" w:themeColor="text1"/>
          <w:szCs w:val="16"/>
          <w:shd w:val="clear" w:color="auto" w:fill="FFFFFF"/>
        </w:rPr>
        <w:t xml:space="preserve"> </w:t>
      </w:r>
    </w:p>
    <w:p w14:paraId="24575108" w14:textId="77777777" w:rsidR="00A134AA" w:rsidRPr="00781112" w:rsidRDefault="00A134AA" w:rsidP="00A134AA">
      <w:pPr>
        <w:rPr>
          <w:color w:val="000000" w:themeColor="text1"/>
        </w:rPr>
      </w:pPr>
    </w:p>
    <w:p w14:paraId="44CC67C3" w14:textId="77777777" w:rsidR="00A134AA" w:rsidRPr="00781112" w:rsidRDefault="00A134AA" w:rsidP="00A134AA">
      <w:pPr>
        <w:rPr>
          <w:color w:val="000000" w:themeColor="text1"/>
        </w:rPr>
      </w:pPr>
      <w:r w:rsidRPr="00781112">
        <w:rPr>
          <w:b/>
          <w:color w:val="000000" w:themeColor="text1"/>
        </w:rPr>
        <w:t>Public Reporting Information</w:t>
      </w:r>
    </w:p>
    <w:p w14:paraId="70B58518" w14:textId="77777777" w:rsidR="00A134AA" w:rsidRPr="00781112" w:rsidRDefault="00A134AA" w:rsidP="00A134AA">
      <w:pPr>
        <w:rPr>
          <w:rFonts w:cs="Arial"/>
          <w:b/>
          <w:color w:val="000000" w:themeColor="text1"/>
          <w:szCs w:val="16"/>
        </w:rPr>
      </w:pPr>
      <w:r w:rsidRPr="00781112">
        <w:rPr>
          <w:rFonts w:cs="Arial"/>
          <w:b/>
          <w:color w:val="000000" w:themeColor="text1"/>
          <w:szCs w:val="16"/>
        </w:rPr>
        <w:t xml:space="preserve">Provide links to the page(s) where you provide public reports of assessment results. </w:t>
      </w:r>
    </w:p>
    <w:p w14:paraId="7EBFE113" w14:textId="047A82C9" w:rsidR="00A134AA" w:rsidRPr="00781112" w:rsidRDefault="00A134AA" w:rsidP="00A134AA">
      <w:pPr>
        <w:rPr>
          <w:rFonts w:cs="Arial"/>
          <w:color w:val="000000" w:themeColor="text1"/>
          <w:szCs w:val="16"/>
        </w:rPr>
      </w:pPr>
      <w:r w:rsidRPr="00781112">
        <w:rPr>
          <w:rFonts w:cs="Arial"/>
          <w:color w:val="000000" w:themeColor="text1"/>
          <w:szCs w:val="16"/>
        </w:rPr>
        <w:t>Public reporting is available in a spreadsheet in the section "Participation and Achievement in the State Assessments" on this web page: http://www.cde.state.co.us/cdesped/sped_data</w:t>
      </w:r>
      <w:r w:rsidRPr="00781112">
        <w:rPr>
          <w:rFonts w:cs="Arial"/>
          <w:color w:val="000000" w:themeColor="text1"/>
          <w:szCs w:val="16"/>
        </w:rPr>
        <w:br/>
      </w:r>
      <w:r w:rsidRPr="00781112">
        <w:rPr>
          <w:rFonts w:cs="Arial"/>
          <w:color w:val="000000" w:themeColor="text1"/>
          <w:szCs w:val="16"/>
        </w:rPr>
        <w:br/>
        <w:t>Reporting of the Colorado Measures of Academic Success data in accordance with 34 CFR §300.160(f) can be found at:</w:t>
      </w:r>
      <w:r w:rsidRPr="00781112">
        <w:rPr>
          <w:rFonts w:cs="Arial"/>
          <w:color w:val="000000" w:themeColor="text1"/>
          <w:szCs w:val="16"/>
        </w:rPr>
        <w:br/>
        <w:t>http://www.cde.state.co.us/assessment/cmas-dataandresults</w:t>
      </w:r>
      <w:r w:rsidRPr="00781112">
        <w:rPr>
          <w:rFonts w:cs="Arial"/>
          <w:color w:val="000000" w:themeColor="text1"/>
          <w:szCs w:val="16"/>
        </w:rPr>
        <w:br/>
        <w:t xml:space="preserve"> </w:t>
      </w:r>
      <w:r w:rsidRPr="00781112">
        <w:rPr>
          <w:rFonts w:cs="Arial"/>
          <w:color w:val="000000" w:themeColor="text1"/>
          <w:szCs w:val="16"/>
        </w:rPr>
        <w:br/>
        <w:t>Performance results for Colorado’s Alternate Assessment (CoAlt), based on alternate standards can be found on the CDE’s website at:</w:t>
      </w:r>
      <w:r w:rsidRPr="00781112">
        <w:rPr>
          <w:rFonts w:cs="Arial"/>
          <w:color w:val="000000" w:themeColor="text1"/>
          <w:szCs w:val="16"/>
        </w:rPr>
        <w:br/>
        <w:t>http://www.cde.state.co.us/assessment/newassess-coaltelam</w:t>
      </w:r>
      <w:r w:rsidRPr="00781112">
        <w:rPr>
          <w:rFonts w:cs="Arial"/>
          <w:color w:val="000000" w:themeColor="text1"/>
          <w:szCs w:val="16"/>
        </w:rPr>
        <w:br/>
        <w:t xml:space="preserve">http://www.cde.state.co.us/assessment/newassess-coaltsss </w:t>
      </w:r>
      <w:r w:rsidRPr="00781112">
        <w:rPr>
          <w:rFonts w:cs="Arial"/>
          <w:color w:val="000000" w:themeColor="text1"/>
          <w:szCs w:val="16"/>
        </w:rPr>
        <w:br/>
      </w:r>
      <w:r w:rsidRPr="00781112">
        <w:rPr>
          <w:rFonts w:cs="Arial"/>
          <w:color w:val="000000" w:themeColor="text1"/>
          <w:szCs w:val="16"/>
        </w:rPr>
        <w:br/>
        <w:t xml:space="preserve">Additional district or individual school information can be found at </w:t>
      </w:r>
      <w:r w:rsidRPr="00781112">
        <w:rPr>
          <w:rFonts w:cs="Arial"/>
          <w:color w:val="000000" w:themeColor="text1"/>
          <w:szCs w:val="16"/>
        </w:rPr>
        <w:br/>
        <w:t>http://www.cde.state.co.us/schoolview</w:t>
      </w:r>
    </w:p>
    <w:p w14:paraId="222AA3BE" w14:textId="77777777" w:rsidR="00A134AA" w:rsidRPr="00781112" w:rsidRDefault="00A134AA" w:rsidP="00A134AA">
      <w:pPr>
        <w:rPr>
          <w:b/>
          <w:color w:val="000000" w:themeColor="text1"/>
        </w:rPr>
      </w:pPr>
      <w:r w:rsidRPr="00781112">
        <w:rPr>
          <w:b/>
          <w:color w:val="000000" w:themeColor="text1"/>
        </w:rPr>
        <w:t>Provide additional information about this indicator (optional)</w:t>
      </w:r>
    </w:p>
    <w:p w14:paraId="58D88404" w14:textId="4712EC2F" w:rsidR="00A134AA" w:rsidRPr="00781112" w:rsidRDefault="00A134AA" w:rsidP="00A134AA">
      <w:pPr>
        <w:rPr>
          <w:rFonts w:cs="Arial"/>
          <w:color w:val="000000" w:themeColor="text1"/>
          <w:szCs w:val="16"/>
        </w:rPr>
      </w:pPr>
    </w:p>
    <w:p w14:paraId="0F4E9E40" w14:textId="77777777" w:rsidR="00B725C2" w:rsidRPr="00781112" w:rsidRDefault="00B725C2">
      <w:pPr>
        <w:spacing w:before="0" w:after="200" w:line="276" w:lineRule="auto"/>
        <w:rPr>
          <w:b/>
          <w:color w:val="000000" w:themeColor="text1"/>
        </w:rPr>
      </w:pPr>
    </w:p>
    <w:p w14:paraId="3BECD360" w14:textId="5C269016" w:rsidR="00361CFA" w:rsidRPr="00781112" w:rsidRDefault="00361CFA" w:rsidP="00361CFA">
      <w:pPr>
        <w:pStyle w:val="Heading2"/>
      </w:pPr>
      <w:r w:rsidRPr="00781112">
        <w:t>3</w:t>
      </w:r>
      <w:r w:rsidR="00DD4E25" w:rsidRPr="00781112">
        <w:t>A</w:t>
      </w:r>
      <w:r w:rsidRPr="00781112">
        <w:t xml:space="preserve"> - Prior FFY Required Actions</w:t>
      </w:r>
    </w:p>
    <w:p w14:paraId="0775D2DC" w14:textId="32AC04CD" w:rsidR="00361CFA" w:rsidRPr="00781112" w:rsidRDefault="00361CFA" w:rsidP="00361CFA">
      <w:pPr>
        <w:rPr>
          <w:rFonts w:cs="Arial"/>
          <w:color w:val="000000" w:themeColor="text1"/>
          <w:szCs w:val="16"/>
        </w:rPr>
      </w:pPr>
      <w:r w:rsidRPr="00781112">
        <w:rPr>
          <w:rFonts w:cs="Arial"/>
          <w:color w:val="000000" w:themeColor="text1"/>
          <w:szCs w:val="16"/>
        </w:rPr>
        <w:t>None</w:t>
      </w:r>
    </w:p>
    <w:p w14:paraId="743B5B9F" w14:textId="1841BC80" w:rsidR="00361CFA" w:rsidRPr="00781112" w:rsidRDefault="00361CFA" w:rsidP="00361CFA">
      <w:pPr>
        <w:pStyle w:val="Heading2"/>
      </w:pPr>
      <w:r w:rsidRPr="00781112">
        <w:t>3</w:t>
      </w:r>
      <w:r w:rsidR="00DD4E25" w:rsidRPr="00781112">
        <w:t>A</w:t>
      </w:r>
      <w:r w:rsidRPr="00781112">
        <w:t xml:space="preserve"> - OSEP Response</w:t>
      </w:r>
    </w:p>
    <w:p w14:paraId="2436D21B" w14:textId="251DD46D" w:rsidR="00361CFA" w:rsidRPr="00781112" w:rsidRDefault="00361CFA" w:rsidP="00361CFA">
      <w:pPr>
        <w:rPr>
          <w:rFonts w:cs="Arial"/>
          <w:color w:val="000000" w:themeColor="text1"/>
          <w:szCs w:val="16"/>
        </w:rPr>
      </w:pPr>
    </w:p>
    <w:p w14:paraId="66272CA6" w14:textId="0C9AB332" w:rsidR="00361CFA" w:rsidRPr="00781112" w:rsidRDefault="00361CFA" w:rsidP="00361CFA">
      <w:pPr>
        <w:pStyle w:val="Heading2"/>
      </w:pPr>
      <w:r w:rsidRPr="00781112">
        <w:t>3</w:t>
      </w:r>
      <w:r w:rsidR="00DD4E25" w:rsidRPr="00781112">
        <w:t>A</w:t>
      </w:r>
      <w:r w:rsidRPr="00781112">
        <w:t xml:space="preserve"> - Required Actions</w:t>
      </w:r>
    </w:p>
    <w:p w14:paraId="07E8CA27" w14:textId="1D50FC01" w:rsidR="00361CFA" w:rsidRPr="00781112" w:rsidRDefault="00361CFA" w:rsidP="00361CFA">
      <w:pPr>
        <w:rPr>
          <w:rFonts w:cs="Arial"/>
          <w:color w:val="000000" w:themeColor="text1"/>
          <w:szCs w:val="16"/>
        </w:rPr>
      </w:pPr>
    </w:p>
    <w:p w14:paraId="70908578" w14:textId="7D14B33B" w:rsidR="00553A47" w:rsidRPr="00781112" w:rsidRDefault="00553A47">
      <w:pPr>
        <w:spacing w:before="0" w:after="200" w:line="276" w:lineRule="auto"/>
        <w:rPr>
          <w:rFonts w:eastAsiaTheme="majorEastAsia" w:cstheme="majorBidi"/>
          <w:b/>
          <w:bCs/>
          <w:color w:val="000000" w:themeColor="text1"/>
          <w:sz w:val="20"/>
          <w:szCs w:val="16"/>
        </w:rPr>
      </w:pPr>
      <w:r w:rsidRPr="00781112">
        <w:rPr>
          <w:color w:val="000000" w:themeColor="text1"/>
          <w:szCs w:val="16"/>
        </w:rPr>
        <w:br w:type="page"/>
      </w:r>
    </w:p>
    <w:p w14:paraId="4B525DFA" w14:textId="76C42186" w:rsidR="009D378C" w:rsidRPr="00781112" w:rsidRDefault="009D378C" w:rsidP="004369B2">
      <w:pPr>
        <w:pStyle w:val="Heading1"/>
        <w:rPr>
          <w:color w:val="000000" w:themeColor="text1"/>
          <w:sz w:val="22"/>
        </w:rPr>
      </w:pPr>
      <w:r w:rsidRPr="00781112">
        <w:rPr>
          <w:color w:val="000000" w:themeColor="text1"/>
          <w:sz w:val="22"/>
        </w:rPr>
        <w:lastRenderedPageBreak/>
        <w:t xml:space="preserve">Indicator 3B: Proficiency for Children with IEPs (Grade Level Academic Achievement Standards) </w:t>
      </w:r>
      <w:bookmarkEnd w:id="10"/>
      <w:bookmarkEnd w:id="11"/>
    </w:p>
    <w:p w14:paraId="66C662B8" w14:textId="77777777" w:rsidR="007C3C89" w:rsidRPr="00781112" w:rsidRDefault="007C3C89" w:rsidP="00A018D4">
      <w:pPr>
        <w:rPr>
          <w:color w:val="000000" w:themeColor="text1"/>
          <w:szCs w:val="20"/>
        </w:rPr>
      </w:pPr>
      <w:bookmarkStart w:id="13" w:name="_Toc392159271"/>
      <w:r w:rsidRPr="00781112">
        <w:rPr>
          <w:b/>
          <w:color w:val="000000" w:themeColor="text1"/>
          <w:sz w:val="20"/>
          <w:szCs w:val="20"/>
        </w:rPr>
        <w:t>Instructions and Measurement</w:t>
      </w:r>
    </w:p>
    <w:p w14:paraId="31EC23C7" w14:textId="5EB5B691" w:rsidR="0085119E" w:rsidRPr="00781112" w:rsidRDefault="0085119E" w:rsidP="004369B2">
      <w:pPr>
        <w:rPr>
          <w:color w:val="000000" w:themeColor="text1"/>
        </w:rPr>
      </w:pPr>
      <w:r w:rsidRPr="00781112">
        <w:rPr>
          <w:b/>
          <w:color w:val="000000" w:themeColor="text1"/>
        </w:rPr>
        <w:t>Monitoring Priority:</w:t>
      </w:r>
      <w:r w:rsidRPr="00781112">
        <w:rPr>
          <w:color w:val="000000" w:themeColor="text1"/>
        </w:rPr>
        <w:t xml:space="preserve"> FAPE in the LRE</w:t>
      </w:r>
    </w:p>
    <w:p w14:paraId="2F546D74" w14:textId="7751A5DC" w:rsidR="005873EB" w:rsidRPr="00781112" w:rsidRDefault="0085119E" w:rsidP="00552927">
      <w:pPr>
        <w:rPr>
          <w:rFonts w:cs="Arial"/>
          <w:color w:val="000000" w:themeColor="text1"/>
          <w:szCs w:val="16"/>
        </w:rPr>
      </w:pPr>
      <w:r w:rsidRPr="00781112">
        <w:rPr>
          <w:rFonts w:cs="Arial"/>
          <w:b/>
          <w:color w:val="000000" w:themeColor="text1"/>
          <w:szCs w:val="16"/>
        </w:rPr>
        <w:t>Results indicator</w:t>
      </w:r>
      <w:r w:rsidRPr="00781112">
        <w:rPr>
          <w:rFonts w:cs="Arial"/>
          <w:color w:val="000000" w:themeColor="text1"/>
          <w:szCs w:val="16"/>
        </w:rPr>
        <w:t>:</w:t>
      </w:r>
      <w:r w:rsidR="00131842" w:rsidRPr="00781112">
        <w:rPr>
          <w:rFonts w:cs="Arial"/>
          <w:color w:val="000000" w:themeColor="text1"/>
          <w:szCs w:val="16"/>
        </w:rPr>
        <w:t xml:space="preserve"> </w:t>
      </w:r>
      <w:r w:rsidR="005873EB" w:rsidRPr="00781112">
        <w:rPr>
          <w:rFonts w:cs="Arial"/>
          <w:color w:val="000000" w:themeColor="text1"/>
          <w:szCs w:val="16"/>
        </w:rPr>
        <w:t xml:space="preserve">Participation and performance </w:t>
      </w:r>
      <w:r w:rsidR="00C960B4" w:rsidRPr="00781112">
        <w:rPr>
          <w:rFonts w:cs="Arial"/>
          <w:color w:val="000000" w:themeColor="text1"/>
          <w:szCs w:val="16"/>
        </w:rPr>
        <w:t xml:space="preserve">of </w:t>
      </w:r>
      <w:r w:rsidR="005873EB" w:rsidRPr="00781112">
        <w:rPr>
          <w:rFonts w:cs="Arial"/>
          <w:color w:val="000000" w:themeColor="text1"/>
          <w:szCs w:val="16"/>
        </w:rPr>
        <w:t>children with IEPs on statewide</w:t>
      </w:r>
      <w:r w:rsidR="00A14AEA" w:rsidRPr="00781112">
        <w:rPr>
          <w:rFonts w:cs="Arial"/>
          <w:color w:val="000000" w:themeColor="text1"/>
          <w:szCs w:val="16"/>
        </w:rPr>
        <w:t xml:space="preserve"> assessments:</w:t>
      </w:r>
    </w:p>
    <w:p w14:paraId="4F752398" w14:textId="77777777" w:rsidR="001B1437" w:rsidRPr="00781112" w:rsidRDefault="001B1437" w:rsidP="001B1437">
      <w:pPr>
        <w:ind w:firstLine="720"/>
        <w:rPr>
          <w:rFonts w:cs="Arial"/>
          <w:color w:val="000000" w:themeColor="text1"/>
          <w:szCs w:val="16"/>
        </w:rPr>
      </w:pPr>
      <w:r w:rsidRPr="00781112">
        <w:rPr>
          <w:rFonts w:cs="Arial"/>
          <w:color w:val="000000" w:themeColor="text1"/>
          <w:szCs w:val="16"/>
        </w:rPr>
        <w:t>A. Participation rate for children with IEPs.</w:t>
      </w:r>
    </w:p>
    <w:p w14:paraId="5BE34F5D" w14:textId="77777777" w:rsidR="001B1437" w:rsidRPr="00781112" w:rsidRDefault="001B1437" w:rsidP="001B1437">
      <w:pPr>
        <w:ind w:firstLine="720"/>
        <w:rPr>
          <w:rFonts w:cs="Arial"/>
          <w:color w:val="000000" w:themeColor="text1"/>
          <w:szCs w:val="16"/>
        </w:rPr>
      </w:pPr>
      <w:r w:rsidRPr="00781112">
        <w:rPr>
          <w:rFonts w:cs="Arial"/>
          <w:color w:val="000000" w:themeColor="text1"/>
          <w:szCs w:val="16"/>
        </w:rPr>
        <w:t xml:space="preserve">B. </w:t>
      </w:r>
      <w:r w:rsidRPr="00781112">
        <w:rPr>
          <w:rFonts w:cs="Arial"/>
          <w:szCs w:val="16"/>
        </w:rPr>
        <w:t>Proficiency rate for children with IEPs against grade level academic achievement standards.</w:t>
      </w:r>
    </w:p>
    <w:p w14:paraId="3A689820" w14:textId="77777777" w:rsidR="001B1437" w:rsidRPr="00781112" w:rsidRDefault="001B1437" w:rsidP="001B1437">
      <w:pPr>
        <w:ind w:firstLine="720"/>
        <w:rPr>
          <w:rFonts w:cs="Arial"/>
          <w:color w:val="000000" w:themeColor="text1"/>
          <w:szCs w:val="16"/>
        </w:rPr>
      </w:pPr>
      <w:r w:rsidRPr="00781112">
        <w:rPr>
          <w:rFonts w:cs="Arial"/>
          <w:color w:val="000000" w:themeColor="text1"/>
          <w:szCs w:val="16"/>
        </w:rPr>
        <w:t>C. Proficiency rate for children with IEPs against alternate academic achievement standards.</w:t>
      </w:r>
    </w:p>
    <w:p w14:paraId="59A0C855" w14:textId="77777777" w:rsidR="001B1437" w:rsidRPr="00781112" w:rsidRDefault="001B1437" w:rsidP="001B1437">
      <w:pPr>
        <w:ind w:firstLine="720"/>
        <w:rPr>
          <w:rFonts w:cs="Arial"/>
          <w:color w:val="000000" w:themeColor="text1"/>
          <w:szCs w:val="16"/>
        </w:rPr>
      </w:pPr>
      <w:r w:rsidRPr="00781112">
        <w:rPr>
          <w:rFonts w:cs="Arial"/>
          <w:color w:val="000000" w:themeColor="text1"/>
          <w:szCs w:val="16"/>
        </w:rPr>
        <w:t>D.</w:t>
      </w:r>
      <w:r w:rsidRPr="00781112">
        <w:rPr>
          <w:rFonts w:cs="Arial"/>
          <w:szCs w:val="16"/>
        </w:rPr>
        <w:t xml:space="preserve"> Gap in proficiency rates for children with IEPs and all students against grade level academic achievement standards.</w:t>
      </w:r>
    </w:p>
    <w:p w14:paraId="08325460" w14:textId="77777777" w:rsidR="001B1437" w:rsidRPr="00781112" w:rsidRDefault="001B1437" w:rsidP="001B1437">
      <w:pPr>
        <w:rPr>
          <w:rFonts w:cs="Arial"/>
          <w:color w:val="000000" w:themeColor="text1"/>
          <w:szCs w:val="16"/>
        </w:rPr>
      </w:pPr>
      <w:r w:rsidRPr="00781112">
        <w:rPr>
          <w:rFonts w:cs="Arial"/>
          <w:color w:val="000000" w:themeColor="text1"/>
          <w:szCs w:val="16"/>
        </w:rPr>
        <w:t>(20 U.S.C. 1416 (a)(3)(A))</w:t>
      </w:r>
    </w:p>
    <w:p w14:paraId="17F5F231" w14:textId="77777777" w:rsidR="005873EB" w:rsidRPr="00781112" w:rsidRDefault="005873EB" w:rsidP="004369B2">
      <w:pPr>
        <w:rPr>
          <w:color w:val="000000" w:themeColor="text1"/>
        </w:rPr>
      </w:pPr>
      <w:r w:rsidRPr="00781112">
        <w:rPr>
          <w:b/>
          <w:color w:val="000000" w:themeColor="text1"/>
        </w:rPr>
        <w:t>Data Source</w:t>
      </w:r>
    </w:p>
    <w:p w14:paraId="74E3B0EF" w14:textId="680BE39A" w:rsidR="00A14AEA" w:rsidRPr="0075451F" w:rsidRDefault="00A14AEA" w:rsidP="002621F6">
      <w:pPr>
        <w:rPr>
          <w:rFonts w:cs="Arial"/>
          <w:szCs w:val="16"/>
        </w:rPr>
      </w:pPr>
      <w:r w:rsidRPr="00781112">
        <w:rPr>
          <w:rFonts w:cs="Arial"/>
          <w:color w:val="000000" w:themeColor="text1"/>
          <w:szCs w:val="16"/>
        </w:rPr>
        <w:t>3B. Same data as used for reporting to the Department under Title I of the ESEA, using ED</w:t>
      </w:r>
      <w:r w:rsidRPr="00BA3DBE">
        <w:rPr>
          <w:rFonts w:cs="Arial"/>
          <w:i/>
          <w:iCs/>
          <w:color w:val="000000" w:themeColor="text1"/>
          <w:szCs w:val="16"/>
        </w:rPr>
        <w:t>Facts</w:t>
      </w:r>
      <w:r w:rsidRPr="00781112">
        <w:rPr>
          <w:rFonts w:cs="Arial"/>
          <w:color w:val="000000" w:themeColor="text1"/>
          <w:szCs w:val="16"/>
        </w:rPr>
        <w:t xml:space="preserve"> file specifications </w:t>
      </w:r>
      <w:r w:rsidR="001B1437" w:rsidRPr="00781112">
        <w:rPr>
          <w:rFonts w:cs="Arial"/>
          <w:szCs w:val="16"/>
        </w:rPr>
        <w:t>FS175 and 178.</w:t>
      </w:r>
    </w:p>
    <w:p w14:paraId="58C69CDD" w14:textId="77777777" w:rsidR="005873EB" w:rsidRPr="00781112" w:rsidRDefault="005873EB" w:rsidP="004369B2">
      <w:pPr>
        <w:rPr>
          <w:color w:val="000000" w:themeColor="text1"/>
        </w:rPr>
      </w:pPr>
      <w:r w:rsidRPr="00781112">
        <w:rPr>
          <w:b/>
          <w:color w:val="000000" w:themeColor="text1"/>
        </w:rPr>
        <w:t>Measurement</w:t>
      </w:r>
    </w:p>
    <w:p w14:paraId="1B72B9D8" w14:textId="6F544A48" w:rsidR="00781112" w:rsidRPr="00781112" w:rsidRDefault="00A14AEA" w:rsidP="004369B2">
      <w:pPr>
        <w:rPr>
          <w:rFonts w:cs="Arial"/>
          <w:szCs w:val="16"/>
        </w:rPr>
      </w:pPr>
      <w:r w:rsidRPr="00781112">
        <w:rPr>
          <w:rFonts w:cs="Arial"/>
          <w:color w:val="000000" w:themeColor="text1"/>
          <w:szCs w:val="16"/>
        </w:rPr>
        <w:t xml:space="preserve">B. </w:t>
      </w:r>
      <w:r w:rsidR="001B1437" w:rsidRPr="00781112">
        <w:rPr>
          <w:rFonts w:cs="Arial"/>
          <w:szCs w:val="16"/>
        </w:rPr>
        <w:t>Proficiency rate percent = [(# of children with IEPs scoring at or above proficient against grade level academic achievement standards) divided by the (total # of children with IEPs who received a valid score and for whom a proficiency level was assigned for the regular assessment)]. Calculate separately for reading and math. Calculate separately for grades 4, 8, and high school. The proficiency rate includes both children with IEPs enrolled for a full academic year and those not enrolled for a full academic year</w:t>
      </w:r>
      <w:r w:rsidR="00C239D6" w:rsidRPr="00781112">
        <w:rPr>
          <w:rFonts w:cs="Arial"/>
          <w:szCs w:val="16"/>
        </w:rPr>
        <w:t>.</w:t>
      </w:r>
    </w:p>
    <w:p w14:paraId="13B81A44" w14:textId="77777777" w:rsidR="005873EB" w:rsidRPr="00781112" w:rsidRDefault="005873EB" w:rsidP="004369B2">
      <w:pPr>
        <w:rPr>
          <w:color w:val="000000" w:themeColor="text1"/>
        </w:rPr>
      </w:pPr>
      <w:r w:rsidRPr="00781112">
        <w:rPr>
          <w:b/>
          <w:color w:val="000000" w:themeColor="text1"/>
        </w:rPr>
        <w:t>Instructions</w:t>
      </w:r>
    </w:p>
    <w:p w14:paraId="5315B3F5" w14:textId="77777777" w:rsidR="00A14AEA" w:rsidRPr="00781112" w:rsidRDefault="00A14AEA" w:rsidP="002621F6">
      <w:pPr>
        <w:rPr>
          <w:rFonts w:cs="Arial"/>
          <w:color w:val="000000" w:themeColor="text1"/>
          <w:szCs w:val="16"/>
        </w:rPr>
      </w:pPr>
      <w:r w:rsidRPr="00781112">
        <w:rPr>
          <w:rFonts w:cs="Arial"/>
          <w:color w:val="000000" w:themeColor="text1"/>
          <w:szCs w:val="16"/>
        </w:rPr>
        <w:t>Describe the results of the calculations and compare the results to the targets. Provide the actual numbers used in the calculation.</w:t>
      </w:r>
    </w:p>
    <w:p w14:paraId="02A5AC14" w14:textId="77777777" w:rsidR="00A14AEA" w:rsidRPr="00781112" w:rsidRDefault="00A14AEA" w:rsidP="002621F6">
      <w:pPr>
        <w:rPr>
          <w:rFonts w:cs="Arial"/>
          <w:color w:val="000000" w:themeColor="text1"/>
          <w:szCs w:val="16"/>
        </w:rPr>
      </w:pPr>
      <w:r w:rsidRPr="00781112">
        <w:rPr>
          <w:rFonts w:cs="Arial"/>
          <w:color w:val="000000" w:themeColor="text1"/>
          <w:szCs w:val="16"/>
        </w:rPr>
        <w:t>Include information regarding where to find public reports of assessment participation and performance results, as required by 34 CFR §300.160(f), i.e., a link to the Web site where these data are reported.</w:t>
      </w:r>
    </w:p>
    <w:p w14:paraId="28C72839" w14:textId="5218735C" w:rsidR="00A14AEA" w:rsidRPr="00781112" w:rsidRDefault="00A14AEA" w:rsidP="002621F6">
      <w:pPr>
        <w:rPr>
          <w:rFonts w:cs="Arial"/>
          <w:color w:val="000000" w:themeColor="text1"/>
          <w:szCs w:val="16"/>
        </w:rPr>
      </w:pPr>
      <w:r w:rsidRPr="00781112">
        <w:rPr>
          <w:rFonts w:cs="Arial"/>
          <w:color w:val="000000" w:themeColor="text1"/>
          <w:szCs w:val="16"/>
        </w:rPr>
        <w:t xml:space="preserve">Indicator 3B: </w:t>
      </w:r>
      <w:r w:rsidR="001B1437" w:rsidRPr="00781112">
        <w:rPr>
          <w:rFonts w:cs="Arial"/>
          <w:szCs w:val="16"/>
        </w:rPr>
        <w:t>Proficiency calculations in this SPP/APR must result in proficiency rates for children with IEPs on the regular assessment in reading/language arts and mathematics assessments (separately) in each of the following grades: 4, 8, and high school, including both children with IEPs enrolled for a full academic year and those not enrolled for a full academic year. Only include children with disabilities who had an IEP at the time of testing.</w:t>
      </w:r>
    </w:p>
    <w:p w14:paraId="4CDFE310" w14:textId="3FF11C15" w:rsidR="00677C8C" w:rsidRPr="00781112" w:rsidRDefault="00573F6C" w:rsidP="008645AD">
      <w:pPr>
        <w:pStyle w:val="Heading2"/>
      </w:pPr>
      <w:r w:rsidRPr="00781112">
        <w:t>3B</w:t>
      </w:r>
      <w:r w:rsidR="00BB4FD7" w:rsidRPr="00781112">
        <w:t xml:space="preserve"> </w:t>
      </w:r>
      <w:r w:rsidRPr="00781112">
        <w:t xml:space="preserve">- </w:t>
      </w:r>
      <w:r w:rsidR="00677C8C" w:rsidRPr="00781112">
        <w:t>Indicator Data</w:t>
      </w:r>
    </w:p>
    <w:bookmarkEnd w:id="13"/>
    <w:p w14:paraId="515AEF58" w14:textId="26D7E3C2" w:rsidR="00E539AB" w:rsidRPr="00781112" w:rsidRDefault="00E539AB" w:rsidP="004369B2">
      <w:pPr>
        <w:rPr>
          <w:b/>
          <w:color w:val="000000" w:themeColor="text1"/>
        </w:rPr>
      </w:pPr>
      <w:r w:rsidRPr="00781112">
        <w:rPr>
          <w:b/>
          <w:color w:val="000000" w:themeColor="text1"/>
        </w:rPr>
        <w:t xml:space="preserve">Historical Data: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B03BHISTDATA"/>
      </w:tblPr>
      <w:tblGrid>
        <w:gridCol w:w="1588"/>
        <w:gridCol w:w="1588"/>
        <w:gridCol w:w="2538"/>
        <w:gridCol w:w="2538"/>
        <w:gridCol w:w="2538"/>
      </w:tblGrid>
      <w:tr w:rsidR="00E87854" w:rsidRPr="00781112" w14:paraId="12417720" w14:textId="77777777" w:rsidTr="009725F4">
        <w:trPr>
          <w:trHeight w:val="368"/>
          <w:tblHeader/>
        </w:trPr>
        <w:tc>
          <w:tcPr>
            <w:tcW w:w="736" w:type="pct"/>
            <w:tcBorders>
              <w:top w:val="single" w:sz="4" w:space="0" w:color="auto"/>
            </w:tcBorders>
            <w:vAlign w:val="center"/>
          </w:tcPr>
          <w:p w14:paraId="7EC3C39F" w14:textId="77777777" w:rsidR="00E87854" w:rsidRPr="00781112" w:rsidRDefault="00E87854" w:rsidP="00827FF4">
            <w:pPr>
              <w:jc w:val="center"/>
              <w:rPr>
                <w:rFonts w:cs="Arial"/>
                <w:b/>
                <w:color w:val="000000" w:themeColor="text1"/>
                <w:szCs w:val="16"/>
              </w:rPr>
            </w:pPr>
            <w:r w:rsidRPr="00781112">
              <w:rPr>
                <w:rFonts w:cs="Arial"/>
                <w:b/>
                <w:color w:val="000000" w:themeColor="text1"/>
                <w:szCs w:val="16"/>
              </w:rPr>
              <w:t>Subject</w:t>
            </w:r>
          </w:p>
        </w:tc>
        <w:tc>
          <w:tcPr>
            <w:tcW w:w="736" w:type="pct"/>
            <w:tcBorders>
              <w:top w:val="single" w:sz="4" w:space="0" w:color="auto"/>
            </w:tcBorders>
            <w:shd w:val="clear" w:color="auto" w:fill="auto"/>
            <w:vAlign w:val="center"/>
          </w:tcPr>
          <w:p w14:paraId="3734B12F" w14:textId="77777777" w:rsidR="00E87854" w:rsidRPr="00781112" w:rsidRDefault="00E87854" w:rsidP="00827FF4">
            <w:pPr>
              <w:jc w:val="center"/>
              <w:rPr>
                <w:rFonts w:cs="Arial"/>
                <w:b/>
                <w:color w:val="000000" w:themeColor="text1"/>
                <w:szCs w:val="16"/>
              </w:rPr>
            </w:pPr>
            <w:r w:rsidRPr="00781112">
              <w:rPr>
                <w:rFonts w:cs="Arial"/>
                <w:b/>
                <w:color w:val="000000" w:themeColor="text1"/>
                <w:szCs w:val="16"/>
              </w:rPr>
              <w:t xml:space="preserve">Group </w:t>
            </w:r>
          </w:p>
        </w:tc>
        <w:tc>
          <w:tcPr>
            <w:tcW w:w="1176" w:type="pct"/>
            <w:tcBorders>
              <w:top w:val="single" w:sz="4" w:space="0" w:color="auto"/>
            </w:tcBorders>
            <w:shd w:val="clear" w:color="auto" w:fill="auto"/>
            <w:vAlign w:val="center"/>
          </w:tcPr>
          <w:p w14:paraId="7B7E2CD1" w14:textId="77777777" w:rsidR="00E87854" w:rsidRPr="00781112" w:rsidRDefault="00E87854" w:rsidP="00827FF4">
            <w:pPr>
              <w:jc w:val="center"/>
              <w:rPr>
                <w:rFonts w:cs="Arial"/>
                <w:b/>
                <w:color w:val="000000" w:themeColor="text1"/>
                <w:szCs w:val="16"/>
              </w:rPr>
            </w:pPr>
            <w:r w:rsidRPr="00781112">
              <w:rPr>
                <w:rFonts w:cs="Arial"/>
                <w:b/>
                <w:color w:val="000000" w:themeColor="text1"/>
                <w:szCs w:val="16"/>
              </w:rPr>
              <w:t xml:space="preserve">Group Name </w:t>
            </w:r>
          </w:p>
        </w:tc>
        <w:tc>
          <w:tcPr>
            <w:tcW w:w="1176" w:type="pct"/>
            <w:tcBorders>
              <w:top w:val="single" w:sz="4" w:space="0" w:color="auto"/>
            </w:tcBorders>
            <w:shd w:val="clear" w:color="auto" w:fill="auto"/>
            <w:vAlign w:val="center"/>
          </w:tcPr>
          <w:p w14:paraId="328A387A" w14:textId="77777777" w:rsidR="00E87854" w:rsidRPr="00781112" w:rsidRDefault="00E87854" w:rsidP="00827FF4">
            <w:pPr>
              <w:jc w:val="center"/>
              <w:rPr>
                <w:rFonts w:cs="Arial"/>
                <w:b/>
                <w:color w:val="000000" w:themeColor="text1"/>
                <w:szCs w:val="16"/>
              </w:rPr>
            </w:pPr>
            <w:r w:rsidRPr="00781112">
              <w:rPr>
                <w:rFonts w:cs="Arial"/>
                <w:b/>
                <w:color w:val="000000" w:themeColor="text1"/>
                <w:szCs w:val="16"/>
              </w:rPr>
              <w:t xml:space="preserve">Baseline Year </w:t>
            </w:r>
          </w:p>
        </w:tc>
        <w:tc>
          <w:tcPr>
            <w:tcW w:w="1176" w:type="pct"/>
            <w:tcBorders>
              <w:top w:val="single" w:sz="4" w:space="0" w:color="auto"/>
            </w:tcBorders>
            <w:vAlign w:val="center"/>
          </w:tcPr>
          <w:p w14:paraId="7BA55F2F" w14:textId="77777777" w:rsidR="00E87854" w:rsidRPr="00781112" w:rsidRDefault="00E87854" w:rsidP="00827FF4">
            <w:pPr>
              <w:jc w:val="center"/>
              <w:rPr>
                <w:rFonts w:cs="Arial"/>
                <w:b/>
                <w:color w:val="000000" w:themeColor="text1"/>
                <w:szCs w:val="16"/>
              </w:rPr>
            </w:pPr>
            <w:r w:rsidRPr="00781112">
              <w:rPr>
                <w:rFonts w:cs="Arial"/>
                <w:b/>
                <w:color w:val="000000" w:themeColor="text1"/>
                <w:szCs w:val="16"/>
              </w:rPr>
              <w:t>Baseline Data</w:t>
            </w:r>
          </w:p>
        </w:tc>
      </w:tr>
      <w:tr w:rsidR="00E87854" w:rsidRPr="00781112" w14:paraId="4037BAD8" w14:textId="77777777" w:rsidTr="00360DD6">
        <w:trPr>
          <w:trHeight w:val="368"/>
        </w:trPr>
        <w:tc>
          <w:tcPr>
            <w:tcW w:w="736" w:type="pct"/>
            <w:vAlign w:val="center"/>
          </w:tcPr>
          <w:p w14:paraId="7483D393" w14:textId="77777777" w:rsidR="00E87854" w:rsidRPr="00781112" w:rsidRDefault="00E87854" w:rsidP="00827FF4">
            <w:pPr>
              <w:spacing w:before="0" w:after="0"/>
              <w:jc w:val="center"/>
              <w:rPr>
                <w:rFonts w:cs="Arial"/>
                <w:b/>
                <w:bCs/>
                <w:color w:val="000000" w:themeColor="text1"/>
                <w:szCs w:val="16"/>
              </w:rPr>
            </w:pPr>
            <w:r w:rsidRPr="00781112">
              <w:rPr>
                <w:rFonts w:cs="Arial"/>
                <w:szCs w:val="16"/>
              </w:rPr>
              <w:t>Reading</w:t>
            </w:r>
          </w:p>
        </w:tc>
        <w:tc>
          <w:tcPr>
            <w:tcW w:w="736" w:type="pct"/>
            <w:shd w:val="clear" w:color="auto" w:fill="auto"/>
            <w:vAlign w:val="center"/>
          </w:tcPr>
          <w:p w14:paraId="00589D27" w14:textId="77777777" w:rsidR="00E87854" w:rsidRPr="00781112" w:rsidRDefault="00E87854" w:rsidP="00827FF4">
            <w:pPr>
              <w:spacing w:before="0" w:after="0"/>
              <w:jc w:val="center"/>
              <w:rPr>
                <w:rFonts w:cs="Arial"/>
                <w:color w:val="000000" w:themeColor="text1"/>
                <w:szCs w:val="16"/>
              </w:rPr>
            </w:pPr>
            <w:r w:rsidRPr="00781112">
              <w:rPr>
                <w:rFonts w:cs="Arial"/>
                <w:color w:val="000000" w:themeColor="text1"/>
                <w:szCs w:val="16"/>
              </w:rPr>
              <w:t>A</w:t>
            </w:r>
          </w:p>
        </w:tc>
        <w:tc>
          <w:tcPr>
            <w:tcW w:w="1176" w:type="pct"/>
            <w:shd w:val="clear" w:color="auto" w:fill="auto"/>
            <w:vAlign w:val="center"/>
          </w:tcPr>
          <w:p w14:paraId="62918043" w14:textId="606DEBBA" w:rsidR="00E87854" w:rsidRPr="00781112" w:rsidRDefault="00E87854" w:rsidP="00827FF4">
            <w:pPr>
              <w:jc w:val="center"/>
              <w:rPr>
                <w:rFonts w:cs="Arial"/>
                <w:color w:val="000000" w:themeColor="text1"/>
                <w:szCs w:val="16"/>
              </w:rPr>
            </w:pPr>
            <w:r w:rsidRPr="00781112">
              <w:rPr>
                <w:rFonts w:cs="Arial"/>
                <w:color w:val="000000" w:themeColor="text1"/>
                <w:szCs w:val="16"/>
              </w:rPr>
              <w:t>Grade 4</w:t>
            </w:r>
          </w:p>
        </w:tc>
        <w:tc>
          <w:tcPr>
            <w:tcW w:w="1176" w:type="pct"/>
            <w:shd w:val="clear" w:color="auto" w:fill="auto"/>
            <w:vAlign w:val="center"/>
          </w:tcPr>
          <w:p w14:paraId="02F272CC" w14:textId="71E3B85C" w:rsidR="00E87854" w:rsidRPr="00781112" w:rsidRDefault="00E87854" w:rsidP="00827FF4">
            <w:pPr>
              <w:jc w:val="center"/>
              <w:rPr>
                <w:rFonts w:cs="Arial"/>
                <w:color w:val="000000" w:themeColor="text1"/>
                <w:szCs w:val="16"/>
              </w:rPr>
            </w:pPr>
            <w:r w:rsidRPr="00781112">
              <w:rPr>
                <w:rFonts w:cs="Arial"/>
                <w:color w:val="000000" w:themeColor="text1"/>
                <w:szCs w:val="16"/>
              </w:rPr>
              <w:t>2018</w:t>
            </w:r>
          </w:p>
        </w:tc>
        <w:tc>
          <w:tcPr>
            <w:tcW w:w="1176" w:type="pct"/>
            <w:vAlign w:val="center"/>
          </w:tcPr>
          <w:p w14:paraId="2A2A9F8D" w14:textId="7B983B8C" w:rsidR="00E87854" w:rsidRPr="00781112" w:rsidRDefault="00E87854" w:rsidP="00827FF4">
            <w:pPr>
              <w:spacing w:before="0" w:after="0"/>
              <w:jc w:val="center"/>
              <w:rPr>
                <w:color w:val="000000" w:themeColor="text1"/>
              </w:rPr>
            </w:pPr>
            <w:r w:rsidRPr="00781112">
              <w:rPr>
                <w:rFonts w:cs="Arial"/>
                <w:color w:val="000000" w:themeColor="text1"/>
                <w:szCs w:val="16"/>
              </w:rPr>
              <w:t>10.39%</w:t>
            </w:r>
          </w:p>
        </w:tc>
      </w:tr>
      <w:tr w:rsidR="00E87854" w:rsidRPr="00781112" w14:paraId="60278D71" w14:textId="77777777" w:rsidTr="00360DD6">
        <w:trPr>
          <w:trHeight w:val="368"/>
        </w:trPr>
        <w:tc>
          <w:tcPr>
            <w:tcW w:w="736" w:type="pct"/>
            <w:vAlign w:val="center"/>
          </w:tcPr>
          <w:p w14:paraId="3507BA0D" w14:textId="77777777" w:rsidR="00E87854" w:rsidRPr="00781112" w:rsidRDefault="00E87854" w:rsidP="00827FF4">
            <w:pPr>
              <w:spacing w:before="0" w:after="0"/>
              <w:jc w:val="center"/>
              <w:rPr>
                <w:rFonts w:cs="Arial"/>
                <w:b/>
                <w:bCs/>
                <w:color w:val="000000" w:themeColor="text1"/>
                <w:szCs w:val="16"/>
              </w:rPr>
            </w:pPr>
            <w:r w:rsidRPr="00781112">
              <w:rPr>
                <w:rFonts w:cs="Arial"/>
                <w:szCs w:val="16"/>
              </w:rPr>
              <w:t>Reading</w:t>
            </w:r>
          </w:p>
        </w:tc>
        <w:tc>
          <w:tcPr>
            <w:tcW w:w="736" w:type="pct"/>
            <w:shd w:val="clear" w:color="auto" w:fill="auto"/>
            <w:vAlign w:val="center"/>
          </w:tcPr>
          <w:p w14:paraId="04794670" w14:textId="77777777" w:rsidR="00E87854" w:rsidRPr="00781112" w:rsidRDefault="00E87854" w:rsidP="00827FF4">
            <w:pPr>
              <w:spacing w:before="0" w:after="0"/>
              <w:jc w:val="center"/>
              <w:rPr>
                <w:rFonts w:cs="Arial"/>
                <w:color w:val="000000" w:themeColor="text1"/>
                <w:szCs w:val="16"/>
              </w:rPr>
            </w:pPr>
            <w:r w:rsidRPr="00781112">
              <w:rPr>
                <w:rFonts w:cs="Arial"/>
                <w:color w:val="000000" w:themeColor="text1"/>
                <w:szCs w:val="16"/>
              </w:rPr>
              <w:t>B</w:t>
            </w:r>
          </w:p>
        </w:tc>
        <w:tc>
          <w:tcPr>
            <w:tcW w:w="1176" w:type="pct"/>
            <w:shd w:val="clear" w:color="auto" w:fill="auto"/>
            <w:vAlign w:val="center"/>
          </w:tcPr>
          <w:p w14:paraId="3B8FF5A1" w14:textId="37E21D7F" w:rsidR="00E87854" w:rsidRPr="00781112" w:rsidRDefault="00E87854" w:rsidP="00827FF4">
            <w:pPr>
              <w:spacing w:before="0" w:after="0"/>
              <w:jc w:val="center"/>
              <w:rPr>
                <w:rFonts w:cs="Arial"/>
                <w:color w:val="000000" w:themeColor="text1"/>
                <w:szCs w:val="16"/>
              </w:rPr>
            </w:pPr>
            <w:r w:rsidRPr="00781112">
              <w:rPr>
                <w:rFonts w:cs="Arial"/>
                <w:color w:val="000000" w:themeColor="text1"/>
                <w:szCs w:val="16"/>
              </w:rPr>
              <w:t>Grade 8</w:t>
            </w:r>
          </w:p>
        </w:tc>
        <w:tc>
          <w:tcPr>
            <w:tcW w:w="1176" w:type="pct"/>
            <w:shd w:val="clear" w:color="auto" w:fill="auto"/>
            <w:vAlign w:val="center"/>
          </w:tcPr>
          <w:p w14:paraId="1CCEEB25" w14:textId="1C22E745" w:rsidR="00E87854" w:rsidRPr="00781112" w:rsidRDefault="00E87854" w:rsidP="00827FF4">
            <w:pPr>
              <w:jc w:val="center"/>
              <w:rPr>
                <w:rFonts w:cs="Arial"/>
                <w:color w:val="000000" w:themeColor="text1"/>
                <w:szCs w:val="16"/>
              </w:rPr>
            </w:pPr>
            <w:r w:rsidRPr="00781112">
              <w:rPr>
                <w:rFonts w:cs="Arial"/>
                <w:color w:val="000000" w:themeColor="text1"/>
                <w:szCs w:val="16"/>
              </w:rPr>
              <w:t>2018</w:t>
            </w:r>
          </w:p>
        </w:tc>
        <w:tc>
          <w:tcPr>
            <w:tcW w:w="1176" w:type="pct"/>
            <w:vAlign w:val="center"/>
          </w:tcPr>
          <w:p w14:paraId="491FB31F" w14:textId="070EC956" w:rsidR="00E87854" w:rsidRPr="00781112" w:rsidRDefault="00E87854" w:rsidP="00827FF4">
            <w:pPr>
              <w:spacing w:before="0" w:after="0"/>
              <w:jc w:val="center"/>
              <w:rPr>
                <w:rFonts w:cs="Arial"/>
                <w:color w:val="000000" w:themeColor="text1"/>
                <w:szCs w:val="16"/>
              </w:rPr>
            </w:pPr>
            <w:r w:rsidRPr="00781112">
              <w:rPr>
                <w:rFonts w:cs="Arial"/>
                <w:color w:val="000000" w:themeColor="text1"/>
                <w:szCs w:val="16"/>
              </w:rPr>
              <w:t>7.20%</w:t>
            </w:r>
          </w:p>
        </w:tc>
      </w:tr>
      <w:tr w:rsidR="00E87854" w:rsidRPr="00781112" w14:paraId="2E17CFEC" w14:textId="77777777" w:rsidTr="00360DD6">
        <w:trPr>
          <w:trHeight w:val="368"/>
        </w:trPr>
        <w:tc>
          <w:tcPr>
            <w:tcW w:w="736" w:type="pct"/>
            <w:vAlign w:val="center"/>
          </w:tcPr>
          <w:p w14:paraId="686A1871" w14:textId="77777777" w:rsidR="00E87854" w:rsidRPr="00781112" w:rsidRDefault="00E87854" w:rsidP="00827FF4">
            <w:pPr>
              <w:spacing w:before="0" w:after="0"/>
              <w:jc w:val="center"/>
              <w:rPr>
                <w:rFonts w:cs="Arial"/>
                <w:b/>
                <w:bCs/>
                <w:color w:val="000000" w:themeColor="text1"/>
                <w:szCs w:val="16"/>
              </w:rPr>
            </w:pPr>
            <w:r w:rsidRPr="00781112">
              <w:rPr>
                <w:rFonts w:cs="Arial"/>
                <w:szCs w:val="16"/>
              </w:rPr>
              <w:t>Reading</w:t>
            </w:r>
          </w:p>
        </w:tc>
        <w:tc>
          <w:tcPr>
            <w:tcW w:w="736" w:type="pct"/>
            <w:shd w:val="clear" w:color="auto" w:fill="auto"/>
            <w:vAlign w:val="center"/>
          </w:tcPr>
          <w:p w14:paraId="49389293" w14:textId="77777777" w:rsidR="00E87854" w:rsidRPr="00781112" w:rsidRDefault="00E87854" w:rsidP="00827FF4">
            <w:pPr>
              <w:spacing w:before="0" w:after="0"/>
              <w:jc w:val="center"/>
              <w:rPr>
                <w:rFonts w:cs="Arial"/>
                <w:color w:val="000000" w:themeColor="text1"/>
                <w:szCs w:val="16"/>
              </w:rPr>
            </w:pPr>
            <w:r w:rsidRPr="00781112">
              <w:rPr>
                <w:rFonts w:cs="Arial"/>
                <w:color w:val="000000" w:themeColor="text1"/>
                <w:szCs w:val="16"/>
              </w:rPr>
              <w:t>C</w:t>
            </w:r>
          </w:p>
        </w:tc>
        <w:tc>
          <w:tcPr>
            <w:tcW w:w="1176" w:type="pct"/>
            <w:shd w:val="clear" w:color="auto" w:fill="auto"/>
            <w:vAlign w:val="center"/>
          </w:tcPr>
          <w:p w14:paraId="1A5BDDFB" w14:textId="2058F5F3" w:rsidR="00E87854" w:rsidRPr="00781112" w:rsidRDefault="00E87854" w:rsidP="00827FF4">
            <w:pPr>
              <w:jc w:val="center"/>
              <w:rPr>
                <w:rFonts w:cs="Arial"/>
                <w:color w:val="000000" w:themeColor="text1"/>
                <w:szCs w:val="16"/>
              </w:rPr>
            </w:pPr>
            <w:r w:rsidRPr="00781112">
              <w:rPr>
                <w:rFonts w:cs="Arial"/>
                <w:color w:val="000000" w:themeColor="text1"/>
                <w:szCs w:val="16"/>
              </w:rPr>
              <w:t>Grade HS</w:t>
            </w:r>
          </w:p>
        </w:tc>
        <w:tc>
          <w:tcPr>
            <w:tcW w:w="1176" w:type="pct"/>
            <w:shd w:val="clear" w:color="auto" w:fill="auto"/>
            <w:vAlign w:val="center"/>
          </w:tcPr>
          <w:p w14:paraId="515FB216" w14:textId="6B3B7253" w:rsidR="00E87854" w:rsidRPr="00781112" w:rsidRDefault="00E87854" w:rsidP="00827FF4">
            <w:pPr>
              <w:jc w:val="center"/>
              <w:rPr>
                <w:rFonts w:cs="Arial"/>
                <w:color w:val="000000" w:themeColor="text1"/>
                <w:szCs w:val="16"/>
              </w:rPr>
            </w:pPr>
            <w:r w:rsidRPr="00781112">
              <w:rPr>
                <w:rFonts w:cs="Arial"/>
                <w:color w:val="000000" w:themeColor="text1"/>
                <w:szCs w:val="16"/>
              </w:rPr>
              <w:t>2020</w:t>
            </w:r>
          </w:p>
        </w:tc>
        <w:tc>
          <w:tcPr>
            <w:tcW w:w="1176" w:type="pct"/>
            <w:vAlign w:val="center"/>
          </w:tcPr>
          <w:p w14:paraId="5F3FCFE8" w14:textId="7784B726" w:rsidR="00E87854" w:rsidRPr="00781112" w:rsidRDefault="00E87854" w:rsidP="00827FF4">
            <w:pPr>
              <w:spacing w:before="0" w:after="0"/>
              <w:jc w:val="center"/>
              <w:rPr>
                <w:rFonts w:cs="Arial"/>
                <w:color w:val="000000" w:themeColor="text1"/>
                <w:szCs w:val="16"/>
              </w:rPr>
            </w:pPr>
            <w:r w:rsidRPr="00781112">
              <w:rPr>
                <w:rFonts w:cs="Arial"/>
                <w:color w:val="000000" w:themeColor="text1"/>
                <w:szCs w:val="16"/>
              </w:rPr>
              <w:t>17.07%</w:t>
            </w:r>
          </w:p>
        </w:tc>
      </w:tr>
      <w:tr w:rsidR="00E87854" w:rsidRPr="00781112" w14:paraId="2DE181AC" w14:textId="77777777" w:rsidTr="00360DD6">
        <w:trPr>
          <w:trHeight w:val="368"/>
        </w:trPr>
        <w:tc>
          <w:tcPr>
            <w:tcW w:w="736" w:type="pct"/>
            <w:vAlign w:val="center"/>
          </w:tcPr>
          <w:p w14:paraId="62906600" w14:textId="77777777" w:rsidR="00E87854" w:rsidRPr="00781112" w:rsidRDefault="00E87854" w:rsidP="00827FF4">
            <w:pPr>
              <w:spacing w:before="0" w:after="0"/>
              <w:jc w:val="center"/>
              <w:rPr>
                <w:rFonts w:cs="Arial"/>
                <w:b/>
                <w:bCs/>
                <w:color w:val="000000" w:themeColor="text1"/>
                <w:szCs w:val="16"/>
              </w:rPr>
            </w:pPr>
            <w:r w:rsidRPr="00781112">
              <w:rPr>
                <w:rFonts w:cs="Arial"/>
                <w:szCs w:val="16"/>
              </w:rPr>
              <w:t>Math</w:t>
            </w:r>
          </w:p>
        </w:tc>
        <w:tc>
          <w:tcPr>
            <w:tcW w:w="736" w:type="pct"/>
            <w:shd w:val="clear" w:color="auto" w:fill="auto"/>
            <w:vAlign w:val="center"/>
          </w:tcPr>
          <w:p w14:paraId="58A602F6" w14:textId="77777777" w:rsidR="00E87854" w:rsidRPr="00781112" w:rsidRDefault="00E87854" w:rsidP="00827FF4">
            <w:pPr>
              <w:spacing w:before="0" w:after="0"/>
              <w:jc w:val="center"/>
              <w:rPr>
                <w:rFonts w:cs="Arial"/>
                <w:color w:val="000000" w:themeColor="text1"/>
                <w:szCs w:val="16"/>
              </w:rPr>
            </w:pPr>
            <w:r w:rsidRPr="00781112">
              <w:rPr>
                <w:rFonts w:cs="Arial"/>
                <w:color w:val="000000" w:themeColor="text1"/>
                <w:szCs w:val="16"/>
              </w:rPr>
              <w:t>A</w:t>
            </w:r>
          </w:p>
        </w:tc>
        <w:tc>
          <w:tcPr>
            <w:tcW w:w="1176" w:type="pct"/>
            <w:shd w:val="clear" w:color="auto" w:fill="auto"/>
            <w:vAlign w:val="center"/>
          </w:tcPr>
          <w:p w14:paraId="73CC85F5" w14:textId="434951B5" w:rsidR="00E87854" w:rsidRPr="00781112" w:rsidRDefault="00E87854" w:rsidP="00827FF4">
            <w:pPr>
              <w:spacing w:before="0" w:after="0"/>
              <w:jc w:val="center"/>
              <w:rPr>
                <w:rFonts w:cs="Arial"/>
                <w:color w:val="000000" w:themeColor="text1"/>
                <w:szCs w:val="16"/>
              </w:rPr>
            </w:pPr>
            <w:r w:rsidRPr="00781112">
              <w:rPr>
                <w:rFonts w:cs="Arial"/>
                <w:color w:val="000000" w:themeColor="text1"/>
                <w:szCs w:val="16"/>
              </w:rPr>
              <w:t>Grade 4</w:t>
            </w:r>
          </w:p>
        </w:tc>
        <w:tc>
          <w:tcPr>
            <w:tcW w:w="1176" w:type="pct"/>
            <w:shd w:val="clear" w:color="auto" w:fill="auto"/>
            <w:vAlign w:val="center"/>
          </w:tcPr>
          <w:p w14:paraId="083C0C1B" w14:textId="1213FD2B" w:rsidR="00E87854" w:rsidRPr="00781112" w:rsidRDefault="00E87854" w:rsidP="00827FF4">
            <w:pPr>
              <w:jc w:val="center"/>
              <w:rPr>
                <w:rFonts w:cs="Arial"/>
                <w:color w:val="000000" w:themeColor="text1"/>
                <w:szCs w:val="16"/>
              </w:rPr>
            </w:pPr>
            <w:r w:rsidRPr="00781112">
              <w:rPr>
                <w:rFonts w:cs="Arial"/>
                <w:color w:val="000000" w:themeColor="text1"/>
                <w:szCs w:val="16"/>
              </w:rPr>
              <w:t>2018</w:t>
            </w:r>
          </w:p>
        </w:tc>
        <w:tc>
          <w:tcPr>
            <w:tcW w:w="1176" w:type="pct"/>
            <w:vAlign w:val="center"/>
          </w:tcPr>
          <w:p w14:paraId="02A92448" w14:textId="0F5F274D" w:rsidR="00E87854" w:rsidRPr="00781112" w:rsidRDefault="00E87854" w:rsidP="00827FF4">
            <w:pPr>
              <w:spacing w:before="0" w:after="0"/>
              <w:jc w:val="center"/>
              <w:rPr>
                <w:rFonts w:cs="Arial"/>
                <w:color w:val="000000" w:themeColor="text1"/>
                <w:szCs w:val="16"/>
              </w:rPr>
            </w:pPr>
            <w:r w:rsidRPr="00781112">
              <w:rPr>
                <w:rFonts w:cs="Arial"/>
                <w:color w:val="000000" w:themeColor="text1"/>
                <w:szCs w:val="16"/>
              </w:rPr>
              <w:t>8.34%</w:t>
            </w:r>
          </w:p>
        </w:tc>
      </w:tr>
      <w:tr w:rsidR="00E87854" w:rsidRPr="00781112" w14:paraId="15831A3C" w14:textId="77777777" w:rsidTr="00360DD6">
        <w:trPr>
          <w:trHeight w:val="368"/>
        </w:trPr>
        <w:tc>
          <w:tcPr>
            <w:tcW w:w="736" w:type="pct"/>
            <w:vAlign w:val="center"/>
          </w:tcPr>
          <w:p w14:paraId="3F388113" w14:textId="77777777" w:rsidR="00E87854" w:rsidRPr="00781112" w:rsidRDefault="00E87854" w:rsidP="00827FF4">
            <w:pPr>
              <w:spacing w:before="0" w:after="0"/>
              <w:jc w:val="center"/>
              <w:rPr>
                <w:rFonts w:cs="Arial"/>
                <w:b/>
                <w:bCs/>
                <w:color w:val="000000" w:themeColor="text1"/>
                <w:szCs w:val="16"/>
              </w:rPr>
            </w:pPr>
            <w:r w:rsidRPr="00781112">
              <w:rPr>
                <w:rFonts w:cs="Arial"/>
                <w:szCs w:val="16"/>
              </w:rPr>
              <w:t>Math</w:t>
            </w:r>
          </w:p>
        </w:tc>
        <w:tc>
          <w:tcPr>
            <w:tcW w:w="736" w:type="pct"/>
            <w:shd w:val="clear" w:color="auto" w:fill="auto"/>
            <w:vAlign w:val="center"/>
          </w:tcPr>
          <w:p w14:paraId="75BC7B5C" w14:textId="77777777" w:rsidR="00E87854" w:rsidRPr="00781112" w:rsidRDefault="00E87854" w:rsidP="00827FF4">
            <w:pPr>
              <w:spacing w:before="0" w:after="0"/>
              <w:jc w:val="center"/>
              <w:rPr>
                <w:rFonts w:cs="Arial"/>
                <w:color w:val="000000" w:themeColor="text1"/>
                <w:szCs w:val="16"/>
              </w:rPr>
            </w:pPr>
            <w:r w:rsidRPr="00781112">
              <w:rPr>
                <w:rFonts w:cs="Arial"/>
                <w:color w:val="000000" w:themeColor="text1"/>
                <w:szCs w:val="16"/>
              </w:rPr>
              <w:t>B</w:t>
            </w:r>
          </w:p>
        </w:tc>
        <w:tc>
          <w:tcPr>
            <w:tcW w:w="1176" w:type="pct"/>
            <w:shd w:val="clear" w:color="auto" w:fill="auto"/>
            <w:vAlign w:val="center"/>
          </w:tcPr>
          <w:p w14:paraId="5AD560DF" w14:textId="6ED06A7D" w:rsidR="00E87854" w:rsidRPr="00781112" w:rsidRDefault="00E87854" w:rsidP="00827FF4">
            <w:pPr>
              <w:jc w:val="center"/>
              <w:rPr>
                <w:rFonts w:cs="Arial"/>
                <w:color w:val="000000" w:themeColor="text1"/>
                <w:szCs w:val="16"/>
              </w:rPr>
            </w:pPr>
            <w:r w:rsidRPr="00781112">
              <w:rPr>
                <w:rFonts w:cs="Arial"/>
                <w:color w:val="000000" w:themeColor="text1"/>
                <w:szCs w:val="16"/>
              </w:rPr>
              <w:t>Grade 8</w:t>
            </w:r>
          </w:p>
        </w:tc>
        <w:tc>
          <w:tcPr>
            <w:tcW w:w="1176" w:type="pct"/>
            <w:shd w:val="clear" w:color="auto" w:fill="auto"/>
            <w:vAlign w:val="center"/>
          </w:tcPr>
          <w:p w14:paraId="46F22CF1" w14:textId="7783498C" w:rsidR="00E87854" w:rsidRPr="00781112" w:rsidRDefault="00E87854" w:rsidP="00827FF4">
            <w:pPr>
              <w:jc w:val="center"/>
              <w:rPr>
                <w:rFonts w:cs="Arial"/>
                <w:color w:val="000000" w:themeColor="text1"/>
                <w:szCs w:val="16"/>
              </w:rPr>
            </w:pPr>
            <w:r w:rsidRPr="00781112">
              <w:rPr>
                <w:rFonts w:cs="Arial"/>
                <w:color w:val="000000" w:themeColor="text1"/>
                <w:szCs w:val="16"/>
              </w:rPr>
              <w:t>2018</w:t>
            </w:r>
          </w:p>
        </w:tc>
        <w:tc>
          <w:tcPr>
            <w:tcW w:w="1176" w:type="pct"/>
            <w:vAlign w:val="center"/>
          </w:tcPr>
          <w:p w14:paraId="53B302E6" w14:textId="2F431F68" w:rsidR="00E87854" w:rsidRPr="00781112" w:rsidRDefault="00E87854" w:rsidP="00827FF4">
            <w:pPr>
              <w:spacing w:before="0" w:after="0"/>
              <w:jc w:val="center"/>
              <w:rPr>
                <w:rFonts w:cs="Arial"/>
                <w:color w:val="000000" w:themeColor="text1"/>
                <w:szCs w:val="16"/>
              </w:rPr>
            </w:pPr>
            <w:r w:rsidRPr="00781112">
              <w:rPr>
                <w:rFonts w:cs="Arial"/>
                <w:color w:val="000000" w:themeColor="text1"/>
                <w:szCs w:val="16"/>
              </w:rPr>
              <w:t>5.36%</w:t>
            </w:r>
          </w:p>
        </w:tc>
      </w:tr>
      <w:tr w:rsidR="00E87854" w:rsidRPr="00781112" w14:paraId="5866D3B1" w14:textId="77777777" w:rsidTr="00360DD6">
        <w:trPr>
          <w:trHeight w:val="368"/>
        </w:trPr>
        <w:tc>
          <w:tcPr>
            <w:tcW w:w="736" w:type="pct"/>
            <w:vAlign w:val="center"/>
          </w:tcPr>
          <w:p w14:paraId="619219C1" w14:textId="77777777" w:rsidR="00E87854" w:rsidRPr="00781112" w:rsidRDefault="00E87854" w:rsidP="00827FF4">
            <w:pPr>
              <w:spacing w:before="0" w:after="0"/>
              <w:jc w:val="center"/>
              <w:rPr>
                <w:rFonts w:cs="Arial"/>
                <w:b/>
                <w:bCs/>
                <w:color w:val="000000" w:themeColor="text1"/>
                <w:szCs w:val="16"/>
              </w:rPr>
            </w:pPr>
            <w:r w:rsidRPr="00781112">
              <w:rPr>
                <w:rFonts w:cs="Arial"/>
                <w:szCs w:val="16"/>
              </w:rPr>
              <w:t>Math</w:t>
            </w:r>
          </w:p>
        </w:tc>
        <w:tc>
          <w:tcPr>
            <w:tcW w:w="736" w:type="pct"/>
            <w:shd w:val="clear" w:color="auto" w:fill="auto"/>
            <w:vAlign w:val="center"/>
          </w:tcPr>
          <w:p w14:paraId="3CF2F687" w14:textId="77777777" w:rsidR="00E87854" w:rsidRPr="00781112" w:rsidRDefault="00E87854" w:rsidP="00827FF4">
            <w:pPr>
              <w:spacing w:before="0" w:after="0"/>
              <w:jc w:val="center"/>
              <w:rPr>
                <w:rFonts w:cs="Arial"/>
                <w:color w:val="000000" w:themeColor="text1"/>
                <w:szCs w:val="16"/>
              </w:rPr>
            </w:pPr>
            <w:r w:rsidRPr="00781112">
              <w:rPr>
                <w:rFonts w:cs="Arial"/>
                <w:color w:val="000000" w:themeColor="text1"/>
                <w:szCs w:val="16"/>
              </w:rPr>
              <w:t>C</w:t>
            </w:r>
          </w:p>
        </w:tc>
        <w:tc>
          <w:tcPr>
            <w:tcW w:w="1176" w:type="pct"/>
            <w:shd w:val="clear" w:color="auto" w:fill="auto"/>
            <w:vAlign w:val="center"/>
          </w:tcPr>
          <w:p w14:paraId="4FE864B8" w14:textId="002FA991" w:rsidR="00E87854" w:rsidRPr="00781112" w:rsidRDefault="00E87854" w:rsidP="00827FF4">
            <w:pPr>
              <w:spacing w:before="0" w:after="0"/>
              <w:jc w:val="center"/>
              <w:rPr>
                <w:rFonts w:cs="Arial"/>
                <w:color w:val="000000" w:themeColor="text1"/>
                <w:szCs w:val="16"/>
              </w:rPr>
            </w:pPr>
            <w:r w:rsidRPr="00781112">
              <w:rPr>
                <w:rFonts w:cs="Arial"/>
                <w:color w:val="000000" w:themeColor="text1"/>
                <w:szCs w:val="16"/>
              </w:rPr>
              <w:t>Grade HS</w:t>
            </w:r>
          </w:p>
        </w:tc>
        <w:tc>
          <w:tcPr>
            <w:tcW w:w="1176" w:type="pct"/>
            <w:shd w:val="clear" w:color="auto" w:fill="auto"/>
            <w:vAlign w:val="center"/>
          </w:tcPr>
          <w:p w14:paraId="216CD238" w14:textId="75E8822F" w:rsidR="00E87854" w:rsidRPr="00781112" w:rsidRDefault="00E87854" w:rsidP="00827FF4">
            <w:pPr>
              <w:jc w:val="center"/>
              <w:rPr>
                <w:rFonts w:cs="Arial"/>
                <w:color w:val="000000" w:themeColor="text1"/>
                <w:szCs w:val="16"/>
              </w:rPr>
            </w:pPr>
            <w:r w:rsidRPr="00781112">
              <w:rPr>
                <w:rFonts w:cs="Arial"/>
                <w:color w:val="000000" w:themeColor="text1"/>
                <w:szCs w:val="16"/>
              </w:rPr>
              <w:t>2020</w:t>
            </w:r>
          </w:p>
        </w:tc>
        <w:tc>
          <w:tcPr>
            <w:tcW w:w="1176" w:type="pct"/>
            <w:vAlign w:val="center"/>
          </w:tcPr>
          <w:p w14:paraId="66C96CFB" w14:textId="3BA21F14" w:rsidR="00E87854" w:rsidRPr="00781112" w:rsidRDefault="00E87854" w:rsidP="00827FF4">
            <w:pPr>
              <w:spacing w:before="0" w:after="0"/>
              <w:jc w:val="center"/>
              <w:rPr>
                <w:rFonts w:cs="Arial"/>
                <w:color w:val="000000" w:themeColor="text1"/>
                <w:szCs w:val="16"/>
              </w:rPr>
            </w:pPr>
            <w:r w:rsidRPr="00781112">
              <w:rPr>
                <w:rFonts w:cs="Arial"/>
                <w:color w:val="000000" w:themeColor="text1"/>
                <w:szCs w:val="16"/>
              </w:rPr>
              <w:t>5.93%</w:t>
            </w:r>
          </w:p>
        </w:tc>
      </w:tr>
    </w:tbl>
    <w:p w14:paraId="59FDF599" w14:textId="77777777" w:rsidR="00E87854" w:rsidRPr="00781112" w:rsidRDefault="00E87854" w:rsidP="004369B2">
      <w:pPr>
        <w:rPr>
          <w:b/>
          <w:color w:val="000000" w:themeColor="text1"/>
        </w:rPr>
      </w:pPr>
    </w:p>
    <w:p w14:paraId="4E5C7995" w14:textId="4B1994AB" w:rsidR="004D0044" w:rsidRPr="00781112" w:rsidRDefault="00AA3A41" w:rsidP="00AA3A41">
      <w:pPr>
        <w:tabs>
          <w:tab w:val="left" w:pos="2145"/>
        </w:tabs>
        <w:rPr>
          <w:color w:val="000000" w:themeColor="text1"/>
        </w:rPr>
      </w:pPr>
      <w:r>
        <w:rPr>
          <w:color w:val="000000" w:themeColor="text1"/>
        </w:rPr>
        <w:tab/>
      </w:r>
    </w:p>
    <w:p w14:paraId="38F110A8" w14:textId="3014A321" w:rsidR="00E539AB" w:rsidRPr="00781112" w:rsidRDefault="00E539AB" w:rsidP="004369B2">
      <w:pPr>
        <w:rPr>
          <w:b/>
          <w:color w:val="000000" w:themeColor="text1"/>
        </w:rPr>
      </w:pPr>
      <w:r w:rsidRPr="00781112">
        <w:rPr>
          <w:b/>
          <w:color w:val="000000" w:themeColor="text1"/>
        </w:rPr>
        <w:t>Targets</w:t>
      </w:r>
    </w:p>
    <w:tbl>
      <w:tblPr>
        <w:tblW w:w="38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B03BTARGETS"/>
      </w:tblPr>
      <w:tblGrid>
        <w:gridCol w:w="1196"/>
        <w:gridCol w:w="1201"/>
        <w:gridCol w:w="1201"/>
        <w:gridCol w:w="1201"/>
        <w:gridCol w:w="1201"/>
        <w:gridCol w:w="1201"/>
        <w:gridCol w:w="1196"/>
      </w:tblGrid>
      <w:tr w:rsidR="00B67FCE" w:rsidRPr="00781112" w14:paraId="241559C7" w14:textId="3976E689" w:rsidTr="00A87B90">
        <w:tc>
          <w:tcPr>
            <w:tcW w:w="713" w:type="pct"/>
            <w:tcBorders>
              <w:bottom w:val="single" w:sz="4" w:space="0" w:color="auto"/>
            </w:tcBorders>
            <w:shd w:val="clear" w:color="auto" w:fill="auto"/>
            <w:vAlign w:val="center"/>
          </w:tcPr>
          <w:p w14:paraId="5F6C0247" w14:textId="02A2F5D1" w:rsidR="00B67FCE" w:rsidRPr="00781112" w:rsidRDefault="00B67FCE" w:rsidP="00536B0B">
            <w:pPr>
              <w:jc w:val="center"/>
              <w:rPr>
                <w:b/>
                <w:color w:val="000000" w:themeColor="text1"/>
              </w:rPr>
            </w:pPr>
            <w:r w:rsidRPr="00781112">
              <w:rPr>
                <w:b/>
                <w:color w:val="000000" w:themeColor="text1"/>
              </w:rPr>
              <w:t>Subject</w:t>
            </w:r>
          </w:p>
        </w:tc>
        <w:tc>
          <w:tcPr>
            <w:tcW w:w="715" w:type="pct"/>
            <w:tcBorders>
              <w:bottom w:val="single" w:sz="4" w:space="0" w:color="auto"/>
            </w:tcBorders>
            <w:shd w:val="clear" w:color="auto" w:fill="auto"/>
            <w:vAlign w:val="center"/>
          </w:tcPr>
          <w:p w14:paraId="1318C08B" w14:textId="57349DD9" w:rsidR="00B67FCE" w:rsidRPr="00781112" w:rsidRDefault="00B67FCE" w:rsidP="00536B0B">
            <w:pPr>
              <w:jc w:val="center"/>
              <w:rPr>
                <w:b/>
                <w:color w:val="000000" w:themeColor="text1"/>
              </w:rPr>
            </w:pPr>
            <w:r w:rsidRPr="00781112">
              <w:rPr>
                <w:b/>
                <w:color w:val="000000" w:themeColor="text1"/>
              </w:rPr>
              <w:t>Group</w:t>
            </w:r>
          </w:p>
        </w:tc>
        <w:tc>
          <w:tcPr>
            <w:tcW w:w="715" w:type="pct"/>
            <w:shd w:val="clear" w:color="auto" w:fill="auto"/>
            <w:vAlign w:val="center"/>
          </w:tcPr>
          <w:p w14:paraId="7EAB09FA" w14:textId="030EC418" w:rsidR="00B67FCE" w:rsidRPr="00781112" w:rsidDel="008E7B87" w:rsidRDefault="00B67FCE" w:rsidP="00536B0B">
            <w:pPr>
              <w:jc w:val="center"/>
              <w:rPr>
                <w:b/>
                <w:color w:val="000000" w:themeColor="text1"/>
              </w:rPr>
            </w:pPr>
            <w:r w:rsidRPr="00781112">
              <w:rPr>
                <w:b/>
                <w:color w:val="000000" w:themeColor="text1"/>
              </w:rPr>
              <w:t>Group Name</w:t>
            </w:r>
          </w:p>
        </w:tc>
        <w:tc>
          <w:tcPr>
            <w:tcW w:w="715" w:type="pct"/>
            <w:shd w:val="clear" w:color="auto" w:fill="auto"/>
            <w:vAlign w:val="center"/>
          </w:tcPr>
          <w:p w14:paraId="547F4988" w14:textId="1F981DE2" w:rsidR="00B67FCE" w:rsidRPr="00781112" w:rsidRDefault="00B67FCE" w:rsidP="00536B0B">
            <w:pPr>
              <w:jc w:val="center"/>
              <w:rPr>
                <w:b/>
                <w:color w:val="000000" w:themeColor="text1"/>
              </w:rPr>
            </w:pPr>
            <w:r w:rsidRPr="00781112">
              <w:rPr>
                <w:b/>
                <w:color w:val="000000" w:themeColor="text1"/>
              </w:rPr>
              <w:t>2022</w:t>
            </w:r>
          </w:p>
        </w:tc>
        <w:tc>
          <w:tcPr>
            <w:tcW w:w="715" w:type="pct"/>
            <w:vAlign w:val="center"/>
          </w:tcPr>
          <w:p w14:paraId="54E0670C" w14:textId="46A8862B" w:rsidR="00B67FCE" w:rsidRPr="00781112" w:rsidRDefault="00B67FCE" w:rsidP="00536B0B">
            <w:pPr>
              <w:jc w:val="center"/>
              <w:rPr>
                <w:b/>
                <w:color w:val="000000" w:themeColor="text1"/>
              </w:rPr>
            </w:pPr>
            <w:r w:rsidRPr="00781112">
              <w:rPr>
                <w:rFonts w:cs="Arial"/>
                <w:b/>
                <w:color w:val="000000" w:themeColor="text1"/>
                <w:szCs w:val="16"/>
              </w:rPr>
              <w:t>2023</w:t>
            </w:r>
          </w:p>
        </w:tc>
        <w:tc>
          <w:tcPr>
            <w:tcW w:w="715" w:type="pct"/>
            <w:vAlign w:val="center"/>
          </w:tcPr>
          <w:p w14:paraId="0317CAEF" w14:textId="4A2FF736" w:rsidR="00B67FCE" w:rsidRPr="00781112" w:rsidRDefault="00B67FCE" w:rsidP="00536B0B">
            <w:pPr>
              <w:jc w:val="center"/>
              <w:rPr>
                <w:b/>
                <w:color w:val="000000" w:themeColor="text1"/>
              </w:rPr>
            </w:pPr>
            <w:r w:rsidRPr="00781112">
              <w:rPr>
                <w:rFonts w:cs="Arial"/>
                <w:b/>
                <w:color w:val="000000" w:themeColor="text1"/>
                <w:szCs w:val="16"/>
              </w:rPr>
              <w:t>2024</w:t>
            </w:r>
          </w:p>
        </w:tc>
        <w:tc>
          <w:tcPr>
            <w:tcW w:w="715" w:type="pct"/>
            <w:vAlign w:val="center"/>
          </w:tcPr>
          <w:p w14:paraId="20B86A7A" w14:textId="2D2BB96C" w:rsidR="00B67FCE" w:rsidRPr="00781112" w:rsidRDefault="00B67FCE" w:rsidP="00536B0B">
            <w:pPr>
              <w:jc w:val="center"/>
              <w:rPr>
                <w:b/>
                <w:color w:val="000000" w:themeColor="text1"/>
              </w:rPr>
            </w:pPr>
            <w:r w:rsidRPr="00781112">
              <w:rPr>
                <w:rFonts w:cs="Arial"/>
                <w:b/>
                <w:color w:val="000000" w:themeColor="text1"/>
                <w:szCs w:val="16"/>
              </w:rPr>
              <w:t>2025</w:t>
            </w:r>
          </w:p>
        </w:tc>
      </w:tr>
      <w:tr w:rsidR="00B67FCE" w:rsidRPr="00781112" w14:paraId="6D8B6989" w14:textId="160D0375" w:rsidTr="00A87B90">
        <w:tc>
          <w:tcPr>
            <w:tcW w:w="713" w:type="pct"/>
            <w:shd w:val="clear" w:color="auto" w:fill="auto"/>
            <w:vAlign w:val="center"/>
          </w:tcPr>
          <w:p w14:paraId="1B70FAC0" w14:textId="0849CE9C" w:rsidR="00B67FCE" w:rsidRPr="00781112" w:rsidRDefault="00B67FCE" w:rsidP="004E5C74">
            <w:pPr>
              <w:spacing w:before="0" w:after="0"/>
              <w:jc w:val="center"/>
              <w:rPr>
                <w:rFonts w:cs="Arial"/>
                <w:color w:val="000000" w:themeColor="text1"/>
                <w:szCs w:val="16"/>
              </w:rPr>
            </w:pPr>
            <w:r w:rsidRPr="00781112">
              <w:rPr>
                <w:rFonts w:cs="Arial"/>
                <w:color w:val="000000" w:themeColor="text1"/>
                <w:szCs w:val="16"/>
              </w:rPr>
              <w:t>Reading</w:t>
            </w:r>
          </w:p>
        </w:tc>
        <w:tc>
          <w:tcPr>
            <w:tcW w:w="715" w:type="pct"/>
            <w:shd w:val="clear" w:color="auto" w:fill="auto"/>
            <w:vAlign w:val="center"/>
          </w:tcPr>
          <w:p w14:paraId="6221F405" w14:textId="189877A2" w:rsidR="00B67FCE" w:rsidRPr="00781112" w:rsidRDefault="00B67FCE" w:rsidP="004E5C74">
            <w:pPr>
              <w:spacing w:before="0" w:after="0"/>
              <w:jc w:val="center"/>
              <w:rPr>
                <w:rFonts w:cs="Arial"/>
                <w:color w:val="000000" w:themeColor="text1"/>
                <w:szCs w:val="16"/>
              </w:rPr>
            </w:pPr>
            <w:r w:rsidRPr="00781112">
              <w:rPr>
                <w:rFonts w:cs="Arial"/>
                <w:color w:val="000000" w:themeColor="text1"/>
                <w:szCs w:val="16"/>
              </w:rPr>
              <w:t>A &gt;=</w:t>
            </w:r>
          </w:p>
        </w:tc>
        <w:tc>
          <w:tcPr>
            <w:tcW w:w="715" w:type="pct"/>
            <w:shd w:val="clear" w:color="auto" w:fill="auto"/>
            <w:vAlign w:val="center"/>
          </w:tcPr>
          <w:p w14:paraId="6D2C8AC8" w14:textId="0101FADC" w:rsidR="00B67FCE" w:rsidRPr="00781112" w:rsidDel="00DB0A73" w:rsidRDefault="00B67FCE" w:rsidP="004E5C74">
            <w:pPr>
              <w:jc w:val="center"/>
              <w:rPr>
                <w:rFonts w:cs="Arial"/>
                <w:color w:val="000000" w:themeColor="text1"/>
                <w:szCs w:val="16"/>
              </w:rPr>
            </w:pPr>
            <w:r w:rsidRPr="00781112">
              <w:rPr>
                <w:rFonts w:cs="Arial"/>
                <w:color w:val="000000" w:themeColor="text1"/>
                <w:szCs w:val="16"/>
              </w:rPr>
              <w:t>Grade 4</w:t>
            </w:r>
          </w:p>
        </w:tc>
        <w:tc>
          <w:tcPr>
            <w:tcW w:w="715" w:type="pct"/>
            <w:shd w:val="clear" w:color="auto" w:fill="auto"/>
            <w:vAlign w:val="center"/>
          </w:tcPr>
          <w:p w14:paraId="1794FDC8" w14:textId="2C32479D" w:rsidR="00B67FCE" w:rsidRPr="00781112" w:rsidRDefault="00B67FCE" w:rsidP="004E5C74">
            <w:pPr>
              <w:jc w:val="center"/>
              <w:rPr>
                <w:rFonts w:cs="Arial"/>
                <w:color w:val="000000" w:themeColor="text1"/>
                <w:szCs w:val="16"/>
              </w:rPr>
            </w:pPr>
            <w:r w:rsidRPr="00781112">
              <w:rPr>
                <w:rFonts w:cs="Arial"/>
                <w:color w:val="000000" w:themeColor="text1"/>
                <w:szCs w:val="16"/>
              </w:rPr>
              <w:t>12.90%</w:t>
            </w:r>
          </w:p>
        </w:tc>
        <w:tc>
          <w:tcPr>
            <w:tcW w:w="715" w:type="pct"/>
            <w:vAlign w:val="center"/>
          </w:tcPr>
          <w:p w14:paraId="609A7D0F" w14:textId="138D9671" w:rsidR="00B67FCE" w:rsidRPr="00781112" w:rsidRDefault="00B67FCE" w:rsidP="004E5C74">
            <w:pPr>
              <w:jc w:val="center"/>
              <w:rPr>
                <w:rFonts w:cs="Arial"/>
                <w:color w:val="000000" w:themeColor="text1"/>
                <w:szCs w:val="16"/>
              </w:rPr>
            </w:pPr>
            <w:r w:rsidRPr="00781112">
              <w:rPr>
                <w:rFonts w:cs="Arial"/>
                <w:color w:val="000000" w:themeColor="text1"/>
                <w:szCs w:val="16"/>
              </w:rPr>
              <w:t>14.15%</w:t>
            </w:r>
          </w:p>
        </w:tc>
        <w:tc>
          <w:tcPr>
            <w:tcW w:w="715" w:type="pct"/>
            <w:vAlign w:val="center"/>
          </w:tcPr>
          <w:p w14:paraId="3DF1FAFA" w14:textId="4C333171" w:rsidR="00B67FCE" w:rsidRPr="00781112" w:rsidRDefault="00B67FCE" w:rsidP="004E5C74">
            <w:pPr>
              <w:jc w:val="center"/>
              <w:rPr>
                <w:rFonts w:cs="Arial"/>
                <w:color w:val="000000" w:themeColor="text1"/>
                <w:szCs w:val="16"/>
              </w:rPr>
            </w:pPr>
            <w:r w:rsidRPr="00781112">
              <w:rPr>
                <w:rFonts w:cs="Arial"/>
                <w:color w:val="000000" w:themeColor="text1"/>
                <w:szCs w:val="16"/>
              </w:rPr>
              <w:t>15.41%</w:t>
            </w:r>
          </w:p>
        </w:tc>
        <w:tc>
          <w:tcPr>
            <w:tcW w:w="715" w:type="pct"/>
            <w:vAlign w:val="center"/>
          </w:tcPr>
          <w:p w14:paraId="77B3DA55" w14:textId="44F9C6DA" w:rsidR="00B67FCE" w:rsidRPr="00781112" w:rsidRDefault="00B67FCE" w:rsidP="004E5C74">
            <w:pPr>
              <w:jc w:val="center"/>
              <w:rPr>
                <w:rFonts w:cs="Arial"/>
                <w:color w:val="000000" w:themeColor="text1"/>
                <w:szCs w:val="16"/>
              </w:rPr>
            </w:pPr>
            <w:r w:rsidRPr="00781112">
              <w:rPr>
                <w:rFonts w:cs="Arial"/>
                <w:color w:val="000000" w:themeColor="text1"/>
                <w:szCs w:val="16"/>
              </w:rPr>
              <w:t>16.67%</w:t>
            </w:r>
          </w:p>
        </w:tc>
      </w:tr>
      <w:tr w:rsidR="00B67FCE" w:rsidRPr="00781112" w14:paraId="6BD665D1" w14:textId="5FDF63E7" w:rsidTr="00A87B90">
        <w:tc>
          <w:tcPr>
            <w:tcW w:w="713" w:type="pct"/>
            <w:shd w:val="clear" w:color="auto" w:fill="auto"/>
            <w:vAlign w:val="center"/>
          </w:tcPr>
          <w:p w14:paraId="2A84087F" w14:textId="4E8F4953" w:rsidR="00B67FCE" w:rsidRPr="00781112" w:rsidRDefault="00B67FCE" w:rsidP="004E5C74">
            <w:pPr>
              <w:spacing w:before="0" w:after="0"/>
              <w:jc w:val="center"/>
              <w:rPr>
                <w:rFonts w:cs="Arial"/>
                <w:color w:val="000000" w:themeColor="text1"/>
                <w:szCs w:val="16"/>
              </w:rPr>
            </w:pPr>
            <w:r w:rsidRPr="00781112">
              <w:rPr>
                <w:rFonts w:cs="Arial"/>
                <w:color w:val="000000" w:themeColor="text1"/>
                <w:szCs w:val="16"/>
              </w:rPr>
              <w:t>Reading</w:t>
            </w:r>
          </w:p>
        </w:tc>
        <w:tc>
          <w:tcPr>
            <w:tcW w:w="715" w:type="pct"/>
            <w:shd w:val="clear" w:color="auto" w:fill="auto"/>
            <w:vAlign w:val="center"/>
          </w:tcPr>
          <w:p w14:paraId="2646C0D6" w14:textId="23685D27" w:rsidR="00B67FCE" w:rsidRPr="00781112" w:rsidRDefault="00B67FCE" w:rsidP="004E5C74">
            <w:pPr>
              <w:spacing w:before="0" w:after="0"/>
              <w:jc w:val="center"/>
              <w:rPr>
                <w:rFonts w:cs="Arial"/>
                <w:color w:val="000000" w:themeColor="text1"/>
                <w:szCs w:val="16"/>
              </w:rPr>
            </w:pPr>
            <w:r w:rsidRPr="00781112">
              <w:rPr>
                <w:rFonts w:cs="Arial"/>
                <w:color w:val="000000" w:themeColor="text1"/>
                <w:szCs w:val="16"/>
              </w:rPr>
              <w:t>B &gt;=</w:t>
            </w:r>
          </w:p>
        </w:tc>
        <w:tc>
          <w:tcPr>
            <w:tcW w:w="715" w:type="pct"/>
            <w:shd w:val="clear" w:color="auto" w:fill="auto"/>
            <w:vAlign w:val="center"/>
          </w:tcPr>
          <w:p w14:paraId="67079A1D" w14:textId="08C9FD02" w:rsidR="00B67FCE" w:rsidRPr="00781112" w:rsidDel="00DB0A73" w:rsidRDefault="00B67FCE" w:rsidP="004E5C74">
            <w:pPr>
              <w:jc w:val="center"/>
              <w:rPr>
                <w:rFonts w:cs="Arial"/>
                <w:color w:val="000000" w:themeColor="text1"/>
                <w:szCs w:val="16"/>
              </w:rPr>
            </w:pPr>
            <w:r w:rsidRPr="00781112">
              <w:rPr>
                <w:rFonts w:cs="Arial"/>
                <w:color w:val="000000" w:themeColor="text1"/>
                <w:szCs w:val="16"/>
              </w:rPr>
              <w:t>Grade 8</w:t>
            </w:r>
          </w:p>
        </w:tc>
        <w:tc>
          <w:tcPr>
            <w:tcW w:w="715" w:type="pct"/>
            <w:shd w:val="clear" w:color="auto" w:fill="auto"/>
            <w:vAlign w:val="center"/>
          </w:tcPr>
          <w:p w14:paraId="03609D46" w14:textId="75CA57B6" w:rsidR="00B67FCE" w:rsidRPr="00781112" w:rsidRDefault="00B67FCE" w:rsidP="004E5C74">
            <w:pPr>
              <w:jc w:val="center"/>
              <w:rPr>
                <w:rFonts w:cs="Arial"/>
                <w:color w:val="000000" w:themeColor="text1"/>
                <w:szCs w:val="16"/>
              </w:rPr>
            </w:pPr>
            <w:r w:rsidRPr="00781112">
              <w:rPr>
                <w:rFonts w:cs="Arial"/>
                <w:color w:val="000000" w:themeColor="text1"/>
                <w:szCs w:val="16"/>
              </w:rPr>
              <w:t>8.78%</w:t>
            </w:r>
          </w:p>
        </w:tc>
        <w:tc>
          <w:tcPr>
            <w:tcW w:w="715" w:type="pct"/>
            <w:vAlign w:val="center"/>
          </w:tcPr>
          <w:p w14:paraId="08D72C36" w14:textId="2621CBFF" w:rsidR="00B67FCE" w:rsidRPr="00781112" w:rsidRDefault="00B67FCE" w:rsidP="004E5C74">
            <w:pPr>
              <w:jc w:val="center"/>
              <w:rPr>
                <w:rFonts w:cs="Arial"/>
                <w:color w:val="000000" w:themeColor="text1"/>
                <w:szCs w:val="16"/>
              </w:rPr>
            </w:pPr>
            <w:r w:rsidRPr="00781112">
              <w:rPr>
                <w:rFonts w:cs="Arial"/>
                <w:color w:val="000000" w:themeColor="text1"/>
                <w:szCs w:val="16"/>
              </w:rPr>
              <w:t>9.56%</w:t>
            </w:r>
          </w:p>
        </w:tc>
        <w:tc>
          <w:tcPr>
            <w:tcW w:w="715" w:type="pct"/>
            <w:vAlign w:val="center"/>
          </w:tcPr>
          <w:p w14:paraId="60E9FAA2" w14:textId="0E1508C1" w:rsidR="00B67FCE" w:rsidRPr="00781112" w:rsidRDefault="00B67FCE" w:rsidP="004E5C74">
            <w:pPr>
              <w:jc w:val="center"/>
              <w:rPr>
                <w:rFonts w:cs="Arial"/>
                <w:color w:val="000000" w:themeColor="text1"/>
                <w:szCs w:val="16"/>
              </w:rPr>
            </w:pPr>
            <w:r w:rsidRPr="00781112">
              <w:rPr>
                <w:rFonts w:cs="Arial"/>
                <w:color w:val="000000" w:themeColor="text1"/>
                <w:szCs w:val="16"/>
              </w:rPr>
              <w:t>10.35%</w:t>
            </w:r>
          </w:p>
        </w:tc>
        <w:tc>
          <w:tcPr>
            <w:tcW w:w="715" w:type="pct"/>
            <w:vAlign w:val="center"/>
          </w:tcPr>
          <w:p w14:paraId="55ED1028" w14:textId="05411637" w:rsidR="00B67FCE" w:rsidRPr="00781112" w:rsidRDefault="00B67FCE" w:rsidP="004E5C74">
            <w:pPr>
              <w:jc w:val="center"/>
              <w:rPr>
                <w:rFonts w:cs="Arial"/>
                <w:color w:val="000000" w:themeColor="text1"/>
                <w:szCs w:val="16"/>
              </w:rPr>
            </w:pPr>
            <w:r w:rsidRPr="00781112">
              <w:rPr>
                <w:rFonts w:cs="Arial"/>
                <w:color w:val="000000" w:themeColor="text1"/>
                <w:szCs w:val="16"/>
              </w:rPr>
              <w:t>11.14%</w:t>
            </w:r>
          </w:p>
        </w:tc>
      </w:tr>
      <w:tr w:rsidR="00B67FCE" w:rsidRPr="00781112" w14:paraId="7A08D372" w14:textId="5FBBCE88" w:rsidTr="00A87B90">
        <w:tc>
          <w:tcPr>
            <w:tcW w:w="713" w:type="pct"/>
            <w:shd w:val="clear" w:color="auto" w:fill="auto"/>
            <w:vAlign w:val="center"/>
          </w:tcPr>
          <w:p w14:paraId="3C8DF435" w14:textId="69FCCDF1" w:rsidR="00B67FCE" w:rsidRPr="00781112" w:rsidRDefault="00B67FCE" w:rsidP="004E5C74">
            <w:pPr>
              <w:spacing w:before="0" w:after="0"/>
              <w:jc w:val="center"/>
              <w:rPr>
                <w:rFonts w:cs="Arial"/>
                <w:color w:val="000000" w:themeColor="text1"/>
                <w:szCs w:val="16"/>
              </w:rPr>
            </w:pPr>
            <w:r w:rsidRPr="00781112">
              <w:rPr>
                <w:rFonts w:cs="Arial"/>
                <w:color w:val="000000" w:themeColor="text1"/>
                <w:szCs w:val="16"/>
              </w:rPr>
              <w:t>Reading</w:t>
            </w:r>
          </w:p>
        </w:tc>
        <w:tc>
          <w:tcPr>
            <w:tcW w:w="715" w:type="pct"/>
            <w:shd w:val="clear" w:color="auto" w:fill="auto"/>
            <w:vAlign w:val="center"/>
          </w:tcPr>
          <w:p w14:paraId="2CDE7790" w14:textId="3B90C904" w:rsidR="00B67FCE" w:rsidRPr="00781112" w:rsidRDefault="00B67FCE" w:rsidP="004E5C74">
            <w:pPr>
              <w:spacing w:before="0" w:after="0"/>
              <w:jc w:val="center"/>
              <w:rPr>
                <w:rFonts w:cs="Arial"/>
                <w:color w:val="000000" w:themeColor="text1"/>
                <w:szCs w:val="16"/>
              </w:rPr>
            </w:pPr>
            <w:r w:rsidRPr="00781112">
              <w:rPr>
                <w:rFonts w:cs="Arial"/>
                <w:color w:val="000000" w:themeColor="text1"/>
                <w:szCs w:val="16"/>
              </w:rPr>
              <w:t>C &gt;=</w:t>
            </w:r>
          </w:p>
        </w:tc>
        <w:tc>
          <w:tcPr>
            <w:tcW w:w="715" w:type="pct"/>
            <w:shd w:val="clear" w:color="auto" w:fill="auto"/>
            <w:vAlign w:val="center"/>
          </w:tcPr>
          <w:p w14:paraId="69727A60" w14:textId="2476755A" w:rsidR="00B67FCE" w:rsidRPr="00781112" w:rsidDel="00DB0A73" w:rsidRDefault="00B67FCE" w:rsidP="004E5C74">
            <w:pPr>
              <w:jc w:val="center"/>
              <w:rPr>
                <w:rFonts w:cs="Arial"/>
                <w:color w:val="000000" w:themeColor="text1"/>
                <w:szCs w:val="16"/>
              </w:rPr>
            </w:pPr>
            <w:r w:rsidRPr="00781112">
              <w:rPr>
                <w:rFonts w:cs="Arial"/>
                <w:color w:val="000000" w:themeColor="text1"/>
                <w:szCs w:val="16"/>
              </w:rPr>
              <w:t>Grade HS</w:t>
            </w:r>
          </w:p>
        </w:tc>
        <w:tc>
          <w:tcPr>
            <w:tcW w:w="715" w:type="pct"/>
            <w:shd w:val="clear" w:color="auto" w:fill="auto"/>
            <w:vAlign w:val="center"/>
          </w:tcPr>
          <w:p w14:paraId="6D9D8EC6" w14:textId="3C7C8315" w:rsidR="00B67FCE" w:rsidRPr="00781112" w:rsidRDefault="00B67FCE" w:rsidP="004E5C74">
            <w:pPr>
              <w:jc w:val="center"/>
              <w:rPr>
                <w:rFonts w:cs="Arial"/>
                <w:color w:val="000000" w:themeColor="text1"/>
                <w:szCs w:val="16"/>
              </w:rPr>
            </w:pPr>
            <w:r w:rsidRPr="00781112">
              <w:rPr>
                <w:rFonts w:cs="Arial"/>
                <w:color w:val="000000" w:themeColor="text1"/>
                <w:szCs w:val="16"/>
              </w:rPr>
              <w:t>17.74%</w:t>
            </w:r>
          </w:p>
        </w:tc>
        <w:tc>
          <w:tcPr>
            <w:tcW w:w="715" w:type="pct"/>
            <w:vAlign w:val="center"/>
          </w:tcPr>
          <w:p w14:paraId="6F53672D" w14:textId="674E45B1" w:rsidR="00B67FCE" w:rsidRPr="00781112" w:rsidRDefault="00B67FCE" w:rsidP="004E5C74">
            <w:pPr>
              <w:jc w:val="center"/>
              <w:rPr>
                <w:rFonts w:cs="Arial"/>
                <w:color w:val="000000" w:themeColor="text1"/>
                <w:szCs w:val="16"/>
              </w:rPr>
            </w:pPr>
            <w:r w:rsidRPr="00781112">
              <w:rPr>
                <w:rFonts w:cs="Arial"/>
                <w:color w:val="000000" w:themeColor="text1"/>
                <w:szCs w:val="16"/>
              </w:rPr>
              <w:t>18.06%</w:t>
            </w:r>
          </w:p>
        </w:tc>
        <w:tc>
          <w:tcPr>
            <w:tcW w:w="715" w:type="pct"/>
            <w:vAlign w:val="center"/>
          </w:tcPr>
          <w:p w14:paraId="1E839895" w14:textId="3633076A" w:rsidR="00B67FCE" w:rsidRPr="00781112" w:rsidRDefault="00B67FCE" w:rsidP="004E5C74">
            <w:pPr>
              <w:jc w:val="center"/>
              <w:rPr>
                <w:rFonts w:cs="Arial"/>
                <w:color w:val="000000" w:themeColor="text1"/>
                <w:szCs w:val="16"/>
              </w:rPr>
            </w:pPr>
            <w:r w:rsidRPr="00781112">
              <w:rPr>
                <w:rFonts w:cs="Arial"/>
                <w:color w:val="000000" w:themeColor="text1"/>
                <w:szCs w:val="16"/>
              </w:rPr>
              <w:t>18.38%</w:t>
            </w:r>
          </w:p>
        </w:tc>
        <w:tc>
          <w:tcPr>
            <w:tcW w:w="715" w:type="pct"/>
            <w:vAlign w:val="center"/>
          </w:tcPr>
          <w:p w14:paraId="64501470" w14:textId="22292C16" w:rsidR="00B67FCE" w:rsidRPr="00781112" w:rsidRDefault="00B67FCE" w:rsidP="004E5C74">
            <w:pPr>
              <w:jc w:val="center"/>
              <w:rPr>
                <w:rFonts w:cs="Arial"/>
                <w:color w:val="000000" w:themeColor="text1"/>
                <w:szCs w:val="16"/>
              </w:rPr>
            </w:pPr>
            <w:r w:rsidRPr="00781112">
              <w:rPr>
                <w:rFonts w:cs="Arial"/>
                <w:color w:val="000000" w:themeColor="text1"/>
                <w:szCs w:val="16"/>
              </w:rPr>
              <w:t>18.70%</w:t>
            </w:r>
          </w:p>
        </w:tc>
      </w:tr>
      <w:tr w:rsidR="00B67FCE" w:rsidRPr="00781112" w14:paraId="734BCCC4" w14:textId="02B757A8" w:rsidTr="00A87B90">
        <w:tc>
          <w:tcPr>
            <w:tcW w:w="713" w:type="pct"/>
            <w:shd w:val="clear" w:color="auto" w:fill="auto"/>
            <w:vAlign w:val="center"/>
          </w:tcPr>
          <w:p w14:paraId="20286AC8" w14:textId="018C9C4D" w:rsidR="00B67FCE" w:rsidRPr="00781112" w:rsidRDefault="00B67FCE" w:rsidP="004E5C74">
            <w:pPr>
              <w:spacing w:before="0" w:after="0"/>
              <w:jc w:val="center"/>
              <w:rPr>
                <w:rFonts w:cs="Arial"/>
                <w:color w:val="000000" w:themeColor="text1"/>
                <w:szCs w:val="16"/>
              </w:rPr>
            </w:pPr>
            <w:r w:rsidRPr="00781112">
              <w:rPr>
                <w:rFonts w:cs="Arial"/>
                <w:color w:val="000000" w:themeColor="text1"/>
                <w:szCs w:val="16"/>
              </w:rPr>
              <w:t>Math</w:t>
            </w:r>
          </w:p>
        </w:tc>
        <w:tc>
          <w:tcPr>
            <w:tcW w:w="715" w:type="pct"/>
            <w:shd w:val="clear" w:color="auto" w:fill="auto"/>
            <w:vAlign w:val="center"/>
          </w:tcPr>
          <w:p w14:paraId="185C8DA8" w14:textId="6254892D" w:rsidR="00B67FCE" w:rsidRPr="00781112" w:rsidRDefault="00B67FCE" w:rsidP="004E5C74">
            <w:pPr>
              <w:spacing w:before="0" w:after="0"/>
              <w:jc w:val="center"/>
              <w:rPr>
                <w:rFonts w:cs="Arial"/>
                <w:color w:val="000000" w:themeColor="text1"/>
                <w:szCs w:val="16"/>
              </w:rPr>
            </w:pPr>
            <w:r w:rsidRPr="00781112">
              <w:rPr>
                <w:rFonts w:cs="Arial"/>
                <w:color w:val="000000" w:themeColor="text1"/>
                <w:szCs w:val="16"/>
              </w:rPr>
              <w:t>A &gt;=</w:t>
            </w:r>
          </w:p>
        </w:tc>
        <w:tc>
          <w:tcPr>
            <w:tcW w:w="715" w:type="pct"/>
            <w:shd w:val="clear" w:color="auto" w:fill="auto"/>
            <w:vAlign w:val="center"/>
          </w:tcPr>
          <w:p w14:paraId="16FD84A2" w14:textId="1BD2010B" w:rsidR="00B67FCE" w:rsidRPr="00781112" w:rsidDel="00DB0A73" w:rsidRDefault="00B67FCE" w:rsidP="004E5C74">
            <w:pPr>
              <w:jc w:val="center"/>
              <w:rPr>
                <w:rFonts w:cs="Arial"/>
                <w:color w:val="000000" w:themeColor="text1"/>
                <w:szCs w:val="16"/>
              </w:rPr>
            </w:pPr>
            <w:r w:rsidRPr="00781112">
              <w:rPr>
                <w:rFonts w:cs="Arial"/>
                <w:color w:val="000000" w:themeColor="text1"/>
                <w:szCs w:val="16"/>
              </w:rPr>
              <w:t>Grade 4</w:t>
            </w:r>
          </w:p>
        </w:tc>
        <w:tc>
          <w:tcPr>
            <w:tcW w:w="715" w:type="pct"/>
            <w:shd w:val="clear" w:color="auto" w:fill="auto"/>
            <w:vAlign w:val="center"/>
          </w:tcPr>
          <w:p w14:paraId="0005999A" w14:textId="601F796F" w:rsidR="00B67FCE" w:rsidRPr="00781112" w:rsidRDefault="00B67FCE" w:rsidP="004E5C74">
            <w:pPr>
              <w:jc w:val="center"/>
              <w:rPr>
                <w:rFonts w:cs="Arial"/>
                <w:color w:val="000000" w:themeColor="text1"/>
                <w:szCs w:val="16"/>
              </w:rPr>
            </w:pPr>
            <w:r w:rsidRPr="00781112">
              <w:rPr>
                <w:rFonts w:cs="Arial"/>
                <w:color w:val="000000" w:themeColor="text1"/>
                <w:szCs w:val="16"/>
              </w:rPr>
              <w:t>10.20%</w:t>
            </w:r>
          </w:p>
        </w:tc>
        <w:tc>
          <w:tcPr>
            <w:tcW w:w="715" w:type="pct"/>
            <w:vAlign w:val="center"/>
          </w:tcPr>
          <w:p w14:paraId="2ADA59C0" w14:textId="7F027C54" w:rsidR="00B67FCE" w:rsidRPr="00781112" w:rsidRDefault="00B67FCE" w:rsidP="004E5C74">
            <w:pPr>
              <w:jc w:val="center"/>
              <w:rPr>
                <w:rFonts w:cs="Arial"/>
                <w:color w:val="000000" w:themeColor="text1"/>
                <w:szCs w:val="16"/>
              </w:rPr>
            </w:pPr>
            <w:r w:rsidRPr="00781112">
              <w:rPr>
                <w:rFonts w:cs="Arial"/>
                <w:color w:val="000000" w:themeColor="text1"/>
                <w:szCs w:val="16"/>
              </w:rPr>
              <w:t>10.87%</w:t>
            </w:r>
          </w:p>
        </w:tc>
        <w:tc>
          <w:tcPr>
            <w:tcW w:w="715" w:type="pct"/>
            <w:vAlign w:val="center"/>
          </w:tcPr>
          <w:p w14:paraId="63258519" w14:textId="524B5DC2" w:rsidR="00B67FCE" w:rsidRPr="00781112" w:rsidRDefault="00B67FCE" w:rsidP="004E5C74">
            <w:pPr>
              <w:jc w:val="center"/>
              <w:rPr>
                <w:rFonts w:cs="Arial"/>
                <w:color w:val="000000" w:themeColor="text1"/>
                <w:szCs w:val="16"/>
              </w:rPr>
            </w:pPr>
            <w:r w:rsidRPr="00781112">
              <w:rPr>
                <w:rFonts w:cs="Arial"/>
                <w:color w:val="000000" w:themeColor="text1"/>
                <w:szCs w:val="16"/>
              </w:rPr>
              <w:t>11.54%</w:t>
            </w:r>
          </w:p>
        </w:tc>
        <w:tc>
          <w:tcPr>
            <w:tcW w:w="715" w:type="pct"/>
            <w:vAlign w:val="center"/>
          </w:tcPr>
          <w:p w14:paraId="4B2BD04F" w14:textId="59A32E65" w:rsidR="00B67FCE" w:rsidRPr="00781112" w:rsidRDefault="00B67FCE" w:rsidP="004E5C74">
            <w:pPr>
              <w:jc w:val="center"/>
              <w:rPr>
                <w:rFonts w:cs="Arial"/>
                <w:color w:val="000000" w:themeColor="text1"/>
                <w:szCs w:val="16"/>
              </w:rPr>
            </w:pPr>
            <w:r w:rsidRPr="00781112">
              <w:rPr>
                <w:rFonts w:cs="Arial"/>
                <w:color w:val="000000" w:themeColor="text1"/>
                <w:szCs w:val="16"/>
              </w:rPr>
              <w:t>12.23%</w:t>
            </w:r>
          </w:p>
        </w:tc>
      </w:tr>
      <w:tr w:rsidR="00B67FCE" w:rsidRPr="00781112" w14:paraId="26043383" w14:textId="3D057A6F" w:rsidTr="00A87B90">
        <w:tc>
          <w:tcPr>
            <w:tcW w:w="713" w:type="pct"/>
            <w:shd w:val="clear" w:color="auto" w:fill="auto"/>
            <w:vAlign w:val="center"/>
          </w:tcPr>
          <w:p w14:paraId="2BCD3006" w14:textId="785241B2" w:rsidR="00B67FCE" w:rsidRPr="00781112" w:rsidRDefault="00B67FCE" w:rsidP="004E5C74">
            <w:pPr>
              <w:spacing w:before="0" w:after="0"/>
              <w:jc w:val="center"/>
              <w:rPr>
                <w:rFonts w:cs="Arial"/>
                <w:color w:val="000000" w:themeColor="text1"/>
                <w:szCs w:val="16"/>
              </w:rPr>
            </w:pPr>
            <w:r w:rsidRPr="00781112">
              <w:rPr>
                <w:rFonts w:cs="Arial"/>
                <w:color w:val="000000" w:themeColor="text1"/>
                <w:szCs w:val="16"/>
              </w:rPr>
              <w:t>Math</w:t>
            </w:r>
          </w:p>
        </w:tc>
        <w:tc>
          <w:tcPr>
            <w:tcW w:w="715" w:type="pct"/>
            <w:shd w:val="clear" w:color="auto" w:fill="auto"/>
            <w:vAlign w:val="center"/>
          </w:tcPr>
          <w:p w14:paraId="79B80F0C" w14:textId="52C31857" w:rsidR="00B67FCE" w:rsidRPr="00781112" w:rsidRDefault="00B67FCE" w:rsidP="004E5C74">
            <w:pPr>
              <w:spacing w:before="0" w:after="0"/>
              <w:jc w:val="center"/>
              <w:rPr>
                <w:rFonts w:cs="Arial"/>
                <w:color w:val="000000" w:themeColor="text1"/>
                <w:szCs w:val="16"/>
              </w:rPr>
            </w:pPr>
            <w:r w:rsidRPr="00781112">
              <w:rPr>
                <w:rFonts w:cs="Arial"/>
                <w:color w:val="000000" w:themeColor="text1"/>
                <w:szCs w:val="16"/>
              </w:rPr>
              <w:t>B &gt;=</w:t>
            </w:r>
          </w:p>
        </w:tc>
        <w:tc>
          <w:tcPr>
            <w:tcW w:w="715" w:type="pct"/>
            <w:shd w:val="clear" w:color="auto" w:fill="auto"/>
            <w:vAlign w:val="center"/>
          </w:tcPr>
          <w:p w14:paraId="27B1E35D" w14:textId="336183AA" w:rsidR="00B67FCE" w:rsidRPr="00781112" w:rsidDel="00DB0A73" w:rsidRDefault="00B67FCE" w:rsidP="004E5C74">
            <w:pPr>
              <w:jc w:val="center"/>
              <w:rPr>
                <w:rFonts w:cs="Arial"/>
                <w:color w:val="000000" w:themeColor="text1"/>
                <w:szCs w:val="16"/>
              </w:rPr>
            </w:pPr>
            <w:r w:rsidRPr="00781112">
              <w:rPr>
                <w:rFonts w:cs="Arial"/>
                <w:color w:val="000000" w:themeColor="text1"/>
                <w:szCs w:val="16"/>
              </w:rPr>
              <w:t>Grade 8</w:t>
            </w:r>
          </w:p>
        </w:tc>
        <w:tc>
          <w:tcPr>
            <w:tcW w:w="715" w:type="pct"/>
            <w:shd w:val="clear" w:color="auto" w:fill="auto"/>
            <w:vAlign w:val="center"/>
          </w:tcPr>
          <w:p w14:paraId="25263A65" w14:textId="2189A9FC" w:rsidR="00B67FCE" w:rsidRPr="00781112" w:rsidRDefault="00B67FCE" w:rsidP="004E5C74">
            <w:pPr>
              <w:jc w:val="center"/>
              <w:rPr>
                <w:rFonts w:cs="Arial"/>
                <w:color w:val="000000" w:themeColor="text1"/>
                <w:szCs w:val="16"/>
              </w:rPr>
            </w:pPr>
            <w:r w:rsidRPr="00781112">
              <w:rPr>
                <w:rFonts w:cs="Arial"/>
                <w:color w:val="000000" w:themeColor="text1"/>
                <w:szCs w:val="16"/>
              </w:rPr>
              <w:t>8.31%</w:t>
            </w:r>
          </w:p>
        </w:tc>
        <w:tc>
          <w:tcPr>
            <w:tcW w:w="715" w:type="pct"/>
            <w:vAlign w:val="center"/>
          </w:tcPr>
          <w:p w14:paraId="558D49D9" w14:textId="56776B71" w:rsidR="00B67FCE" w:rsidRPr="00781112" w:rsidRDefault="00B67FCE" w:rsidP="004E5C74">
            <w:pPr>
              <w:jc w:val="center"/>
              <w:rPr>
                <w:rFonts w:cs="Arial"/>
                <w:color w:val="000000" w:themeColor="text1"/>
                <w:szCs w:val="16"/>
              </w:rPr>
            </w:pPr>
            <w:r w:rsidRPr="00781112">
              <w:rPr>
                <w:rFonts w:cs="Arial"/>
                <w:color w:val="000000" w:themeColor="text1"/>
                <w:szCs w:val="16"/>
              </w:rPr>
              <w:t>9.77%</w:t>
            </w:r>
          </w:p>
        </w:tc>
        <w:tc>
          <w:tcPr>
            <w:tcW w:w="715" w:type="pct"/>
            <w:vAlign w:val="center"/>
          </w:tcPr>
          <w:p w14:paraId="529C7F25" w14:textId="45E82B2D" w:rsidR="00B67FCE" w:rsidRPr="00781112" w:rsidRDefault="00B67FCE" w:rsidP="004E5C74">
            <w:pPr>
              <w:jc w:val="center"/>
              <w:rPr>
                <w:rFonts w:cs="Arial"/>
                <w:color w:val="000000" w:themeColor="text1"/>
                <w:szCs w:val="16"/>
              </w:rPr>
            </w:pPr>
            <w:r w:rsidRPr="00781112">
              <w:rPr>
                <w:rFonts w:cs="Arial"/>
                <w:color w:val="000000" w:themeColor="text1"/>
                <w:szCs w:val="16"/>
              </w:rPr>
              <w:t>11.23%</w:t>
            </w:r>
          </w:p>
        </w:tc>
        <w:tc>
          <w:tcPr>
            <w:tcW w:w="715" w:type="pct"/>
            <w:vAlign w:val="center"/>
          </w:tcPr>
          <w:p w14:paraId="0CD7F429" w14:textId="3C743F76" w:rsidR="00B67FCE" w:rsidRPr="00781112" w:rsidRDefault="00B67FCE" w:rsidP="004E5C74">
            <w:pPr>
              <w:jc w:val="center"/>
              <w:rPr>
                <w:rFonts w:cs="Arial"/>
                <w:color w:val="000000" w:themeColor="text1"/>
                <w:szCs w:val="16"/>
              </w:rPr>
            </w:pPr>
            <w:r w:rsidRPr="00781112">
              <w:rPr>
                <w:rFonts w:cs="Arial"/>
                <w:color w:val="000000" w:themeColor="text1"/>
                <w:szCs w:val="16"/>
              </w:rPr>
              <w:t>12.70%</w:t>
            </w:r>
          </w:p>
        </w:tc>
      </w:tr>
      <w:tr w:rsidR="00B67FCE" w:rsidRPr="00781112" w14:paraId="169D5323" w14:textId="1CB4A506" w:rsidTr="00A87B90">
        <w:tc>
          <w:tcPr>
            <w:tcW w:w="713" w:type="pct"/>
            <w:shd w:val="clear" w:color="auto" w:fill="auto"/>
            <w:vAlign w:val="center"/>
          </w:tcPr>
          <w:p w14:paraId="21DAE194" w14:textId="06AF539C" w:rsidR="00B67FCE" w:rsidRPr="00781112" w:rsidRDefault="00B67FCE" w:rsidP="004E5C74">
            <w:pPr>
              <w:spacing w:before="0" w:after="0"/>
              <w:jc w:val="center"/>
              <w:rPr>
                <w:rFonts w:cs="Arial"/>
                <w:color w:val="000000" w:themeColor="text1"/>
                <w:szCs w:val="16"/>
              </w:rPr>
            </w:pPr>
            <w:r w:rsidRPr="00781112">
              <w:rPr>
                <w:rFonts w:cs="Arial"/>
                <w:color w:val="000000" w:themeColor="text1"/>
                <w:szCs w:val="16"/>
              </w:rPr>
              <w:t>Math</w:t>
            </w:r>
          </w:p>
        </w:tc>
        <w:tc>
          <w:tcPr>
            <w:tcW w:w="715" w:type="pct"/>
            <w:shd w:val="clear" w:color="auto" w:fill="auto"/>
            <w:vAlign w:val="center"/>
          </w:tcPr>
          <w:p w14:paraId="650CB8D7" w14:textId="080D022D" w:rsidR="00B67FCE" w:rsidRPr="00781112" w:rsidRDefault="00B67FCE" w:rsidP="004E5C74">
            <w:pPr>
              <w:spacing w:before="0" w:after="0"/>
              <w:jc w:val="center"/>
              <w:rPr>
                <w:rFonts w:cs="Arial"/>
                <w:color w:val="000000" w:themeColor="text1"/>
                <w:szCs w:val="16"/>
              </w:rPr>
            </w:pPr>
            <w:r w:rsidRPr="00781112">
              <w:rPr>
                <w:rFonts w:cs="Arial"/>
                <w:color w:val="000000" w:themeColor="text1"/>
                <w:szCs w:val="16"/>
              </w:rPr>
              <w:t>C &gt;=</w:t>
            </w:r>
          </w:p>
        </w:tc>
        <w:tc>
          <w:tcPr>
            <w:tcW w:w="715" w:type="pct"/>
            <w:shd w:val="clear" w:color="auto" w:fill="auto"/>
            <w:vAlign w:val="center"/>
          </w:tcPr>
          <w:p w14:paraId="45DBFB21" w14:textId="372229DD" w:rsidR="00B67FCE" w:rsidRPr="00781112" w:rsidDel="00DB0A73" w:rsidRDefault="00B67FCE" w:rsidP="004E5C74">
            <w:pPr>
              <w:jc w:val="center"/>
              <w:rPr>
                <w:rFonts w:cs="Arial"/>
                <w:color w:val="000000" w:themeColor="text1"/>
                <w:szCs w:val="16"/>
              </w:rPr>
            </w:pPr>
            <w:r w:rsidRPr="00781112">
              <w:rPr>
                <w:rFonts w:cs="Arial"/>
                <w:color w:val="000000" w:themeColor="text1"/>
                <w:szCs w:val="16"/>
              </w:rPr>
              <w:t>Grade HS</w:t>
            </w:r>
          </w:p>
        </w:tc>
        <w:tc>
          <w:tcPr>
            <w:tcW w:w="715" w:type="pct"/>
            <w:shd w:val="clear" w:color="auto" w:fill="auto"/>
            <w:vAlign w:val="center"/>
          </w:tcPr>
          <w:p w14:paraId="341BF449" w14:textId="76191C29" w:rsidR="00B67FCE" w:rsidRPr="00781112" w:rsidRDefault="00B67FCE" w:rsidP="004E5C74">
            <w:pPr>
              <w:jc w:val="center"/>
              <w:rPr>
                <w:rFonts w:cs="Arial"/>
                <w:color w:val="000000" w:themeColor="text1"/>
                <w:szCs w:val="16"/>
              </w:rPr>
            </w:pPr>
            <w:r w:rsidRPr="00781112">
              <w:rPr>
                <w:rFonts w:cs="Arial"/>
                <w:color w:val="000000" w:themeColor="text1"/>
                <w:szCs w:val="16"/>
              </w:rPr>
              <w:t>6.30%</w:t>
            </w:r>
          </w:p>
        </w:tc>
        <w:tc>
          <w:tcPr>
            <w:tcW w:w="715" w:type="pct"/>
            <w:vAlign w:val="center"/>
          </w:tcPr>
          <w:p w14:paraId="5424FF66" w14:textId="7AB6DE06" w:rsidR="00B67FCE" w:rsidRPr="00781112" w:rsidRDefault="00B67FCE" w:rsidP="004E5C74">
            <w:pPr>
              <w:jc w:val="center"/>
              <w:rPr>
                <w:rFonts w:cs="Arial"/>
                <w:color w:val="000000" w:themeColor="text1"/>
                <w:szCs w:val="16"/>
              </w:rPr>
            </w:pPr>
            <w:r w:rsidRPr="00781112">
              <w:rPr>
                <w:rFonts w:cs="Arial"/>
                <w:color w:val="000000" w:themeColor="text1"/>
                <w:szCs w:val="16"/>
              </w:rPr>
              <w:t>3.50%</w:t>
            </w:r>
          </w:p>
        </w:tc>
        <w:tc>
          <w:tcPr>
            <w:tcW w:w="715" w:type="pct"/>
            <w:vAlign w:val="center"/>
          </w:tcPr>
          <w:p w14:paraId="552DC3D3" w14:textId="79B2C0C8" w:rsidR="00B67FCE" w:rsidRPr="00781112" w:rsidRDefault="00B67FCE" w:rsidP="004E5C74">
            <w:pPr>
              <w:jc w:val="center"/>
              <w:rPr>
                <w:rFonts w:cs="Arial"/>
                <w:color w:val="000000" w:themeColor="text1"/>
                <w:szCs w:val="16"/>
              </w:rPr>
            </w:pPr>
            <w:r w:rsidRPr="00781112">
              <w:rPr>
                <w:rFonts w:cs="Arial"/>
                <w:color w:val="000000" w:themeColor="text1"/>
                <w:szCs w:val="16"/>
              </w:rPr>
              <w:t>6.70%</w:t>
            </w:r>
          </w:p>
        </w:tc>
        <w:tc>
          <w:tcPr>
            <w:tcW w:w="715" w:type="pct"/>
            <w:vAlign w:val="center"/>
          </w:tcPr>
          <w:p w14:paraId="4ECE9215" w14:textId="1D6B1BD9" w:rsidR="00B67FCE" w:rsidRPr="00781112" w:rsidRDefault="00B67FCE" w:rsidP="004E5C74">
            <w:pPr>
              <w:jc w:val="center"/>
              <w:rPr>
                <w:rFonts w:cs="Arial"/>
                <w:color w:val="000000" w:themeColor="text1"/>
                <w:szCs w:val="16"/>
              </w:rPr>
            </w:pPr>
            <w:r w:rsidRPr="00781112">
              <w:rPr>
                <w:rFonts w:cs="Arial"/>
                <w:color w:val="000000" w:themeColor="text1"/>
                <w:szCs w:val="16"/>
              </w:rPr>
              <w:t>6.90%</w:t>
            </w:r>
          </w:p>
        </w:tc>
      </w:tr>
    </w:tbl>
    <w:p w14:paraId="102C9294" w14:textId="426FC0A1" w:rsidR="002D145D" w:rsidRPr="00781112" w:rsidRDefault="002D145D" w:rsidP="004369B2">
      <w:pPr>
        <w:rPr>
          <w:b/>
          <w:color w:val="000000" w:themeColor="text1"/>
        </w:rPr>
      </w:pPr>
      <w:r w:rsidRPr="00781112">
        <w:rPr>
          <w:b/>
          <w:color w:val="000000" w:themeColor="text1"/>
        </w:rPr>
        <w:t xml:space="preserve">Targets: Description of Stakeholder Input </w:t>
      </w:r>
    </w:p>
    <w:p w14:paraId="2C104549" w14:textId="03A0AB0D" w:rsidR="002D145D" w:rsidRPr="00781112" w:rsidRDefault="002B7490" w:rsidP="002D145D">
      <w:pPr>
        <w:rPr>
          <w:rFonts w:cs="Arial"/>
          <w:color w:val="000000" w:themeColor="text1"/>
          <w:szCs w:val="16"/>
        </w:rPr>
      </w:pPr>
      <w:r w:rsidRPr="00781112">
        <w:rPr>
          <w:rFonts w:cs="Arial"/>
          <w:color w:val="000000" w:themeColor="text1"/>
          <w:szCs w:val="16"/>
        </w:rPr>
        <w:t>For FFY 2022, CDE presented, discussed, and solicited feedback on the SPP/APR Indicators with our Colorado Special Education Advisory Committee (CSEAC).</w:t>
      </w:r>
      <w:r w:rsidRPr="00781112">
        <w:rPr>
          <w:rFonts w:cs="Arial"/>
          <w:color w:val="000000" w:themeColor="text1"/>
          <w:szCs w:val="16"/>
        </w:rPr>
        <w:br/>
      </w:r>
      <w:r w:rsidRPr="00781112">
        <w:rPr>
          <w:rFonts w:cs="Arial"/>
          <w:color w:val="000000" w:themeColor="text1"/>
          <w:szCs w:val="16"/>
        </w:rPr>
        <w:br/>
        <w:t>For FFY 2020, the following mechanisms were used to gather broad stakeholder input:</w:t>
      </w:r>
      <w:r w:rsidRPr="00781112">
        <w:rPr>
          <w:rFonts w:cs="Arial"/>
          <w:color w:val="000000" w:themeColor="text1"/>
          <w:szCs w:val="16"/>
        </w:rPr>
        <w:br/>
      </w:r>
      <w:r w:rsidRPr="00781112">
        <w:rPr>
          <w:rFonts w:cs="Arial"/>
          <w:color w:val="000000" w:themeColor="text1"/>
          <w:szCs w:val="16"/>
        </w:rPr>
        <w:br/>
        <w:t>Identified CDE internal stakeholders and content experts for each indicator:</w:t>
      </w:r>
      <w:r w:rsidRPr="00781112">
        <w:rPr>
          <w:rFonts w:cs="Arial"/>
          <w:color w:val="000000" w:themeColor="text1"/>
          <w:szCs w:val="16"/>
        </w:rPr>
        <w:br/>
        <w:t>1. Scheduled meetings for each CDE internal stakeholder indicator team.</w:t>
      </w:r>
      <w:r w:rsidRPr="00781112">
        <w:rPr>
          <w:rFonts w:cs="Arial"/>
          <w:color w:val="000000" w:themeColor="text1"/>
          <w:szCs w:val="16"/>
        </w:rPr>
        <w:br/>
        <w:t>2. Met with each CDE stakeholder team, explain rules and parameters, Colorado history of indicator, past and current improvement strategies, facilitate discussion, and solicit feedback and develop options for each of the SPP/APR targets.</w:t>
      </w:r>
      <w:r w:rsidRPr="00781112">
        <w:rPr>
          <w:rFonts w:cs="Arial"/>
          <w:color w:val="000000" w:themeColor="text1"/>
          <w:szCs w:val="16"/>
        </w:rPr>
        <w:br/>
        <w:t>3. Met with each CDE stakeholder team to facilitate discussion and come to consensus on targets and improvement strategies to present to the external stakeholder groups.</w:t>
      </w:r>
      <w:r w:rsidRPr="00781112">
        <w:rPr>
          <w:rFonts w:cs="Arial"/>
          <w:color w:val="000000" w:themeColor="text1"/>
          <w:szCs w:val="16"/>
        </w:rPr>
        <w:br/>
      </w:r>
      <w:r w:rsidRPr="00781112">
        <w:rPr>
          <w:rFonts w:cs="Arial"/>
          <w:color w:val="000000" w:themeColor="text1"/>
          <w:szCs w:val="16"/>
        </w:rPr>
        <w:lastRenderedPageBreak/>
        <w:t xml:space="preserve">4. Requested and collected improvement strategies for each indicator from each CDE internal stakeholder team. </w:t>
      </w:r>
      <w:r w:rsidRPr="00781112">
        <w:rPr>
          <w:rFonts w:cs="Arial"/>
          <w:color w:val="000000" w:themeColor="text1"/>
          <w:szCs w:val="16"/>
        </w:rPr>
        <w:br/>
      </w:r>
      <w:r w:rsidRPr="00781112">
        <w:rPr>
          <w:rFonts w:cs="Arial"/>
          <w:color w:val="000000" w:themeColor="text1"/>
          <w:szCs w:val="16"/>
        </w:rPr>
        <w:br/>
        <w:t>Built a survey to collect evidence and information from external stakeholder groups and the public to gain feedback on current SPP/APR indicators to collect the following data:</w:t>
      </w:r>
      <w:r w:rsidRPr="00781112">
        <w:rPr>
          <w:rFonts w:cs="Arial"/>
          <w:color w:val="000000" w:themeColor="text1"/>
          <w:szCs w:val="16"/>
        </w:rPr>
        <w:br/>
        <w:t xml:space="preserve">1. Are targets too high, too low, </w:t>
      </w:r>
      <w:proofErr w:type="gramStart"/>
      <w:r w:rsidRPr="00781112">
        <w:rPr>
          <w:rFonts w:cs="Arial"/>
          <w:color w:val="000000" w:themeColor="text1"/>
          <w:szCs w:val="16"/>
        </w:rPr>
        <w:t>just</w:t>
      </w:r>
      <w:proofErr w:type="gramEnd"/>
      <w:r w:rsidRPr="00781112">
        <w:rPr>
          <w:rFonts w:cs="Arial"/>
          <w:color w:val="000000" w:themeColor="text1"/>
          <w:szCs w:val="16"/>
        </w:rPr>
        <w:t xml:space="preserve"> right?</w:t>
      </w:r>
      <w:r w:rsidRPr="00781112">
        <w:rPr>
          <w:rFonts w:cs="Arial"/>
          <w:color w:val="000000" w:themeColor="text1"/>
          <w:szCs w:val="16"/>
        </w:rPr>
        <w:br/>
        <w:t>2. If the proposed improvement strategies are reasonably calculated to help Colorado reach the proposed targets?</w:t>
      </w:r>
      <w:r w:rsidRPr="00781112">
        <w:rPr>
          <w:rFonts w:cs="Arial"/>
          <w:color w:val="000000" w:themeColor="text1"/>
          <w:szCs w:val="16"/>
        </w:rPr>
        <w:br/>
        <w:t>3. Is the proposed choice of demographic category to be analyzed for representation an appropriate selection?</w:t>
      </w:r>
      <w:r w:rsidRPr="00781112">
        <w:rPr>
          <w:rFonts w:cs="Arial"/>
          <w:color w:val="000000" w:themeColor="text1"/>
          <w:szCs w:val="16"/>
        </w:rPr>
        <w:br/>
      </w:r>
      <w:r w:rsidRPr="00781112">
        <w:rPr>
          <w:rFonts w:cs="Arial"/>
          <w:color w:val="000000" w:themeColor="text1"/>
          <w:szCs w:val="16"/>
        </w:rPr>
        <w:br/>
        <w:t>Built a web page to include:</w:t>
      </w:r>
      <w:r w:rsidRPr="00781112">
        <w:rPr>
          <w:rFonts w:cs="Arial"/>
          <w:color w:val="000000" w:themeColor="text1"/>
          <w:szCs w:val="16"/>
        </w:rPr>
        <w:br/>
        <w:t>1. basic information regarding the SPP/APR and the 6-year target resetting process.</w:t>
      </w:r>
      <w:r w:rsidRPr="00781112">
        <w:rPr>
          <w:rFonts w:cs="Arial"/>
          <w:color w:val="000000" w:themeColor="text1"/>
          <w:szCs w:val="16"/>
        </w:rPr>
        <w:br/>
        <w:t>2. asyncronys access to a series of webinars explaining each of the SPP/APR indicators, proposed targets, and improvement strategies.</w:t>
      </w:r>
      <w:r w:rsidRPr="00781112">
        <w:rPr>
          <w:rFonts w:cs="Arial"/>
          <w:color w:val="000000" w:themeColor="text1"/>
          <w:szCs w:val="16"/>
        </w:rPr>
        <w:br/>
        <w:t>3. a link to an indicator survey to gather information from the public during the comment period. This survey was designed to solicit the following information: (a) Are the proposed targets too high, too low, or appropriate? (b) Are the proposed improvement strategies reasonably calculated to help Colorado reach the proposed targets? (c) Is the proposed demographic group to be analyzed for representation an appropriate selection?</w:t>
      </w:r>
      <w:r w:rsidRPr="00781112">
        <w:rPr>
          <w:rFonts w:cs="Arial"/>
          <w:color w:val="000000" w:themeColor="text1"/>
          <w:szCs w:val="16"/>
        </w:rPr>
        <w:br/>
      </w:r>
      <w:r w:rsidRPr="00781112">
        <w:rPr>
          <w:rFonts w:cs="Arial"/>
          <w:color w:val="000000" w:themeColor="text1"/>
          <w:szCs w:val="16"/>
        </w:rPr>
        <w:br/>
        <w:t>Presented and requested input on agreed on targets and improvement strategies to the following indicator specific advisory councils: Preschool School Special Education Advisory Committee (PSSEAC), and the Secondary Transition Task Force Advisory Committee. Review and incorporate feedback into the final draft of the new targets and share proposed version with ESSU Executive Director for approval.</w:t>
      </w:r>
      <w:r w:rsidRPr="00781112">
        <w:rPr>
          <w:rFonts w:cs="Arial"/>
          <w:color w:val="000000" w:themeColor="text1"/>
          <w:szCs w:val="16"/>
        </w:rPr>
        <w:br/>
        <w:t>Presented proposed targets and gathered additional feedback to the following State advisory groups and advocacy groups: Colorado Special Education Advisory Committee (CSEAC) and Parent Partnerships for Equity Advisory Committee, The Arc of Colorado, PEAK Parent Center, and Disability Law Colorado.</w:t>
      </w:r>
      <w:r w:rsidRPr="00781112">
        <w:rPr>
          <w:rFonts w:cs="Arial"/>
          <w:color w:val="000000" w:themeColor="text1"/>
          <w:szCs w:val="16"/>
        </w:rPr>
        <w:br/>
        <w:t>Presented proposed targets for all indicators to Colorado LEA Special Education Directors.</w:t>
      </w:r>
      <w:r w:rsidRPr="00781112">
        <w:rPr>
          <w:rFonts w:cs="Arial"/>
          <w:color w:val="000000" w:themeColor="text1"/>
          <w:szCs w:val="16"/>
        </w:rPr>
        <w:br/>
        <w:t>Held a 2-month public comment period to solicit public comments through a broad CDE-wide communication plan made up of a dedicated webpage with short videos and surveys for each indicator, CDE Facebook page, CDE Twitter Account, a CDE webpage news story, CDE’s Weekly Newsletter, and notifications to our parent advocacy agencies.</w:t>
      </w:r>
      <w:r w:rsidRPr="00781112">
        <w:rPr>
          <w:rFonts w:cs="Arial"/>
          <w:color w:val="000000" w:themeColor="text1"/>
          <w:szCs w:val="16"/>
        </w:rPr>
        <w:br/>
        <w:t xml:space="preserve"> </w:t>
      </w:r>
      <w:r w:rsidRPr="00781112">
        <w:rPr>
          <w:rFonts w:cs="Arial"/>
          <w:color w:val="000000" w:themeColor="text1"/>
          <w:szCs w:val="16"/>
        </w:rPr>
        <w:br/>
        <w:t>Reviewed and considered public comments received through the indicator survey mechanism, finalize all targets with ESSU Executive Director, and published targets on CDE webpage.</w:t>
      </w:r>
    </w:p>
    <w:p w14:paraId="2446B7C2" w14:textId="77777777" w:rsidR="00F20369" w:rsidRPr="00781112" w:rsidRDefault="00F20369" w:rsidP="004369B2">
      <w:pPr>
        <w:rPr>
          <w:color w:val="000000" w:themeColor="text1"/>
        </w:rPr>
      </w:pPr>
      <w:bookmarkStart w:id="14" w:name="_Toc392159273"/>
    </w:p>
    <w:p w14:paraId="2F64E7B3" w14:textId="1A8C9DDD" w:rsidR="00344AE0" w:rsidRPr="00781112" w:rsidRDefault="00FA33C9">
      <w:pPr>
        <w:rPr>
          <w:b/>
          <w:color w:val="000000" w:themeColor="text1"/>
        </w:rPr>
      </w:pPr>
      <w:r>
        <w:rPr>
          <w:b/>
          <w:color w:val="000000" w:themeColor="text1"/>
        </w:rPr>
        <w:t>FFY 2022 Data Disaggregation from ED</w:t>
      </w:r>
      <w:r w:rsidRPr="00BA3DBE">
        <w:rPr>
          <w:b/>
          <w:i/>
          <w:iCs/>
          <w:color w:val="000000" w:themeColor="text1"/>
        </w:rPr>
        <w:t>Facts</w:t>
      </w:r>
    </w:p>
    <w:p w14:paraId="6BDCF123" w14:textId="77777777" w:rsidR="00C01339" w:rsidRPr="00781112" w:rsidRDefault="00344AE0" w:rsidP="00552927">
      <w:pPr>
        <w:rPr>
          <w:rFonts w:cs="Arial"/>
          <w:b/>
          <w:color w:val="000000" w:themeColor="text1"/>
          <w:szCs w:val="16"/>
        </w:rPr>
      </w:pPr>
      <w:r w:rsidRPr="00781112">
        <w:rPr>
          <w:rFonts w:cs="Arial"/>
          <w:b/>
          <w:color w:val="000000" w:themeColor="text1"/>
          <w:szCs w:val="16"/>
        </w:rPr>
        <w:t xml:space="preserve">Data Source:  </w:t>
      </w:r>
    </w:p>
    <w:p w14:paraId="5EBDA348" w14:textId="24968275" w:rsidR="00C470E8" w:rsidRPr="00781112" w:rsidRDefault="002B7490" w:rsidP="00552927">
      <w:pPr>
        <w:rPr>
          <w:rFonts w:cs="Arial"/>
          <w:color w:val="000000" w:themeColor="text1"/>
          <w:szCs w:val="16"/>
        </w:rPr>
      </w:pPr>
      <w:r w:rsidRPr="00781112">
        <w:rPr>
          <w:rFonts w:cs="Arial"/>
          <w:color w:val="000000" w:themeColor="text1"/>
          <w:szCs w:val="16"/>
        </w:rPr>
        <w:t>SY 2022-23 Assessment Data Groups - Reading (EDFacts file spec FS178; Data Group: 584)</w:t>
      </w:r>
    </w:p>
    <w:p w14:paraId="435988E5" w14:textId="77777777" w:rsidR="00C01339" w:rsidRPr="00781112" w:rsidRDefault="00344AE0" w:rsidP="00552927">
      <w:pPr>
        <w:rPr>
          <w:rFonts w:cs="Arial"/>
          <w:b/>
          <w:color w:val="000000" w:themeColor="text1"/>
          <w:szCs w:val="16"/>
        </w:rPr>
      </w:pPr>
      <w:r w:rsidRPr="00781112">
        <w:rPr>
          <w:rFonts w:cs="Arial"/>
          <w:b/>
          <w:color w:val="000000" w:themeColor="text1"/>
          <w:szCs w:val="16"/>
        </w:rPr>
        <w:t xml:space="preserve">Date: </w:t>
      </w:r>
    </w:p>
    <w:p w14:paraId="1E2D8106" w14:textId="34AD25B1" w:rsidR="00344AE0" w:rsidRPr="00781112" w:rsidRDefault="002B7490" w:rsidP="00552927">
      <w:pPr>
        <w:rPr>
          <w:rFonts w:cs="Arial"/>
          <w:color w:val="000000" w:themeColor="text1"/>
          <w:szCs w:val="16"/>
        </w:rPr>
      </w:pPr>
      <w:r w:rsidRPr="00781112">
        <w:rPr>
          <w:rFonts w:cs="Arial"/>
          <w:color w:val="000000" w:themeColor="text1"/>
          <w:szCs w:val="16"/>
        </w:rPr>
        <w:t>01/10/2024</w:t>
      </w:r>
    </w:p>
    <w:p w14:paraId="59BC6B2E" w14:textId="5FAC9B9E" w:rsidR="009D0D68" w:rsidRPr="00781112" w:rsidRDefault="00FE2056">
      <w:pPr>
        <w:rPr>
          <w:b/>
          <w:color w:val="000000" w:themeColor="text1"/>
        </w:rPr>
      </w:pPr>
      <w:r w:rsidRPr="00781112">
        <w:rPr>
          <w:b/>
          <w:color w:val="000000" w:themeColor="text1"/>
        </w:rPr>
        <w:t>Reading Assessment Proficiency Data by Grade</w:t>
      </w:r>
      <w:r w:rsidR="00993B32">
        <w:rPr>
          <w:b/>
          <w:color w:val="000000" w:themeColor="text1"/>
        </w:rPr>
        <w:t xml:space="preserve"> (1)</w:t>
      </w:r>
    </w:p>
    <w:tbl>
      <w:tblPr>
        <w:tblStyle w:val="TableGrid"/>
        <w:tblW w:w="5000" w:type="pct"/>
        <w:tblLayout w:type="fixed"/>
        <w:tblLook w:val="04A0" w:firstRow="1" w:lastRow="0" w:firstColumn="1" w:lastColumn="0" w:noHBand="0" w:noVBand="1"/>
        <w:tblCaption w:val="B03BASSPARTDATABYGRDRLA"/>
      </w:tblPr>
      <w:tblGrid>
        <w:gridCol w:w="2426"/>
        <w:gridCol w:w="2788"/>
        <w:gridCol w:w="2788"/>
        <w:gridCol w:w="2788"/>
      </w:tblGrid>
      <w:tr w:rsidR="00BB2745" w:rsidRPr="00781112" w14:paraId="35CB1461" w14:textId="77777777" w:rsidTr="009E026B">
        <w:tc>
          <w:tcPr>
            <w:tcW w:w="1124" w:type="pct"/>
            <w:shd w:val="clear" w:color="auto" w:fill="auto"/>
          </w:tcPr>
          <w:p w14:paraId="39D40F16" w14:textId="18178F77" w:rsidR="00BB2745" w:rsidRPr="00781112" w:rsidRDefault="00835EAD" w:rsidP="00BB2745">
            <w:pPr>
              <w:jc w:val="center"/>
              <w:rPr>
                <w:rFonts w:cs="Arial"/>
                <w:b/>
                <w:bCs/>
                <w:color w:val="000000" w:themeColor="text1"/>
                <w:szCs w:val="16"/>
              </w:rPr>
            </w:pPr>
            <w:r w:rsidRPr="00781112">
              <w:rPr>
                <w:rFonts w:cs="Arial"/>
                <w:b/>
                <w:bCs/>
                <w:color w:val="000000" w:themeColor="text1"/>
                <w:szCs w:val="16"/>
              </w:rPr>
              <w:t>Group</w:t>
            </w:r>
          </w:p>
        </w:tc>
        <w:tc>
          <w:tcPr>
            <w:tcW w:w="1292" w:type="pct"/>
            <w:shd w:val="clear" w:color="auto" w:fill="auto"/>
            <w:vAlign w:val="center"/>
          </w:tcPr>
          <w:p w14:paraId="17538CC6" w14:textId="5AE78718" w:rsidR="00BB2745" w:rsidRPr="00781112" w:rsidRDefault="00BB2745" w:rsidP="00196CE6">
            <w:pPr>
              <w:jc w:val="center"/>
              <w:rPr>
                <w:rFonts w:cs="Arial"/>
                <w:b/>
                <w:bCs/>
                <w:color w:val="000000" w:themeColor="text1"/>
                <w:szCs w:val="16"/>
              </w:rPr>
            </w:pPr>
            <w:r w:rsidRPr="00781112">
              <w:rPr>
                <w:rFonts w:cs="Arial"/>
                <w:b/>
                <w:bCs/>
                <w:color w:val="000000" w:themeColor="text1"/>
                <w:szCs w:val="16"/>
              </w:rPr>
              <w:t>Grade 4</w:t>
            </w:r>
          </w:p>
        </w:tc>
        <w:tc>
          <w:tcPr>
            <w:tcW w:w="1292" w:type="pct"/>
            <w:shd w:val="clear" w:color="auto" w:fill="auto"/>
            <w:vAlign w:val="center"/>
          </w:tcPr>
          <w:p w14:paraId="7B4C40DF" w14:textId="7F368CC4" w:rsidR="00BB2745" w:rsidRPr="00781112" w:rsidRDefault="00BB2745" w:rsidP="00315E88">
            <w:pPr>
              <w:jc w:val="center"/>
              <w:rPr>
                <w:rFonts w:cs="Arial"/>
                <w:b/>
                <w:bCs/>
                <w:color w:val="000000" w:themeColor="text1"/>
                <w:szCs w:val="16"/>
              </w:rPr>
            </w:pPr>
            <w:r w:rsidRPr="00781112">
              <w:rPr>
                <w:rFonts w:cs="Arial"/>
                <w:b/>
                <w:bCs/>
                <w:color w:val="000000" w:themeColor="text1"/>
                <w:szCs w:val="16"/>
              </w:rPr>
              <w:t>Grade 8</w:t>
            </w:r>
          </w:p>
        </w:tc>
        <w:tc>
          <w:tcPr>
            <w:tcW w:w="1292" w:type="pct"/>
            <w:shd w:val="clear" w:color="auto" w:fill="auto"/>
            <w:vAlign w:val="center"/>
          </w:tcPr>
          <w:p w14:paraId="3761AD03" w14:textId="6AC32E5E" w:rsidR="00BB2745" w:rsidRPr="00781112" w:rsidRDefault="00BB2745" w:rsidP="00E14CF0">
            <w:pPr>
              <w:jc w:val="center"/>
              <w:rPr>
                <w:rFonts w:cs="Arial"/>
                <w:b/>
                <w:bCs/>
                <w:color w:val="000000" w:themeColor="text1"/>
                <w:szCs w:val="16"/>
              </w:rPr>
            </w:pPr>
            <w:r w:rsidRPr="00781112">
              <w:rPr>
                <w:rFonts w:cs="Arial"/>
                <w:b/>
                <w:bCs/>
                <w:color w:val="000000" w:themeColor="text1"/>
                <w:szCs w:val="16"/>
              </w:rPr>
              <w:t>Grade HS</w:t>
            </w:r>
          </w:p>
        </w:tc>
      </w:tr>
      <w:tr w:rsidR="003B0C91" w:rsidRPr="00781112" w14:paraId="568B2C00" w14:textId="77777777" w:rsidTr="009E026B">
        <w:tc>
          <w:tcPr>
            <w:tcW w:w="1124" w:type="pct"/>
            <w:shd w:val="clear" w:color="auto" w:fill="auto"/>
          </w:tcPr>
          <w:p w14:paraId="4AD99060" w14:textId="5CD6AD07" w:rsidR="003B0C91" w:rsidRPr="00781112" w:rsidRDefault="003B0C91" w:rsidP="003B0C91">
            <w:pPr>
              <w:rPr>
                <w:rFonts w:cs="Arial"/>
                <w:color w:val="000000" w:themeColor="text1"/>
                <w:szCs w:val="16"/>
              </w:rPr>
            </w:pPr>
            <w:r w:rsidRPr="00781112">
              <w:rPr>
                <w:rFonts w:cs="Arial"/>
                <w:szCs w:val="16"/>
                <w:shd w:val="clear" w:color="auto" w:fill="FFFFFF"/>
              </w:rPr>
              <w:t>a. Children with IEPs who received a valid score and a proficiency level was assigned for the regular assessment</w:t>
            </w:r>
          </w:p>
        </w:tc>
        <w:tc>
          <w:tcPr>
            <w:tcW w:w="1292" w:type="pct"/>
            <w:shd w:val="clear" w:color="auto" w:fill="auto"/>
            <w:vAlign w:val="center"/>
          </w:tcPr>
          <w:p w14:paraId="17848320" w14:textId="2D89B216" w:rsidR="003B0C91" w:rsidRPr="00781112" w:rsidRDefault="003B0C91" w:rsidP="00360DD6">
            <w:pPr>
              <w:jc w:val="center"/>
              <w:rPr>
                <w:rFonts w:cs="Arial"/>
                <w:color w:val="000000" w:themeColor="text1"/>
                <w:szCs w:val="16"/>
              </w:rPr>
            </w:pPr>
            <w:r w:rsidRPr="00781112">
              <w:rPr>
                <w:rFonts w:cs="Arial"/>
                <w:color w:val="000000" w:themeColor="text1"/>
                <w:szCs w:val="16"/>
              </w:rPr>
              <w:t>7,272</w:t>
            </w:r>
          </w:p>
        </w:tc>
        <w:tc>
          <w:tcPr>
            <w:tcW w:w="1292" w:type="pct"/>
            <w:shd w:val="clear" w:color="auto" w:fill="auto"/>
            <w:vAlign w:val="center"/>
          </w:tcPr>
          <w:p w14:paraId="51A72AB5" w14:textId="4469B046" w:rsidR="003B0C91" w:rsidRPr="00781112" w:rsidRDefault="003B0C91" w:rsidP="00360DD6">
            <w:pPr>
              <w:jc w:val="center"/>
              <w:rPr>
                <w:rFonts w:cs="Arial"/>
                <w:color w:val="000000" w:themeColor="text1"/>
                <w:szCs w:val="16"/>
              </w:rPr>
            </w:pPr>
            <w:r w:rsidRPr="00781112">
              <w:rPr>
                <w:rFonts w:cs="Arial"/>
                <w:color w:val="000000" w:themeColor="text1"/>
                <w:szCs w:val="16"/>
              </w:rPr>
              <w:t>5,608</w:t>
            </w:r>
          </w:p>
        </w:tc>
        <w:tc>
          <w:tcPr>
            <w:tcW w:w="1292" w:type="pct"/>
            <w:shd w:val="clear" w:color="auto" w:fill="auto"/>
            <w:vAlign w:val="center"/>
          </w:tcPr>
          <w:p w14:paraId="151E318E" w14:textId="46F9C307" w:rsidR="003B0C91" w:rsidRPr="00781112" w:rsidRDefault="003B0C91" w:rsidP="00360DD6">
            <w:pPr>
              <w:jc w:val="center"/>
              <w:rPr>
                <w:rFonts w:cs="Arial"/>
                <w:color w:val="000000" w:themeColor="text1"/>
                <w:szCs w:val="16"/>
              </w:rPr>
            </w:pPr>
            <w:r w:rsidRPr="00781112">
              <w:rPr>
                <w:rFonts w:cs="Arial"/>
                <w:color w:val="000000" w:themeColor="text1"/>
                <w:szCs w:val="16"/>
              </w:rPr>
              <w:t>4,099</w:t>
            </w:r>
          </w:p>
        </w:tc>
      </w:tr>
      <w:tr w:rsidR="003B0C91" w:rsidRPr="00781112" w14:paraId="4F287E15" w14:textId="77777777" w:rsidTr="009E026B">
        <w:tc>
          <w:tcPr>
            <w:tcW w:w="1124" w:type="pct"/>
            <w:shd w:val="clear" w:color="auto" w:fill="auto"/>
          </w:tcPr>
          <w:p w14:paraId="3423EDAB" w14:textId="76BBADB8" w:rsidR="003B0C91" w:rsidRPr="00781112" w:rsidRDefault="003B0C91" w:rsidP="003B0C91">
            <w:pPr>
              <w:rPr>
                <w:rFonts w:cs="Arial"/>
                <w:color w:val="000000" w:themeColor="text1"/>
                <w:szCs w:val="16"/>
              </w:rPr>
            </w:pPr>
            <w:r w:rsidRPr="00781112">
              <w:rPr>
                <w:rFonts w:cs="Arial"/>
                <w:szCs w:val="16"/>
                <w:shd w:val="clear" w:color="auto" w:fill="FFFFFF"/>
              </w:rPr>
              <w:t xml:space="preserve">b. </w:t>
            </w:r>
            <w:r w:rsidR="005527CB">
              <w:rPr>
                <w:rFonts w:cs="Arial"/>
                <w:color w:val="000000" w:themeColor="text1"/>
                <w:szCs w:val="16"/>
              </w:rPr>
              <w:t xml:space="preserve">Children with </w:t>
            </w:r>
            <w:r w:rsidRPr="00781112">
              <w:rPr>
                <w:rFonts w:cs="Arial"/>
                <w:szCs w:val="16"/>
                <w:shd w:val="clear" w:color="auto" w:fill="FFFFFF"/>
              </w:rPr>
              <w:t>IEPs in regular assessment with no accommodations scored at or above proficient against grade level</w:t>
            </w:r>
          </w:p>
        </w:tc>
        <w:tc>
          <w:tcPr>
            <w:tcW w:w="1292" w:type="pct"/>
            <w:shd w:val="clear" w:color="auto" w:fill="auto"/>
            <w:vAlign w:val="center"/>
          </w:tcPr>
          <w:p w14:paraId="616181A6" w14:textId="2B02EF7A" w:rsidR="003B0C91" w:rsidRPr="00781112" w:rsidRDefault="003B0C91" w:rsidP="00360DD6">
            <w:pPr>
              <w:jc w:val="center"/>
              <w:rPr>
                <w:rFonts w:cs="Arial"/>
                <w:color w:val="000000" w:themeColor="text1"/>
                <w:szCs w:val="16"/>
              </w:rPr>
            </w:pPr>
            <w:r w:rsidRPr="00781112">
              <w:rPr>
                <w:rFonts w:cs="Arial"/>
                <w:color w:val="000000" w:themeColor="text1"/>
                <w:szCs w:val="16"/>
              </w:rPr>
              <w:t>611</w:t>
            </w:r>
          </w:p>
        </w:tc>
        <w:tc>
          <w:tcPr>
            <w:tcW w:w="1292" w:type="pct"/>
            <w:shd w:val="clear" w:color="auto" w:fill="auto"/>
            <w:vAlign w:val="center"/>
          </w:tcPr>
          <w:p w14:paraId="74B7B6E9" w14:textId="4E36B377" w:rsidR="003B0C91" w:rsidRPr="00781112" w:rsidRDefault="003B0C91" w:rsidP="00360DD6">
            <w:pPr>
              <w:jc w:val="center"/>
              <w:rPr>
                <w:rFonts w:cs="Arial"/>
                <w:color w:val="000000" w:themeColor="text1"/>
                <w:szCs w:val="16"/>
              </w:rPr>
            </w:pPr>
            <w:r w:rsidRPr="00781112">
              <w:rPr>
                <w:rFonts w:cs="Arial"/>
                <w:color w:val="000000" w:themeColor="text1"/>
                <w:szCs w:val="16"/>
              </w:rPr>
              <w:t>253</w:t>
            </w:r>
          </w:p>
        </w:tc>
        <w:tc>
          <w:tcPr>
            <w:tcW w:w="1292" w:type="pct"/>
            <w:shd w:val="clear" w:color="auto" w:fill="auto"/>
            <w:vAlign w:val="center"/>
          </w:tcPr>
          <w:p w14:paraId="46F10147" w14:textId="1408D78A" w:rsidR="003B0C91" w:rsidRPr="00781112" w:rsidRDefault="003B0C91" w:rsidP="00360DD6">
            <w:pPr>
              <w:jc w:val="center"/>
              <w:rPr>
                <w:rFonts w:cs="Arial"/>
                <w:color w:val="000000" w:themeColor="text1"/>
                <w:szCs w:val="16"/>
              </w:rPr>
            </w:pPr>
            <w:r w:rsidRPr="00781112">
              <w:rPr>
                <w:rFonts w:cs="Arial"/>
                <w:color w:val="000000" w:themeColor="text1"/>
                <w:szCs w:val="16"/>
              </w:rPr>
              <w:t>142</w:t>
            </w:r>
          </w:p>
        </w:tc>
      </w:tr>
      <w:tr w:rsidR="003B0C91" w:rsidRPr="00781112" w14:paraId="41239D5E" w14:textId="77777777" w:rsidTr="009E026B">
        <w:tc>
          <w:tcPr>
            <w:tcW w:w="1124" w:type="pct"/>
            <w:shd w:val="clear" w:color="auto" w:fill="auto"/>
          </w:tcPr>
          <w:p w14:paraId="5F79CC0F" w14:textId="181C3E67" w:rsidR="003B0C91" w:rsidRPr="00781112" w:rsidRDefault="003B0C91" w:rsidP="003B0C91">
            <w:pPr>
              <w:rPr>
                <w:rFonts w:cs="Arial"/>
                <w:color w:val="000000" w:themeColor="text1"/>
                <w:szCs w:val="16"/>
              </w:rPr>
            </w:pPr>
            <w:r w:rsidRPr="00781112">
              <w:rPr>
                <w:rFonts w:cs="Arial"/>
                <w:szCs w:val="16"/>
                <w:shd w:val="clear" w:color="auto" w:fill="FFFFFF"/>
              </w:rPr>
              <w:t xml:space="preserve">c. </w:t>
            </w:r>
            <w:r w:rsidR="005527CB">
              <w:rPr>
                <w:rFonts w:cs="Arial"/>
                <w:color w:val="000000" w:themeColor="text1"/>
                <w:szCs w:val="16"/>
              </w:rPr>
              <w:t xml:space="preserve">Children with </w:t>
            </w:r>
            <w:r w:rsidRPr="00781112">
              <w:rPr>
                <w:rFonts w:cs="Arial"/>
                <w:szCs w:val="16"/>
                <w:shd w:val="clear" w:color="auto" w:fill="FFFFFF"/>
              </w:rPr>
              <w:t>IEPs in regular assessment with accommodations scored at or above proficient against grade level</w:t>
            </w:r>
          </w:p>
        </w:tc>
        <w:tc>
          <w:tcPr>
            <w:tcW w:w="1292" w:type="pct"/>
            <w:shd w:val="clear" w:color="auto" w:fill="auto"/>
            <w:vAlign w:val="center"/>
          </w:tcPr>
          <w:p w14:paraId="5E9652E2" w14:textId="24316F52" w:rsidR="003B0C91" w:rsidRPr="00781112" w:rsidRDefault="003B0C91" w:rsidP="00360DD6">
            <w:pPr>
              <w:jc w:val="center"/>
              <w:rPr>
                <w:rFonts w:cs="Arial"/>
                <w:color w:val="000000" w:themeColor="text1"/>
                <w:szCs w:val="16"/>
              </w:rPr>
            </w:pPr>
            <w:r w:rsidRPr="00781112">
              <w:rPr>
                <w:rFonts w:cs="Arial"/>
                <w:color w:val="000000" w:themeColor="text1"/>
                <w:szCs w:val="16"/>
              </w:rPr>
              <w:t>178</w:t>
            </w:r>
          </w:p>
        </w:tc>
        <w:tc>
          <w:tcPr>
            <w:tcW w:w="1292" w:type="pct"/>
            <w:shd w:val="clear" w:color="auto" w:fill="auto"/>
            <w:vAlign w:val="center"/>
          </w:tcPr>
          <w:p w14:paraId="47F69679" w14:textId="3EDB1646" w:rsidR="003B0C91" w:rsidRPr="00781112" w:rsidRDefault="003B0C91" w:rsidP="00360DD6">
            <w:pPr>
              <w:jc w:val="center"/>
              <w:rPr>
                <w:rFonts w:cs="Arial"/>
                <w:color w:val="000000" w:themeColor="text1"/>
                <w:szCs w:val="16"/>
              </w:rPr>
            </w:pPr>
            <w:r w:rsidRPr="00781112">
              <w:rPr>
                <w:rFonts w:cs="Arial"/>
                <w:color w:val="000000" w:themeColor="text1"/>
                <w:szCs w:val="16"/>
              </w:rPr>
              <w:t>144</w:t>
            </w:r>
          </w:p>
        </w:tc>
        <w:tc>
          <w:tcPr>
            <w:tcW w:w="1292" w:type="pct"/>
            <w:shd w:val="clear" w:color="auto" w:fill="auto"/>
            <w:vAlign w:val="center"/>
          </w:tcPr>
          <w:p w14:paraId="59F768C9" w14:textId="4401EA9F" w:rsidR="003B0C91" w:rsidRPr="00781112" w:rsidRDefault="003B0C91" w:rsidP="00360DD6">
            <w:pPr>
              <w:jc w:val="center"/>
              <w:rPr>
                <w:rFonts w:cs="Arial"/>
                <w:color w:val="000000" w:themeColor="text1"/>
                <w:szCs w:val="16"/>
              </w:rPr>
            </w:pPr>
            <w:r w:rsidRPr="00781112">
              <w:rPr>
                <w:rFonts w:cs="Arial"/>
                <w:color w:val="000000" w:themeColor="text1"/>
                <w:szCs w:val="16"/>
              </w:rPr>
              <w:t>571</w:t>
            </w:r>
          </w:p>
        </w:tc>
      </w:tr>
    </w:tbl>
    <w:p w14:paraId="5994F67E" w14:textId="77777777" w:rsidR="00346807" w:rsidRPr="00781112" w:rsidRDefault="00346807">
      <w:pPr>
        <w:rPr>
          <w:b/>
          <w:color w:val="000000" w:themeColor="text1"/>
        </w:rPr>
      </w:pPr>
    </w:p>
    <w:p w14:paraId="6D3557DD" w14:textId="77777777" w:rsidR="00C01339" w:rsidRPr="00781112" w:rsidRDefault="00382F22" w:rsidP="00552927">
      <w:pPr>
        <w:rPr>
          <w:rFonts w:cs="Arial"/>
          <w:b/>
          <w:color w:val="000000" w:themeColor="text1"/>
          <w:szCs w:val="16"/>
        </w:rPr>
      </w:pPr>
      <w:r w:rsidRPr="00781112">
        <w:rPr>
          <w:rFonts w:cs="Arial"/>
          <w:b/>
          <w:color w:val="000000" w:themeColor="text1"/>
          <w:szCs w:val="16"/>
        </w:rPr>
        <w:t xml:space="preserve">Data Source: </w:t>
      </w:r>
    </w:p>
    <w:p w14:paraId="1FB962F7" w14:textId="3D177E4C" w:rsidR="00C470E8" w:rsidRPr="00781112" w:rsidRDefault="002B7490" w:rsidP="00552927">
      <w:pPr>
        <w:rPr>
          <w:rFonts w:cs="Arial"/>
          <w:color w:val="000000" w:themeColor="text1"/>
          <w:szCs w:val="16"/>
        </w:rPr>
      </w:pPr>
      <w:r w:rsidRPr="00781112">
        <w:rPr>
          <w:rFonts w:cs="Arial"/>
          <w:color w:val="000000" w:themeColor="text1"/>
          <w:szCs w:val="16"/>
        </w:rPr>
        <w:t>SY 2022-23 Assessment Data Groups - Math (EDFacts file spec FS175; Data Group: 583)</w:t>
      </w:r>
    </w:p>
    <w:p w14:paraId="57CD97A4" w14:textId="77777777" w:rsidR="00C01339" w:rsidRPr="00781112" w:rsidRDefault="00382F22" w:rsidP="00552927">
      <w:pPr>
        <w:rPr>
          <w:rFonts w:cs="Arial"/>
          <w:b/>
          <w:color w:val="000000" w:themeColor="text1"/>
          <w:szCs w:val="16"/>
        </w:rPr>
      </w:pPr>
      <w:r w:rsidRPr="00781112">
        <w:rPr>
          <w:rFonts w:cs="Arial"/>
          <w:b/>
          <w:color w:val="000000" w:themeColor="text1"/>
          <w:szCs w:val="16"/>
        </w:rPr>
        <w:t xml:space="preserve">Date: </w:t>
      </w:r>
    </w:p>
    <w:p w14:paraId="26169998" w14:textId="4F560DE2" w:rsidR="00382F22" w:rsidRPr="00781112" w:rsidRDefault="002B7490" w:rsidP="00552927">
      <w:pPr>
        <w:rPr>
          <w:rFonts w:cs="Arial"/>
          <w:color w:val="000000" w:themeColor="text1"/>
          <w:szCs w:val="16"/>
        </w:rPr>
      </w:pPr>
      <w:r w:rsidRPr="00781112">
        <w:rPr>
          <w:rFonts w:cs="Arial"/>
          <w:color w:val="000000" w:themeColor="text1"/>
          <w:szCs w:val="16"/>
        </w:rPr>
        <w:t>01/10/2024</w:t>
      </w:r>
    </w:p>
    <w:p w14:paraId="33DEC24F" w14:textId="77777777" w:rsidR="005D18BE" w:rsidRPr="00781112" w:rsidRDefault="005D18BE" w:rsidP="00552927">
      <w:pPr>
        <w:rPr>
          <w:rFonts w:cs="Arial"/>
          <w:color w:val="000000" w:themeColor="text1"/>
          <w:szCs w:val="16"/>
        </w:rPr>
      </w:pPr>
    </w:p>
    <w:p w14:paraId="5767F488" w14:textId="3F393894" w:rsidR="00FE2056" w:rsidRPr="00781112" w:rsidRDefault="00FE2056">
      <w:pPr>
        <w:rPr>
          <w:b/>
          <w:color w:val="000000" w:themeColor="text1"/>
        </w:rPr>
      </w:pPr>
      <w:r w:rsidRPr="00781112">
        <w:rPr>
          <w:b/>
          <w:color w:val="000000" w:themeColor="text1"/>
        </w:rPr>
        <w:t>Math Assessment Proficiency Data by Grade</w:t>
      </w:r>
      <w:r w:rsidR="00993B32">
        <w:rPr>
          <w:b/>
          <w:color w:val="000000" w:themeColor="text1"/>
        </w:rPr>
        <w:t xml:space="preserve"> (1)</w:t>
      </w:r>
    </w:p>
    <w:tbl>
      <w:tblPr>
        <w:tblStyle w:val="TableGrid"/>
        <w:tblW w:w="4998" w:type="pct"/>
        <w:tblLayout w:type="fixed"/>
        <w:tblLook w:val="04A0" w:firstRow="1" w:lastRow="0" w:firstColumn="1" w:lastColumn="0" w:noHBand="0" w:noVBand="1"/>
        <w:tblCaption w:val="B03BASSPARTDATABYGRDMATH"/>
      </w:tblPr>
      <w:tblGrid>
        <w:gridCol w:w="2425"/>
        <w:gridCol w:w="2787"/>
        <w:gridCol w:w="2787"/>
        <w:gridCol w:w="2787"/>
      </w:tblGrid>
      <w:tr w:rsidR="00EB6900" w:rsidRPr="00781112" w14:paraId="1F3A5453" w14:textId="77777777" w:rsidTr="009E026B">
        <w:tc>
          <w:tcPr>
            <w:tcW w:w="1124" w:type="pct"/>
            <w:shd w:val="clear" w:color="auto" w:fill="auto"/>
          </w:tcPr>
          <w:p w14:paraId="5BF018F9" w14:textId="6FE6FA6F" w:rsidR="00EB6900" w:rsidRPr="00781112" w:rsidRDefault="00835EAD" w:rsidP="00EB6900">
            <w:pPr>
              <w:jc w:val="center"/>
              <w:rPr>
                <w:rFonts w:cs="Arial"/>
                <w:b/>
                <w:bCs/>
                <w:color w:val="000000" w:themeColor="text1"/>
                <w:szCs w:val="16"/>
              </w:rPr>
            </w:pPr>
            <w:r w:rsidRPr="00781112">
              <w:rPr>
                <w:rFonts w:cs="Arial"/>
                <w:b/>
                <w:bCs/>
                <w:color w:val="000000" w:themeColor="text1"/>
                <w:szCs w:val="16"/>
              </w:rPr>
              <w:t>Group</w:t>
            </w:r>
          </w:p>
        </w:tc>
        <w:tc>
          <w:tcPr>
            <w:tcW w:w="1292" w:type="pct"/>
            <w:shd w:val="clear" w:color="auto" w:fill="auto"/>
            <w:vAlign w:val="center"/>
          </w:tcPr>
          <w:p w14:paraId="24FAE140" w14:textId="0B22750E" w:rsidR="00EB6900" w:rsidRPr="00781112" w:rsidRDefault="00EB6900" w:rsidP="00196CE6">
            <w:pPr>
              <w:jc w:val="center"/>
              <w:rPr>
                <w:rFonts w:cs="Arial"/>
                <w:b/>
                <w:bCs/>
                <w:color w:val="000000" w:themeColor="text1"/>
                <w:szCs w:val="16"/>
              </w:rPr>
            </w:pPr>
            <w:r w:rsidRPr="00781112">
              <w:rPr>
                <w:rFonts w:cs="Arial"/>
                <w:b/>
                <w:bCs/>
                <w:color w:val="000000" w:themeColor="text1"/>
                <w:szCs w:val="16"/>
              </w:rPr>
              <w:t>Grade 4</w:t>
            </w:r>
          </w:p>
        </w:tc>
        <w:tc>
          <w:tcPr>
            <w:tcW w:w="1292" w:type="pct"/>
            <w:shd w:val="clear" w:color="auto" w:fill="auto"/>
            <w:vAlign w:val="center"/>
          </w:tcPr>
          <w:p w14:paraId="47A01117" w14:textId="43F14FF6" w:rsidR="00EB6900" w:rsidRPr="00781112" w:rsidRDefault="00EB6900" w:rsidP="00315E88">
            <w:pPr>
              <w:jc w:val="center"/>
              <w:rPr>
                <w:rFonts w:cs="Arial"/>
                <w:b/>
                <w:bCs/>
                <w:color w:val="000000" w:themeColor="text1"/>
                <w:szCs w:val="16"/>
              </w:rPr>
            </w:pPr>
            <w:r w:rsidRPr="00781112">
              <w:rPr>
                <w:rFonts w:cs="Arial"/>
                <w:b/>
                <w:bCs/>
                <w:color w:val="000000" w:themeColor="text1"/>
                <w:szCs w:val="16"/>
              </w:rPr>
              <w:t>Grade 8</w:t>
            </w:r>
          </w:p>
        </w:tc>
        <w:tc>
          <w:tcPr>
            <w:tcW w:w="1292" w:type="pct"/>
            <w:shd w:val="clear" w:color="auto" w:fill="auto"/>
            <w:vAlign w:val="center"/>
          </w:tcPr>
          <w:p w14:paraId="62BC8C13" w14:textId="1B955AD9" w:rsidR="00EB6900" w:rsidRPr="00781112" w:rsidRDefault="00EB6900" w:rsidP="00E14CF0">
            <w:pPr>
              <w:jc w:val="center"/>
              <w:rPr>
                <w:rFonts w:cs="Arial"/>
                <w:b/>
                <w:bCs/>
                <w:color w:val="000000" w:themeColor="text1"/>
                <w:szCs w:val="16"/>
              </w:rPr>
            </w:pPr>
            <w:r w:rsidRPr="00781112">
              <w:rPr>
                <w:rFonts w:cs="Arial"/>
                <w:b/>
                <w:bCs/>
                <w:color w:val="000000" w:themeColor="text1"/>
                <w:szCs w:val="16"/>
              </w:rPr>
              <w:t>Grade HS</w:t>
            </w:r>
          </w:p>
        </w:tc>
      </w:tr>
      <w:tr w:rsidR="00EB6900" w:rsidRPr="00781112" w14:paraId="3E50404B" w14:textId="77777777" w:rsidTr="009E026B">
        <w:tc>
          <w:tcPr>
            <w:tcW w:w="1124" w:type="pct"/>
            <w:shd w:val="clear" w:color="auto" w:fill="auto"/>
          </w:tcPr>
          <w:p w14:paraId="1BC1C3E1" w14:textId="4BCAFF70" w:rsidR="00EB6900" w:rsidRPr="00781112" w:rsidRDefault="00EB6900" w:rsidP="00EB6900">
            <w:pPr>
              <w:rPr>
                <w:rFonts w:cs="Arial"/>
                <w:color w:val="000000" w:themeColor="text1"/>
                <w:szCs w:val="16"/>
              </w:rPr>
            </w:pPr>
            <w:r w:rsidRPr="00781112">
              <w:rPr>
                <w:rFonts w:cs="Arial"/>
                <w:szCs w:val="16"/>
                <w:shd w:val="clear" w:color="auto" w:fill="FFFFFF"/>
              </w:rPr>
              <w:t>a. Children with IEPs who received a valid score and a proficiency level was assigned for the regular assessment</w:t>
            </w:r>
          </w:p>
        </w:tc>
        <w:tc>
          <w:tcPr>
            <w:tcW w:w="1292" w:type="pct"/>
            <w:shd w:val="clear" w:color="auto" w:fill="auto"/>
            <w:vAlign w:val="center"/>
          </w:tcPr>
          <w:p w14:paraId="73844C67" w14:textId="1DA65780" w:rsidR="00EB6900" w:rsidRPr="00781112" w:rsidRDefault="00EB6900" w:rsidP="00360DD6">
            <w:pPr>
              <w:jc w:val="center"/>
              <w:rPr>
                <w:rFonts w:cs="Arial"/>
                <w:color w:val="000000" w:themeColor="text1"/>
                <w:szCs w:val="16"/>
              </w:rPr>
            </w:pPr>
            <w:r w:rsidRPr="00781112">
              <w:rPr>
                <w:rFonts w:cs="Arial"/>
                <w:color w:val="000000" w:themeColor="text1"/>
                <w:szCs w:val="16"/>
              </w:rPr>
              <w:t>7,292</w:t>
            </w:r>
          </w:p>
        </w:tc>
        <w:tc>
          <w:tcPr>
            <w:tcW w:w="1292" w:type="pct"/>
            <w:shd w:val="clear" w:color="auto" w:fill="auto"/>
            <w:vAlign w:val="center"/>
          </w:tcPr>
          <w:p w14:paraId="3573F811" w14:textId="4BE7EE48" w:rsidR="00EB6900" w:rsidRPr="00781112" w:rsidRDefault="00EB6900" w:rsidP="00360DD6">
            <w:pPr>
              <w:jc w:val="center"/>
              <w:rPr>
                <w:rFonts w:cs="Arial"/>
                <w:color w:val="000000" w:themeColor="text1"/>
                <w:szCs w:val="16"/>
              </w:rPr>
            </w:pPr>
            <w:r w:rsidRPr="00781112">
              <w:rPr>
                <w:rFonts w:cs="Arial"/>
                <w:color w:val="000000" w:themeColor="text1"/>
                <w:szCs w:val="16"/>
              </w:rPr>
              <w:t>5,604</w:t>
            </w:r>
          </w:p>
        </w:tc>
        <w:tc>
          <w:tcPr>
            <w:tcW w:w="1292" w:type="pct"/>
            <w:shd w:val="clear" w:color="auto" w:fill="auto"/>
            <w:vAlign w:val="center"/>
          </w:tcPr>
          <w:p w14:paraId="3D006657" w14:textId="5E74B673" w:rsidR="00EB6900" w:rsidRPr="00781112" w:rsidRDefault="00EB6900" w:rsidP="00360DD6">
            <w:pPr>
              <w:jc w:val="center"/>
              <w:rPr>
                <w:rFonts w:cs="Arial"/>
                <w:color w:val="000000" w:themeColor="text1"/>
                <w:szCs w:val="16"/>
              </w:rPr>
            </w:pPr>
            <w:r w:rsidRPr="00781112">
              <w:rPr>
                <w:rFonts w:cs="Arial"/>
                <w:color w:val="000000" w:themeColor="text1"/>
                <w:szCs w:val="16"/>
              </w:rPr>
              <w:t>4,099</w:t>
            </w:r>
          </w:p>
        </w:tc>
      </w:tr>
      <w:tr w:rsidR="00EB6900" w:rsidRPr="00781112" w14:paraId="4482EF44" w14:textId="77777777" w:rsidTr="009E026B">
        <w:tc>
          <w:tcPr>
            <w:tcW w:w="1124" w:type="pct"/>
            <w:shd w:val="clear" w:color="auto" w:fill="auto"/>
          </w:tcPr>
          <w:p w14:paraId="27BF445B" w14:textId="0D33636A" w:rsidR="00EB6900" w:rsidRPr="00781112" w:rsidRDefault="00EB6900" w:rsidP="00EB6900">
            <w:pPr>
              <w:rPr>
                <w:rFonts w:cs="Arial"/>
                <w:color w:val="000000" w:themeColor="text1"/>
                <w:szCs w:val="16"/>
              </w:rPr>
            </w:pPr>
            <w:r w:rsidRPr="00781112">
              <w:rPr>
                <w:rFonts w:cs="Arial"/>
                <w:szCs w:val="16"/>
                <w:shd w:val="clear" w:color="auto" w:fill="FFFFFF"/>
              </w:rPr>
              <w:t>b. Children with IEPs in regular assessment with no accommodations scored at or above proficient against grade level</w:t>
            </w:r>
          </w:p>
        </w:tc>
        <w:tc>
          <w:tcPr>
            <w:tcW w:w="1292" w:type="pct"/>
            <w:shd w:val="clear" w:color="auto" w:fill="auto"/>
            <w:vAlign w:val="center"/>
          </w:tcPr>
          <w:p w14:paraId="6FAE18FE" w14:textId="45CDD134" w:rsidR="00EB6900" w:rsidRPr="00781112" w:rsidRDefault="00EB6900" w:rsidP="00360DD6">
            <w:pPr>
              <w:jc w:val="center"/>
              <w:rPr>
                <w:rFonts w:cs="Arial"/>
                <w:color w:val="000000" w:themeColor="text1"/>
                <w:szCs w:val="16"/>
              </w:rPr>
            </w:pPr>
            <w:r w:rsidRPr="00781112">
              <w:rPr>
                <w:rFonts w:cs="Arial"/>
                <w:color w:val="000000" w:themeColor="text1"/>
                <w:szCs w:val="16"/>
              </w:rPr>
              <w:t>528</w:t>
            </w:r>
          </w:p>
        </w:tc>
        <w:tc>
          <w:tcPr>
            <w:tcW w:w="1292" w:type="pct"/>
            <w:shd w:val="clear" w:color="auto" w:fill="auto"/>
            <w:vAlign w:val="center"/>
          </w:tcPr>
          <w:p w14:paraId="0501C27C" w14:textId="424208A4" w:rsidR="00EB6900" w:rsidRPr="00781112" w:rsidRDefault="00EB6900" w:rsidP="00360DD6">
            <w:pPr>
              <w:jc w:val="center"/>
              <w:rPr>
                <w:rFonts w:cs="Arial"/>
                <w:color w:val="000000" w:themeColor="text1"/>
                <w:szCs w:val="16"/>
              </w:rPr>
            </w:pPr>
            <w:r w:rsidRPr="00781112">
              <w:rPr>
                <w:rFonts w:cs="Arial"/>
                <w:color w:val="000000" w:themeColor="text1"/>
                <w:szCs w:val="16"/>
              </w:rPr>
              <w:t>201</w:t>
            </w:r>
          </w:p>
        </w:tc>
        <w:tc>
          <w:tcPr>
            <w:tcW w:w="1292" w:type="pct"/>
            <w:shd w:val="clear" w:color="auto" w:fill="auto"/>
            <w:vAlign w:val="center"/>
          </w:tcPr>
          <w:p w14:paraId="2F8ECC6A" w14:textId="065827BA" w:rsidR="00EB6900" w:rsidRPr="00781112" w:rsidRDefault="00EB6900" w:rsidP="00360DD6">
            <w:pPr>
              <w:jc w:val="center"/>
              <w:rPr>
                <w:rFonts w:cs="Arial"/>
                <w:color w:val="000000" w:themeColor="text1"/>
                <w:szCs w:val="16"/>
              </w:rPr>
            </w:pPr>
            <w:r w:rsidRPr="00781112">
              <w:rPr>
                <w:rFonts w:cs="Arial"/>
                <w:color w:val="000000" w:themeColor="text1"/>
                <w:szCs w:val="16"/>
              </w:rPr>
              <w:t>51</w:t>
            </w:r>
          </w:p>
        </w:tc>
      </w:tr>
      <w:tr w:rsidR="00EB6900" w:rsidRPr="00781112" w14:paraId="7ED983D3" w14:textId="77777777" w:rsidTr="009E026B">
        <w:tc>
          <w:tcPr>
            <w:tcW w:w="1124" w:type="pct"/>
            <w:shd w:val="clear" w:color="auto" w:fill="auto"/>
          </w:tcPr>
          <w:p w14:paraId="6E21D958" w14:textId="7EF8B281" w:rsidR="00EB6900" w:rsidRPr="00781112" w:rsidRDefault="00EB6900" w:rsidP="00EB6900">
            <w:pPr>
              <w:rPr>
                <w:rFonts w:cs="Arial"/>
                <w:color w:val="000000" w:themeColor="text1"/>
                <w:szCs w:val="16"/>
              </w:rPr>
            </w:pPr>
            <w:r w:rsidRPr="00781112">
              <w:rPr>
                <w:rFonts w:cs="Arial"/>
                <w:szCs w:val="16"/>
                <w:shd w:val="clear" w:color="auto" w:fill="FFFFFF"/>
              </w:rPr>
              <w:lastRenderedPageBreak/>
              <w:t>c. Children with IEPs in regular assessment with accommodations scored at or above proficient against grade level</w:t>
            </w:r>
          </w:p>
        </w:tc>
        <w:tc>
          <w:tcPr>
            <w:tcW w:w="1292" w:type="pct"/>
            <w:shd w:val="clear" w:color="auto" w:fill="auto"/>
            <w:vAlign w:val="center"/>
          </w:tcPr>
          <w:p w14:paraId="239BF66A" w14:textId="489CBBAB" w:rsidR="00EB6900" w:rsidRPr="00781112" w:rsidRDefault="00EB6900" w:rsidP="00360DD6">
            <w:pPr>
              <w:jc w:val="center"/>
              <w:rPr>
                <w:rFonts w:cs="Arial"/>
                <w:color w:val="000000" w:themeColor="text1"/>
                <w:szCs w:val="16"/>
              </w:rPr>
            </w:pPr>
            <w:r w:rsidRPr="00781112">
              <w:rPr>
                <w:rFonts w:cs="Arial"/>
                <w:color w:val="000000" w:themeColor="text1"/>
                <w:szCs w:val="16"/>
              </w:rPr>
              <w:t>160</w:t>
            </w:r>
          </w:p>
        </w:tc>
        <w:tc>
          <w:tcPr>
            <w:tcW w:w="1292" w:type="pct"/>
            <w:shd w:val="clear" w:color="auto" w:fill="auto"/>
            <w:vAlign w:val="center"/>
          </w:tcPr>
          <w:p w14:paraId="3148F449" w14:textId="071E2D42" w:rsidR="00EB6900" w:rsidRPr="00781112" w:rsidRDefault="00EB6900" w:rsidP="00360DD6">
            <w:pPr>
              <w:jc w:val="center"/>
              <w:rPr>
                <w:rFonts w:cs="Arial"/>
                <w:color w:val="000000" w:themeColor="text1"/>
                <w:szCs w:val="16"/>
              </w:rPr>
            </w:pPr>
            <w:r w:rsidRPr="00781112">
              <w:rPr>
                <w:rFonts w:cs="Arial"/>
                <w:color w:val="000000" w:themeColor="text1"/>
                <w:szCs w:val="16"/>
              </w:rPr>
              <w:t>118</w:t>
            </w:r>
          </w:p>
        </w:tc>
        <w:tc>
          <w:tcPr>
            <w:tcW w:w="1292" w:type="pct"/>
            <w:shd w:val="clear" w:color="auto" w:fill="auto"/>
            <w:vAlign w:val="center"/>
          </w:tcPr>
          <w:p w14:paraId="56D05BB3" w14:textId="5F6BA567" w:rsidR="00EB6900" w:rsidRPr="00781112" w:rsidRDefault="00EB6900" w:rsidP="00360DD6">
            <w:pPr>
              <w:jc w:val="center"/>
              <w:rPr>
                <w:rFonts w:cs="Arial"/>
                <w:color w:val="000000" w:themeColor="text1"/>
                <w:szCs w:val="16"/>
              </w:rPr>
            </w:pPr>
            <w:r w:rsidRPr="00781112">
              <w:rPr>
                <w:rFonts w:cs="Arial"/>
                <w:color w:val="000000" w:themeColor="text1"/>
                <w:szCs w:val="16"/>
              </w:rPr>
              <w:t>191</w:t>
            </w:r>
          </w:p>
        </w:tc>
      </w:tr>
    </w:tbl>
    <w:bookmarkEnd w:id="14"/>
    <w:p w14:paraId="122AE711" w14:textId="77777777" w:rsidR="00502870" w:rsidRDefault="00502870" w:rsidP="00502870">
      <w:pPr>
        <w:pStyle w:val="Subhed"/>
        <w:rPr>
          <w:b w:val="0"/>
          <w:bCs/>
        </w:rPr>
      </w:pPr>
      <w:r w:rsidRPr="00580D24">
        <w:rPr>
          <w:b w:val="0"/>
          <w:bCs/>
        </w:rPr>
        <w:t>(</w:t>
      </w:r>
      <w:proofErr w:type="gramStart"/>
      <w:r w:rsidRPr="00580D24">
        <w:rPr>
          <w:b w:val="0"/>
          <w:bCs/>
        </w:rPr>
        <w:t>1)The</w:t>
      </w:r>
      <w:proofErr w:type="gramEnd"/>
      <w:r w:rsidRPr="00580D24">
        <w:rPr>
          <w:b w:val="0"/>
          <w:bCs/>
        </w:rPr>
        <w:t xml:space="preserve"> term “regular assessment” is an aggregation of the following types of assessments as applicable for each grade/ grade group: regular assessment based on grade-level achievement standards, advanced assessment, Innovative Assessment Demonstration Authority (IADA) pilot assessment, high school regular assessment I, high school regular assessment II, high school regular assessment III and locally-selected nationally recognized high school assessment in the prefilled data in this indicator.</w:t>
      </w:r>
      <w:r>
        <w:t xml:space="preserve"> </w:t>
      </w:r>
    </w:p>
    <w:p w14:paraId="1A4F8ED6" w14:textId="77777777" w:rsidR="00966232" w:rsidRPr="00781112" w:rsidRDefault="00966232" w:rsidP="004369B2">
      <w:pPr>
        <w:rPr>
          <w:color w:val="000000" w:themeColor="text1"/>
        </w:rPr>
      </w:pPr>
    </w:p>
    <w:p w14:paraId="1E1876C6" w14:textId="1F90E63A" w:rsidR="00E539AB" w:rsidRPr="00781112" w:rsidRDefault="0047313F" w:rsidP="004369B2">
      <w:pPr>
        <w:rPr>
          <w:b/>
          <w:color w:val="000000" w:themeColor="text1"/>
        </w:rPr>
      </w:pPr>
      <w:r>
        <w:rPr>
          <w:b/>
          <w:color w:val="000000" w:themeColor="text1"/>
        </w:rPr>
        <w:t>FFY 2022 SPP/APR Data: Reading Assessment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B03BFFYAPRDATARLA"/>
      </w:tblPr>
      <w:tblGrid>
        <w:gridCol w:w="428"/>
        <w:gridCol w:w="888"/>
        <w:gridCol w:w="2027"/>
        <w:gridCol w:w="2026"/>
        <w:gridCol w:w="1085"/>
        <w:gridCol w:w="1085"/>
        <w:gridCol w:w="1085"/>
        <w:gridCol w:w="1085"/>
        <w:gridCol w:w="1081"/>
      </w:tblGrid>
      <w:tr w:rsidR="00FA33C9" w:rsidRPr="00781112" w14:paraId="52CF9222" w14:textId="5C9FC6C2" w:rsidTr="004B3F40">
        <w:trPr>
          <w:tblHeader/>
        </w:trPr>
        <w:tc>
          <w:tcPr>
            <w:tcW w:w="198" w:type="pct"/>
            <w:shd w:val="clear" w:color="auto" w:fill="auto"/>
            <w:vAlign w:val="bottom"/>
          </w:tcPr>
          <w:p w14:paraId="5B0C0A4E" w14:textId="31160362" w:rsidR="00FA33C9" w:rsidRPr="00781112" w:rsidRDefault="00FA33C9" w:rsidP="00FA33C9">
            <w:pPr>
              <w:jc w:val="center"/>
              <w:rPr>
                <w:b/>
                <w:color w:val="000000" w:themeColor="text1"/>
              </w:rPr>
            </w:pPr>
            <w:r w:rsidRPr="00781112">
              <w:rPr>
                <w:b/>
                <w:color w:val="000000" w:themeColor="text1"/>
              </w:rPr>
              <w:t>Group</w:t>
            </w:r>
          </w:p>
        </w:tc>
        <w:tc>
          <w:tcPr>
            <w:tcW w:w="411" w:type="pct"/>
            <w:shd w:val="clear" w:color="auto" w:fill="auto"/>
            <w:vAlign w:val="bottom"/>
          </w:tcPr>
          <w:p w14:paraId="08D526E5" w14:textId="4BDB327D" w:rsidR="00FA33C9" w:rsidRPr="00781112" w:rsidRDefault="00FA33C9" w:rsidP="00FA33C9">
            <w:pPr>
              <w:jc w:val="center"/>
              <w:rPr>
                <w:b/>
                <w:color w:val="000000" w:themeColor="text1"/>
              </w:rPr>
            </w:pPr>
            <w:r w:rsidRPr="00781112">
              <w:rPr>
                <w:b/>
                <w:color w:val="000000" w:themeColor="text1"/>
              </w:rPr>
              <w:t>Group Name</w:t>
            </w:r>
          </w:p>
        </w:tc>
        <w:tc>
          <w:tcPr>
            <w:tcW w:w="939" w:type="pct"/>
            <w:shd w:val="clear" w:color="auto" w:fill="auto"/>
          </w:tcPr>
          <w:p w14:paraId="198DD72E" w14:textId="3FB5565B" w:rsidR="00FA33C9" w:rsidRPr="00781112" w:rsidRDefault="00FA33C9" w:rsidP="00FA33C9">
            <w:pPr>
              <w:jc w:val="center"/>
              <w:rPr>
                <w:b/>
                <w:bCs/>
                <w:color w:val="000000" w:themeColor="text1"/>
              </w:rPr>
            </w:pPr>
            <w:r w:rsidRPr="00781112">
              <w:rPr>
                <w:b/>
                <w:bCs/>
              </w:rPr>
              <w:t xml:space="preserve">Number of Children with IEPs Scoring </w:t>
            </w:r>
            <w:proofErr w:type="gramStart"/>
            <w:r w:rsidRPr="00781112">
              <w:rPr>
                <w:b/>
                <w:bCs/>
              </w:rPr>
              <w:t>At</w:t>
            </w:r>
            <w:proofErr w:type="gramEnd"/>
            <w:r w:rsidRPr="00781112">
              <w:rPr>
                <w:b/>
                <w:bCs/>
              </w:rPr>
              <w:t xml:space="preserve"> or Above Proficient Against Grade Level Academic Achievement Standards</w:t>
            </w:r>
          </w:p>
        </w:tc>
        <w:tc>
          <w:tcPr>
            <w:tcW w:w="939" w:type="pct"/>
            <w:shd w:val="clear" w:color="auto" w:fill="auto"/>
          </w:tcPr>
          <w:p w14:paraId="43067EB5" w14:textId="1B6A6AEE" w:rsidR="00FA33C9" w:rsidRPr="00781112" w:rsidRDefault="00FA33C9" w:rsidP="00FA33C9">
            <w:pPr>
              <w:jc w:val="center"/>
              <w:rPr>
                <w:b/>
                <w:bCs/>
                <w:color w:val="000000" w:themeColor="text1"/>
              </w:rPr>
            </w:pPr>
            <w:r w:rsidRPr="00781112">
              <w:rPr>
                <w:b/>
                <w:bCs/>
              </w:rPr>
              <w:t>Number of Children with IEPs who Received a Valid Score and for whom a Proficiency Level was Assigned for the Regular Assessment</w:t>
            </w:r>
          </w:p>
        </w:tc>
        <w:tc>
          <w:tcPr>
            <w:tcW w:w="503" w:type="pct"/>
            <w:shd w:val="clear" w:color="auto" w:fill="auto"/>
            <w:vAlign w:val="bottom"/>
          </w:tcPr>
          <w:p w14:paraId="18374487" w14:textId="14DD08BA" w:rsidR="00FA33C9" w:rsidRPr="00073BD7" w:rsidRDefault="00FA33C9" w:rsidP="00FA33C9">
            <w:pPr>
              <w:jc w:val="center"/>
              <w:rPr>
                <w:b/>
                <w:bCs/>
                <w:color w:val="000000" w:themeColor="text1"/>
              </w:rPr>
            </w:pPr>
            <w:r w:rsidRPr="00073BD7">
              <w:rPr>
                <w:b/>
                <w:bCs/>
              </w:rPr>
              <w:t>FFY 2021 Data</w:t>
            </w:r>
          </w:p>
        </w:tc>
        <w:tc>
          <w:tcPr>
            <w:tcW w:w="503" w:type="pct"/>
            <w:shd w:val="clear" w:color="auto" w:fill="auto"/>
            <w:vAlign w:val="bottom"/>
          </w:tcPr>
          <w:p w14:paraId="3E51680E" w14:textId="7EA4903F" w:rsidR="00FA33C9" w:rsidRPr="00073BD7" w:rsidRDefault="00FA33C9" w:rsidP="00FA33C9">
            <w:pPr>
              <w:jc w:val="center"/>
              <w:rPr>
                <w:b/>
                <w:bCs/>
                <w:color w:val="000000" w:themeColor="text1"/>
              </w:rPr>
            </w:pPr>
            <w:r w:rsidRPr="00073BD7">
              <w:rPr>
                <w:b/>
                <w:bCs/>
              </w:rPr>
              <w:t>FFY 2022 Target</w:t>
            </w:r>
          </w:p>
        </w:tc>
        <w:tc>
          <w:tcPr>
            <w:tcW w:w="503" w:type="pct"/>
            <w:shd w:val="clear" w:color="auto" w:fill="auto"/>
            <w:vAlign w:val="bottom"/>
          </w:tcPr>
          <w:p w14:paraId="29685ECA" w14:textId="0A3EC870" w:rsidR="00FA33C9" w:rsidRPr="00073BD7" w:rsidRDefault="00FA33C9" w:rsidP="00FA33C9">
            <w:pPr>
              <w:jc w:val="center"/>
              <w:rPr>
                <w:b/>
                <w:bCs/>
                <w:color w:val="000000" w:themeColor="text1"/>
              </w:rPr>
            </w:pPr>
            <w:r w:rsidRPr="00073BD7">
              <w:rPr>
                <w:b/>
                <w:bCs/>
              </w:rPr>
              <w:t>FFY 2022 Data</w:t>
            </w:r>
          </w:p>
        </w:tc>
        <w:tc>
          <w:tcPr>
            <w:tcW w:w="503" w:type="pct"/>
            <w:shd w:val="clear" w:color="auto" w:fill="auto"/>
            <w:vAlign w:val="bottom"/>
          </w:tcPr>
          <w:p w14:paraId="5E9D6295" w14:textId="7F28EB50" w:rsidR="00FA33C9" w:rsidRPr="00781112" w:rsidRDefault="00FA33C9" w:rsidP="00FA33C9">
            <w:pPr>
              <w:jc w:val="center"/>
              <w:rPr>
                <w:b/>
                <w:color w:val="000000" w:themeColor="text1"/>
              </w:rPr>
            </w:pPr>
            <w:r w:rsidRPr="00781112">
              <w:rPr>
                <w:b/>
                <w:color w:val="000000" w:themeColor="text1"/>
              </w:rPr>
              <w:t>Status</w:t>
            </w:r>
          </w:p>
        </w:tc>
        <w:tc>
          <w:tcPr>
            <w:tcW w:w="501" w:type="pct"/>
            <w:shd w:val="clear" w:color="auto" w:fill="auto"/>
            <w:vAlign w:val="bottom"/>
          </w:tcPr>
          <w:p w14:paraId="7898EF38" w14:textId="75DFA010" w:rsidR="00FA33C9" w:rsidRPr="00781112" w:rsidRDefault="00FA33C9" w:rsidP="00FA33C9">
            <w:pPr>
              <w:jc w:val="center"/>
              <w:rPr>
                <w:b/>
                <w:color w:val="000000" w:themeColor="text1"/>
              </w:rPr>
            </w:pPr>
            <w:r w:rsidRPr="00781112">
              <w:rPr>
                <w:b/>
                <w:color w:val="000000" w:themeColor="text1"/>
              </w:rPr>
              <w:t>Slippage</w:t>
            </w:r>
          </w:p>
        </w:tc>
      </w:tr>
      <w:tr w:rsidR="00AD0E97" w:rsidRPr="00781112" w14:paraId="7760B96D" w14:textId="1E1E2305" w:rsidTr="004B3F40">
        <w:tc>
          <w:tcPr>
            <w:tcW w:w="198" w:type="pct"/>
            <w:shd w:val="clear" w:color="auto" w:fill="auto"/>
            <w:vAlign w:val="center"/>
          </w:tcPr>
          <w:p w14:paraId="6F54F4BD" w14:textId="3AB2A2E6" w:rsidR="00AD0E97" w:rsidRPr="00781112" w:rsidRDefault="00AD0E97" w:rsidP="00AD0E97">
            <w:pPr>
              <w:pStyle w:val="Default"/>
              <w:jc w:val="center"/>
              <w:rPr>
                <w:rFonts w:eastAsiaTheme="minorHAnsi"/>
                <w:color w:val="000000" w:themeColor="text1"/>
                <w:sz w:val="16"/>
                <w:szCs w:val="16"/>
              </w:rPr>
            </w:pPr>
            <w:r w:rsidRPr="00781112">
              <w:rPr>
                <w:b/>
                <w:color w:val="000000" w:themeColor="text1"/>
                <w:sz w:val="16"/>
                <w:szCs w:val="16"/>
              </w:rPr>
              <w:t>A</w:t>
            </w:r>
          </w:p>
        </w:tc>
        <w:tc>
          <w:tcPr>
            <w:tcW w:w="411" w:type="pct"/>
            <w:shd w:val="clear" w:color="auto" w:fill="auto"/>
            <w:vAlign w:val="center"/>
          </w:tcPr>
          <w:p w14:paraId="1AF12AAB" w14:textId="02722A5C" w:rsidR="00AD0E97" w:rsidRPr="00781112" w:rsidDel="00DE5045" w:rsidRDefault="00AD0E97" w:rsidP="00AD0E97">
            <w:pPr>
              <w:jc w:val="center"/>
              <w:rPr>
                <w:rFonts w:cs="Arial"/>
                <w:color w:val="000000" w:themeColor="text1"/>
                <w:szCs w:val="16"/>
              </w:rPr>
            </w:pPr>
            <w:r w:rsidRPr="00781112">
              <w:rPr>
                <w:rFonts w:cs="Arial"/>
                <w:color w:val="000000" w:themeColor="text1"/>
                <w:szCs w:val="16"/>
              </w:rPr>
              <w:t>Grade 4</w:t>
            </w:r>
          </w:p>
        </w:tc>
        <w:tc>
          <w:tcPr>
            <w:tcW w:w="939" w:type="pct"/>
            <w:shd w:val="clear" w:color="auto" w:fill="auto"/>
            <w:vAlign w:val="center"/>
          </w:tcPr>
          <w:p w14:paraId="0D75EC1C" w14:textId="5C94E807" w:rsidR="00AD0E97" w:rsidRPr="00781112" w:rsidRDefault="00AD0E97" w:rsidP="00AD0E97">
            <w:pPr>
              <w:jc w:val="center"/>
              <w:rPr>
                <w:rFonts w:cs="Arial"/>
                <w:color w:val="000000" w:themeColor="text1"/>
                <w:szCs w:val="16"/>
              </w:rPr>
            </w:pPr>
            <w:r w:rsidRPr="00781112">
              <w:rPr>
                <w:rFonts w:cs="Arial"/>
                <w:color w:val="000000"/>
                <w:szCs w:val="16"/>
              </w:rPr>
              <w:t>789</w:t>
            </w:r>
          </w:p>
        </w:tc>
        <w:tc>
          <w:tcPr>
            <w:tcW w:w="939" w:type="pct"/>
            <w:shd w:val="clear" w:color="auto" w:fill="auto"/>
            <w:vAlign w:val="center"/>
          </w:tcPr>
          <w:p w14:paraId="7E6A021B" w14:textId="57963DE4" w:rsidR="00AD0E97" w:rsidRPr="00781112" w:rsidRDefault="00AD0E97" w:rsidP="00AD0E97">
            <w:pPr>
              <w:jc w:val="center"/>
              <w:rPr>
                <w:rFonts w:cs="Arial"/>
                <w:color w:val="000000" w:themeColor="text1"/>
                <w:szCs w:val="16"/>
              </w:rPr>
            </w:pPr>
            <w:r w:rsidRPr="00781112">
              <w:rPr>
                <w:rFonts w:cs="Arial"/>
                <w:color w:val="000000" w:themeColor="text1"/>
                <w:szCs w:val="16"/>
              </w:rPr>
              <w:t>7,272</w:t>
            </w:r>
          </w:p>
        </w:tc>
        <w:tc>
          <w:tcPr>
            <w:tcW w:w="503" w:type="pct"/>
            <w:shd w:val="clear" w:color="auto" w:fill="auto"/>
            <w:vAlign w:val="center"/>
          </w:tcPr>
          <w:p w14:paraId="69FD37B5" w14:textId="09B40B87" w:rsidR="00AD0E97" w:rsidRPr="00781112" w:rsidRDefault="00AD0E97" w:rsidP="00AD0E97">
            <w:pPr>
              <w:jc w:val="center"/>
              <w:rPr>
                <w:rFonts w:cs="Arial"/>
                <w:color w:val="000000" w:themeColor="text1"/>
                <w:szCs w:val="16"/>
              </w:rPr>
            </w:pPr>
            <w:r w:rsidRPr="00781112">
              <w:rPr>
                <w:rFonts w:cs="Arial"/>
                <w:color w:val="000000" w:themeColor="text1"/>
                <w:szCs w:val="16"/>
              </w:rPr>
              <w:t>11.23%</w:t>
            </w:r>
          </w:p>
        </w:tc>
        <w:tc>
          <w:tcPr>
            <w:tcW w:w="503" w:type="pct"/>
            <w:shd w:val="clear" w:color="auto" w:fill="auto"/>
            <w:vAlign w:val="center"/>
          </w:tcPr>
          <w:p w14:paraId="482B7D09" w14:textId="62AFAA78" w:rsidR="00AD0E97" w:rsidRPr="00781112" w:rsidRDefault="00AD0E97" w:rsidP="00AD0E97">
            <w:pPr>
              <w:jc w:val="center"/>
              <w:rPr>
                <w:rFonts w:cs="Arial"/>
                <w:color w:val="000000" w:themeColor="text1"/>
                <w:szCs w:val="16"/>
              </w:rPr>
            </w:pPr>
            <w:r w:rsidRPr="00781112">
              <w:rPr>
                <w:rFonts w:cs="Arial"/>
                <w:color w:val="000000" w:themeColor="text1"/>
                <w:szCs w:val="16"/>
              </w:rPr>
              <w:t>12.90%</w:t>
            </w:r>
          </w:p>
        </w:tc>
        <w:tc>
          <w:tcPr>
            <w:tcW w:w="503" w:type="pct"/>
            <w:shd w:val="clear" w:color="auto" w:fill="auto"/>
            <w:vAlign w:val="center"/>
          </w:tcPr>
          <w:p w14:paraId="120D94C1" w14:textId="45B7E096" w:rsidR="00AD0E97" w:rsidRPr="00781112" w:rsidRDefault="00AD0E97" w:rsidP="00AD0E97">
            <w:pPr>
              <w:jc w:val="center"/>
              <w:rPr>
                <w:rFonts w:cs="Arial"/>
                <w:color w:val="000000" w:themeColor="text1"/>
                <w:szCs w:val="16"/>
              </w:rPr>
            </w:pPr>
            <w:r w:rsidRPr="00781112">
              <w:rPr>
                <w:rFonts w:cs="Arial"/>
                <w:color w:val="000000" w:themeColor="text1"/>
                <w:szCs w:val="16"/>
              </w:rPr>
              <w:t>10.85%</w:t>
            </w:r>
          </w:p>
        </w:tc>
        <w:tc>
          <w:tcPr>
            <w:tcW w:w="503" w:type="pct"/>
            <w:shd w:val="clear" w:color="auto" w:fill="auto"/>
            <w:vAlign w:val="center"/>
          </w:tcPr>
          <w:p w14:paraId="4C985877" w14:textId="6C415586" w:rsidR="00AD0E97" w:rsidRPr="00781112" w:rsidRDefault="00AD0E97" w:rsidP="00AD0E97">
            <w:pPr>
              <w:jc w:val="center"/>
              <w:rPr>
                <w:rFonts w:cs="Arial"/>
                <w:color w:val="000000" w:themeColor="text1"/>
                <w:szCs w:val="16"/>
              </w:rPr>
            </w:pPr>
            <w:r w:rsidRPr="00781112">
              <w:rPr>
                <w:rFonts w:cs="Arial"/>
                <w:color w:val="000000" w:themeColor="text1"/>
                <w:szCs w:val="16"/>
              </w:rPr>
              <w:t>Did not meet target</w:t>
            </w:r>
          </w:p>
        </w:tc>
        <w:tc>
          <w:tcPr>
            <w:tcW w:w="501" w:type="pct"/>
            <w:shd w:val="clear" w:color="auto" w:fill="auto"/>
            <w:vAlign w:val="center"/>
          </w:tcPr>
          <w:p w14:paraId="05322B0C" w14:textId="7DA1FCC0" w:rsidR="00AD0E97" w:rsidRPr="00781112" w:rsidRDefault="00AD0E97" w:rsidP="00AD0E97">
            <w:pPr>
              <w:jc w:val="center"/>
              <w:rPr>
                <w:rFonts w:cs="Arial"/>
                <w:color w:val="000000" w:themeColor="text1"/>
                <w:szCs w:val="16"/>
              </w:rPr>
            </w:pPr>
            <w:r w:rsidRPr="00781112">
              <w:rPr>
                <w:rFonts w:cs="Arial"/>
                <w:color w:val="000000" w:themeColor="text1"/>
                <w:szCs w:val="16"/>
              </w:rPr>
              <w:t>No Slippage</w:t>
            </w:r>
          </w:p>
        </w:tc>
      </w:tr>
      <w:tr w:rsidR="00AD0E97" w:rsidRPr="00781112" w14:paraId="7A5387EE" w14:textId="77777777" w:rsidTr="004B3F40">
        <w:tc>
          <w:tcPr>
            <w:tcW w:w="198" w:type="pct"/>
            <w:shd w:val="clear" w:color="auto" w:fill="auto"/>
            <w:vAlign w:val="center"/>
          </w:tcPr>
          <w:p w14:paraId="729AFDF4" w14:textId="72203283" w:rsidR="00AD0E97" w:rsidRPr="00781112" w:rsidRDefault="00AD0E97" w:rsidP="00AD0E97">
            <w:pPr>
              <w:pStyle w:val="Default"/>
              <w:jc w:val="center"/>
              <w:rPr>
                <w:rFonts w:eastAsiaTheme="minorHAnsi"/>
                <w:color w:val="000000" w:themeColor="text1"/>
                <w:sz w:val="16"/>
                <w:szCs w:val="16"/>
              </w:rPr>
            </w:pPr>
            <w:r w:rsidRPr="00781112">
              <w:rPr>
                <w:b/>
                <w:color w:val="000000" w:themeColor="text1"/>
                <w:sz w:val="16"/>
                <w:szCs w:val="16"/>
              </w:rPr>
              <w:t>B</w:t>
            </w:r>
          </w:p>
        </w:tc>
        <w:tc>
          <w:tcPr>
            <w:tcW w:w="411" w:type="pct"/>
            <w:shd w:val="clear" w:color="auto" w:fill="auto"/>
            <w:vAlign w:val="center"/>
          </w:tcPr>
          <w:p w14:paraId="33B7C97E" w14:textId="6E25E05B" w:rsidR="00AD0E97" w:rsidRPr="00781112" w:rsidDel="00DE5045" w:rsidRDefault="00AD0E97" w:rsidP="00AD0E97">
            <w:pPr>
              <w:jc w:val="center"/>
              <w:rPr>
                <w:rFonts w:cs="Arial"/>
                <w:color w:val="000000" w:themeColor="text1"/>
                <w:szCs w:val="16"/>
              </w:rPr>
            </w:pPr>
            <w:r w:rsidRPr="00781112">
              <w:rPr>
                <w:rFonts w:cs="Arial"/>
                <w:color w:val="000000" w:themeColor="text1"/>
                <w:szCs w:val="16"/>
              </w:rPr>
              <w:t>Grade 8</w:t>
            </w:r>
          </w:p>
        </w:tc>
        <w:tc>
          <w:tcPr>
            <w:tcW w:w="939" w:type="pct"/>
            <w:shd w:val="clear" w:color="auto" w:fill="auto"/>
            <w:vAlign w:val="center"/>
          </w:tcPr>
          <w:p w14:paraId="3F0D6576" w14:textId="39D13C81" w:rsidR="00AD0E97" w:rsidRPr="00781112" w:rsidRDefault="00AD0E97" w:rsidP="00AD0E97">
            <w:pPr>
              <w:jc w:val="center"/>
              <w:rPr>
                <w:rFonts w:cs="Arial"/>
                <w:color w:val="000000" w:themeColor="text1"/>
                <w:szCs w:val="16"/>
              </w:rPr>
            </w:pPr>
            <w:r w:rsidRPr="00781112">
              <w:rPr>
                <w:rFonts w:cs="Arial"/>
                <w:color w:val="000000"/>
                <w:szCs w:val="16"/>
              </w:rPr>
              <w:t>397</w:t>
            </w:r>
          </w:p>
        </w:tc>
        <w:tc>
          <w:tcPr>
            <w:tcW w:w="939" w:type="pct"/>
            <w:shd w:val="clear" w:color="auto" w:fill="auto"/>
            <w:vAlign w:val="center"/>
          </w:tcPr>
          <w:p w14:paraId="7FFA4863" w14:textId="2B0AF130" w:rsidR="00AD0E97" w:rsidRPr="00781112" w:rsidRDefault="00AD0E97" w:rsidP="00AD0E97">
            <w:pPr>
              <w:jc w:val="center"/>
              <w:rPr>
                <w:rFonts w:cs="Arial"/>
                <w:color w:val="000000" w:themeColor="text1"/>
                <w:szCs w:val="16"/>
              </w:rPr>
            </w:pPr>
            <w:r w:rsidRPr="00781112">
              <w:rPr>
                <w:rFonts w:cs="Arial"/>
                <w:color w:val="000000" w:themeColor="text1"/>
                <w:szCs w:val="16"/>
              </w:rPr>
              <w:t>5,608</w:t>
            </w:r>
          </w:p>
        </w:tc>
        <w:tc>
          <w:tcPr>
            <w:tcW w:w="503" w:type="pct"/>
            <w:shd w:val="clear" w:color="auto" w:fill="auto"/>
            <w:vAlign w:val="center"/>
          </w:tcPr>
          <w:p w14:paraId="3FB80D14" w14:textId="17D00589" w:rsidR="00AD0E97" w:rsidRPr="00781112" w:rsidRDefault="00AD0E97" w:rsidP="00AD0E97">
            <w:pPr>
              <w:jc w:val="center"/>
              <w:rPr>
                <w:rFonts w:cs="Arial"/>
                <w:color w:val="000000" w:themeColor="text1"/>
                <w:szCs w:val="16"/>
              </w:rPr>
            </w:pPr>
            <w:r w:rsidRPr="00781112">
              <w:rPr>
                <w:rFonts w:cs="Arial"/>
                <w:color w:val="000000" w:themeColor="text1"/>
                <w:szCs w:val="16"/>
              </w:rPr>
              <w:t>7.21%</w:t>
            </w:r>
          </w:p>
        </w:tc>
        <w:tc>
          <w:tcPr>
            <w:tcW w:w="503" w:type="pct"/>
            <w:shd w:val="clear" w:color="auto" w:fill="auto"/>
            <w:vAlign w:val="center"/>
          </w:tcPr>
          <w:p w14:paraId="12DA8FB6" w14:textId="2A9832BB" w:rsidR="00AD0E97" w:rsidRPr="00781112" w:rsidRDefault="00AD0E97" w:rsidP="00AD0E97">
            <w:pPr>
              <w:jc w:val="center"/>
              <w:rPr>
                <w:rFonts w:cs="Arial"/>
                <w:color w:val="000000" w:themeColor="text1"/>
                <w:szCs w:val="16"/>
              </w:rPr>
            </w:pPr>
            <w:r w:rsidRPr="00781112">
              <w:rPr>
                <w:rFonts w:cs="Arial"/>
                <w:color w:val="000000" w:themeColor="text1"/>
                <w:szCs w:val="16"/>
              </w:rPr>
              <w:t>8.78%</w:t>
            </w:r>
          </w:p>
        </w:tc>
        <w:tc>
          <w:tcPr>
            <w:tcW w:w="503" w:type="pct"/>
            <w:shd w:val="clear" w:color="auto" w:fill="auto"/>
            <w:vAlign w:val="center"/>
          </w:tcPr>
          <w:p w14:paraId="65C7EB9E" w14:textId="563BFA26" w:rsidR="00AD0E97" w:rsidRPr="00781112" w:rsidRDefault="00AD0E97" w:rsidP="00AD0E97">
            <w:pPr>
              <w:jc w:val="center"/>
              <w:rPr>
                <w:rFonts w:cs="Arial"/>
                <w:color w:val="000000" w:themeColor="text1"/>
                <w:szCs w:val="16"/>
              </w:rPr>
            </w:pPr>
            <w:r w:rsidRPr="00781112">
              <w:rPr>
                <w:rFonts w:cs="Arial"/>
                <w:color w:val="000000" w:themeColor="text1"/>
                <w:szCs w:val="16"/>
              </w:rPr>
              <w:t>7.08%</w:t>
            </w:r>
          </w:p>
        </w:tc>
        <w:tc>
          <w:tcPr>
            <w:tcW w:w="503" w:type="pct"/>
            <w:shd w:val="clear" w:color="auto" w:fill="auto"/>
            <w:vAlign w:val="center"/>
          </w:tcPr>
          <w:p w14:paraId="41A6F692" w14:textId="65CC6347" w:rsidR="00AD0E97" w:rsidRPr="00781112" w:rsidRDefault="00AD0E97" w:rsidP="00AD0E97">
            <w:pPr>
              <w:jc w:val="center"/>
              <w:rPr>
                <w:rFonts w:cs="Arial"/>
                <w:color w:val="000000" w:themeColor="text1"/>
                <w:szCs w:val="16"/>
              </w:rPr>
            </w:pPr>
            <w:r w:rsidRPr="00781112">
              <w:rPr>
                <w:rFonts w:cs="Arial"/>
                <w:color w:val="000000" w:themeColor="text1"/>
                <w:szCs w:val="16"/>
              </w:rPr>
              <w:t>Did not meet target</w:t>
            </w:r>
          </w:p>
        </w:tc>
        <w:tc>
          <w:tcPr>
            <w:tcW w:w="501" w:type="pct"/>
            <w:shd w:val="clear" w:color="auto" w:fill="auto"/>
            <w:vAlign w:val="center"/>
          </w:tcPr>
          <w:p w14:paraId="3D4E27A4" w14:textId="7BDAA77C" w:rsidR="00AD0E97" w:rsidRPr="00781112" w:rsidRDefault="00AD0E97" w:rsidP="00AD0E97">
            <w:pPr>
              <w:jc w:val="center"/>
              <w:rPr>
                <w:rFonts w:cs="Arial"/>
                <w:color w:val="000000" w:themeColor="text1"/>
                <w:szCs w:val="16"/>
              </w:rPr>
            </w:pPr>
            <w:r w:rsidRPr="00781112">
              <w:rPr>
                <w:rFonts w:cs="Arial"/>
                <w:color w:val="000000" w:themeColor="text1"/>
                <w:szCs w:val="16"/>
              </w:rPr>
              <w:t>Slippage</w:t>
            </w:r>
          </w:p>
        </w:tc>
      </w:tr>
      <w:tr w:rsidR="00AD0E97" w:rsidRPr="00781112" w14:paraId="26B346DD" w14:textId="77777777" w:rsidTr="004B3F40">
        <w:tc>
          <w:tcPr>
            <w:tcW w:w="198" w:type="pct"/>
            <w:shd w:val="clear" w:color="auto" w:fill="auto"/>
            <w:vAlign w:val="center"/>
          </w:tcPr>
          <w:p w14:paraId="2B13C665" w14:textId="583EB28A" w:rsidR="00AD0E97" w:rsidRPr="00781112" w:rsidRDefault="00AD0E97" w:rsidP="00AD0E97">
            <w:pPr>
              <w:pStyle w:val="Default"/>
              <w:jc w:val="center"/>
              <w:rPr>
                <w:rFonts w:eastAsiaTheme="minorHAnsi"/>
                <w:color w:val="000000" w:themeColor="text1"/>
                <w:sz w:val="16"/>
                <w:szCs w:val="16"/>
              </w:rPr>
            </w:pPr>
            <w:r w:rsidRPr="00781112">
              <w:rPr>
                <w:b/>
                <w:color w:val="000000" w:themeColor="text1"/>
                <w:sz w:val="16"/>
                <w:szCs w:val="16"/>
              </w:rPr>
              <w:t>C</w:t>
            </w:r>
          </w:p>
        </w:tc>
        <w:tc>
          <w:tcPr>
            <w:tcW w:w="411" w:type="pct"/>
            <w:shd w:val="clear" w:color="auto" w:fill="auto"/>
            <w:vAlign w:val="center"/>
          </w:tcPr>
          <w:p w14:paraId="6D97D346" w14:textId="75AC25C8" w:rsidR="00AD0E97" w:rsidRPr="00781112" w:rsidDel="00DE5045" w:rsidRDefault="00AD0E97" w:rsidP="00AD0E97">
            <w:pPr>
              <w:jc w:val="center"/>
              <w:rPr>
                <w:rFonts w:cs="Arial"/>
                <w:color w:val="000000" w:themeColor="text1"/>
                <w:szCs w:val="16"/>
              </w:rPr>
            </w:pPr>
            <w:r w:rsidRPr="00781112">
              <w:rPr>
                <w:rFonts w:cs="Arial"/>
                <w:color w:val="000000" w:themeColor="text1"/>
                <w:szCs w:val="16"/>
              </w:rPr>
              <w:t>Grade HS</w:t>
            </w:r>
          </w:p>
        </w:tc>
        <w:tc>
          <w:tcPr>
            <w:tcW w:w="939" w:type="pct"/>
            <w:shd w:val="clear" w:color="auto" w:fill="auto"/>
            <w:vAlign w:val="center"/>
          </w:tcPr>
          <w:p w14:paraId="30AED5C7" w14:textId="5DD38D7C" w:rsidR="00AD0E97" w:rsidRPr="00781112" w:rsidRDefault="00AD0E97" w:rsidP="00AD0E97">
            <w:pPr>
              <w:jc w:val="center"/>
              <w:rPr>
                <w:rFonts w:cs="Arial"/>
                <w:color w:val="000000" w:themeColor="text1"/>
                <w:szCs w:val="16"/>
              </w:rPr>
            </w:pPr>
            <w:r w:rsidRPr="00781112">
              <w:rPr>
                <w:rFonts w:cs="Arial"/>
                <w:color w:val="000000"/>
                <w:szCs w:val="16"/>
              </w:rPr>
              <w:t>713</w:t>
            </w:r>
          </w:p>
        </w:tc>
        <w:tc>
          <w:tcPr>
            <w:tcW w:w="939" w:type="pct"/>
            <w:shd w:val="clear" w:color="auto" w:fill="auto"/>
            <w:vAlign w:val="center"/>
          </w:tcPr>
          <w:p w14:paraId="3E4BF8E7" w14:textId="17E7C017" w:rsidR="00AD0E97" w:rsidRPr="00781112" w:rsidRDefault="00AD0E97" w:rsidP="00AD0E97">
            <w:pPr>
              <w:jc w:val="center"/>
              <w:rPr>
                <w:rFonts w:cs="Arial"/>
                <w:color w:val="000000" w:themeColor="text1"/>
                <w:szCs w:val="16"/>
              </w:rPr>
            </w:pPr>
            <w:r w:rsidRPr="00781112">
              <w:rPr>
                <w:rFonts w:cs="Arial"/>
                <w:color w:val="000000" w:themeColor="text1"/>
                <w:szCs w:val="16"/>
              </w:rPr>
              <w:t>4,099</w:t>
            </w:r>
          </w:p>
        </w:tc>
        <w:tc>
          <w:tcPr>
            <w:tcW w:w="503" w:type="pct"/>
            <w:shd w:val="clear" w:color="auto" w:fill="auto"/>
            <w:vAlign w:val="center"/>
          </w:tcPr>
          <w:p w14:paraId="039885F2" w14:textId="68486387" w:rsidR="00AD0E97" w:rsidRPr="00781112" w:rsidRDefault="00AD0E97" w:rsidP="00AD0E97">
            <w:pPr>
              <w:jc w:val="center"/>
              <w:rPr>
                <w:rFonts w:cs="Arial"/>
                <w:color w:val="000000" w:themeColor="text1"/>
                <w:szCs w:val="16"/>
              </w:rPr>
            </w:pPr>
            <w:r w:rsidRPr="00781112">
              <w:rPr>
                <w:rFonts w:cs="Arial"/>
                <w:color w:val="000000" w:themeColor="text1"/>
                <w:szCs w:val="16"/>
              </w:rPr>
              <w:t>16.59%</w:t>
            </w:r>
          </w:p>
        </w:tc>
        <w:tc>
          <w:tcPr>
            <w:tcW w:w="503" w:type="pct"/>
            <w:shd w:val="clear" w:color="auto" w:fill="auto"/>
            <w:vAlign w:val="center"/>
          </w:tcPr>
          <w:p w14:paraId="0D574818" w14:textId="0B8E29B8" w:rsidR="00AD0E97" w:rsidRPr="00781112" w:rsidRDefault="00AD0E97" w:rsidP="00AD0E97">
            <w:pPr>
              <w:jc w:val="center"/>
              <w:rPr>
                <w:rFonts w:cs="Arial"/>
                <w:color w:val="000000" w:themeColor="text1"/>
                <w:szCs w:val="16"/>
              </w:rPr>
            </w:pPr>
            <w:r w:rsidRPr="00781112">
              <w:rPr>
                <w:rFonts w:cs="Arial"/>
                <w:color w:val="000000" w:themeColor="text1"/>
                <w:szCs w:val="16"/>
              </w:rPr>
              <w:t>17.74%</w:t>
            </w:r>
          </w:p>
        </w:tc>
        <w:tc>
          <w:tcPr>
            <w:tcW w:w="503" w:type="pct"/>
            <w:shd w:val="clear" w:color="auto" w:fill="auto"/>
            <w:vAlign w:val="center"/>
          </w:tcPr>
          <w:p w14:paraId="68757684" w14:textId="14D897E8" w:rsidR="00AD0E97" w:rsidRPr="00781112" w:rsidRDefault="00AD0E97" w:rsidP="00AD0E97">
            <w:pPr>
              <w:jc w:val="center"/>
              <w:rPr>
                <w:rFonts w:cs="Arial"/>
                <w:color w:val="000000" w:themeColor="text1"/>
                <w:szCs w:val="16"/>
              </w:rPr>
            </w:pPr>
            <w:r w:rsidRPr="00781112">
              <w:rPr>
                <w:rFonts w:cs="Arial"/>
                <w:color w:val="000000" w:themeColor="text1"/>
                <w:szCs w:val="16"/>
              </w:rPr>
              <w:t>17.39%</w:t>
            </w:r>
          </w:p>
        </w:tc>
        <w:tc>
          <w:tcPr>
            <w:tcW w:w="503" w:type="pct"/>
            <w:shd w:val="clear" w:color="auto" w:fill="auto"/>
            <w:vAlign w:val="center"/>
          </w:tcPr>
          <w:p w14:paraId="7D508FD3" w14:textId="5052E8AD" w:rsidR="00AD0E97" w:rsidRPr="00781112" w:rsidRDefault="00AD0E97" w:rsidP="00AD0E97">
            <w:pPr>
              <w:jc w:val="center"/>
              <w:rPr>
                <w:rFonts w:cs="Arial"/>
                <w:color w:val="000000" w:themeColor="text1"/>
                <w:szCs w:val="16"/>
              </w:rPr>
            </w:pPr>
            <w:r w:rsidRPr="00781112">
              <w:rPr>
                <w:rFonts w:cs="Arial"/>
                <w:color w:val="000000" w:themeColor="text1"/>
                <w:szCs w:val="16"/>
              </w:rPr>
              <w:t>Did not meet target</w:t>
            </w:r>
          </w:p>
        </w:tc>
        <w:tc>
          <w:tcPr>
            <w:tcW w:w="501" w:type="pct"/>
            <w:shd w:val="clear" w:color="auto" w:fill="auto"/>
            <w:vAlign w:val="center"/>
          </w:tcPr>
          <w:p w14:paraId="16AA84BF" w14:textId="66A4BF3F" w:rsidR="00AD0E97" w:rsidRPr="00781112" w:rsidRDefault="00AD0E97" w:rsidP="00AD0E97">
            <w:pPr>
              <w:jc w:val="center"/>
              <w:rPr>
                <w:rFonts w:cs="Arial"/>
                <w:color w:val="000000" w:themeColor="text1"/>
                <w:szCs w:val="16"/>
              </w:rPr>
            </w:pPr>
            <w:r w:rsidRPr="00781112">
              <w:rPr>
                <w:rFonts w:cs="Arial"/>
                <w:color w:val="000000" w:themeColor="text1"/>
                <w:szCs w:val="16"/>
              </w:rPr>
              <w:t>No Slippage</w:t>
            </w:r>
          </w:p>
        </w:tc>
      </w:tr>
    </w:tbl>
    <w:p w14:paraId="1FE44031" w14:textId="77777777" w:rsidR="00C04118" w:rsidRPr="00781112" w:rsidRDefault="00C04118" w:rsidP="00C04118">
      <w:pPr>
        <w:rPr>
          <w:b/>
          <w:color w:val="000000" w:themeColor="text1"/>
        </w:rPr>
      </w:pPr>
      <w:r w:rsidRPr="00781112">
        <w:rPr>
          <w:b/>
          <w:color w:val="000000" w:themeColor="text1"/>
        </w:rPr>
        <w:t>Provide reasons for slippage for Group B, if applicable</w:t>
      </w:r>
    </w:p>
    <w:p w14:paraId="127F6368" w14:textId="6D870BE7" w:rsidR="00C04118" w:rsidRPr="00781112" w:rsidRDefault="00C04118" w:rsidP="00C04118">
      <w:pPr>
        <w:rPr>
          <w:rFonts w:cs="Arial"/>
          <w:color w:val="000000" w:themeColor="text1"/>
          <w:szCs w:val="16"/>
        </w:rPr>
      </w:pPr>
      <w:r w:rsidRPr="00781112">
        <w:rPr>
          <w:rFonts w:cs="Arial"/>
          <w:color w:val="000000" w:themeColor="text1"/>
          <w:szCs w:val="16"/>
        </w:rPr>
        <w:t>Slippage is likely attributed to the residual academic achievement challenges tied to the pandemic and the high absenteeism rate across Colorado schools. Student achievement fell during the two years of the pandemic where students had reduced participation in school and school-like activities (homework, intervention, special education specific classes, and, at times, for some students, limited access at home to reading materials). Many students are still in a learning recovery period. The state average for chronic absenteeism was 35% for the 2021-22 school year and this has further compromised learning recovery opportunities for students with disabilities.</w:t>
      </w:r>
    </w:p>
    <w:p w14:paraId="6907CCA3" w14:textId="77777777" w:rsidR="00C04118" w:rsidRPr="00781112" w:rsidRDefault="00C04118" w:rsidP="002423F2">
      <w:pPr>
        <w:rPr>
          <w:rFonts w:cs="Arial"/>
          <w:iCs/>
          <w:color w:val="000000" w:themeColor="text1"/>
          <w:szCs w:val="16"/>
        </w:rPr>
      </w:pPr>
    </w:p>
    <w:p w14:paraId="1E0C977F" w14:textId="77777777" w:rsidR="005004AB" w:rsidRPr="00781112" w:rsidRDefault="005004AB" w:rsidP="005004AB">
      <w:pPr>
        <w:rPr>
          <w:color w:val="000000" w:themeColor="text1"/>
        </w:rPr>
      </w:pPr>
    </w:p>
    <w:p w14:paraId="324457C6" w14:textId="259C146E" w:rsidR="00497DE4" w:rsidRPr="00781112" w:rsidRDefault="0047313F" w:rsidP="004369B2">
      <w:pPr>
        <w:rPr>
          <w:b/>
          <w:color w:val="000000" w:themeColor="text1"/>
        </w:rPr>
      </w:pPr>
      <w:r>
        <w:rPr>
          <w:b/>
          <w:color w:val="000000" w:themeColor="text1"/>
        </w:rPr>
        <w:t>FFY 2022 SPP/APR Data: Math Assessment</w:t>
      </w:r>
    </w:p>
    <w:tbl>
      <w:tblPr>
        <w:tblW w:w="499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B03BFFYAPRDATAMATHASS"/>
      </w:tblPr>
      <w:tblGrid>
        <w:gridCol w:w="481"/>
        <w:gridCol w:w="1048"/>
        <w:gridCol w:w="1932"/>
        <w:gridCol w:w="1932"/>
        <w:gridCol w:w="1078"/>
        <w:gridCol w:w="1078"/>
        <w:gridCol w:w="1078"/>
        <w:gridCol w:w="1078"/>
        <w:gridCol w:w="1076"/>
      </w:tblGrid>
      <w:tr w:rsidR="00FA33C9" w:rsidRPr="00781112" w14:paraId="1ECD1184" w14:textId="77777777" w:rsidTr="00242D8A">
        <w:trPr>
          <w:tblHeader/>
          <w:jc w:val="center"/>
        </w:trPr>
        <w:tc>
          <w:tcPr>
            <w:tcW w:w="223" w:type="pct"/>
            <w:shd w:val="clear" w:color="auto" w:fill="auto"/>
            <w:vAlign w:val="bottom"/>
          </w:tcPr>
          <w:p w14:paraId="2B938423" w14:textId="01A79B33" w:rsidR="00FA33C9" w:rsidRPr="00781112" w:rsidRDefault="00FA33C9" w:rsidP="00FA33C9">
            <w:pPr>
              <w:jc w:val="center"/>
              <w:rPr>
                <w:b/>
                <w:color w:val="000000" w:themeColor="text1"/>
              </w:rPr>
            </w:pPr>
            <w:r w:rsidRPr="00781112">
              <w:rPr>
                <w:b/>
                <w:color w:val="000000" w:themeColor="text1"/>
              </w:rPr>
              <w:t>Group</w:t>
            </w:r>
          </w:p>
        </w:tc>
        <w:tc>
          <w:tcPr>
            <w:tcW w:w="486" w:type="pct"/>
            <w:shd w:val="clear" w:color="auto" w:fill="auto"/>
            <w:vAlign w:val="bottom"/>
          </w:tcPr>
          <w:p w14:paraId="45BFCF3F" w14:textId="3F4AB58B" w:rsidR="00FA33C9" w:rsidRPr="00781112" w:rsidRDefault="00FA33C9" w:rsidP="00FA33C9">
            <w:pPr>
              <w:jc w:val="center"/>
              <w:rPr>
                <w:b/>
                <w:color w:val="000000" w:themeColor="text1"/>
              </w:rPr>
            </w:pPr>
            <w:r w:rsidRPr="00781112">
              <w:rPr>
                <w:b/>
                <w:color w:val="000000" w:themeColor="text1"/>
              </w:rPr>
              <w:t>Group Name</w:t>
            </w:r>
          </w:p>
        </w:tc>
        <w:tc>
          <w:tcPr>
            <w:tcW w:w="896" w:type="pct"/>
            <w:shd w:val="clear" w:color="auto" w:fill="auto"/>
          </w:tcPr>
          <w:p w14:paraId="5541073C" w14:textId="30C0F75E" w:rsidR="00FA33C9" w:rsidRPr="00781112" w:rsidRDefault="00FA33C9" w:rsidP="00FA33C9">
            <w:pPr>
              <w:jc w:val="center"/>
              <w:rPr>
                <w:b/>
                <w:color w:val="000000" w:themeColor="text1"/>
              </w:rPr>
            </w:pPr>
            <w:r w:rsidRPr="00781112">
              <w:rPr>
                <w:b/>
                <w:bCs/>
              </w:rPr>
              <w:t xml:space="preserve">Number of Children with IEPs Scoring </w:t>
            </w:r>
            <w:proofErr w:type="gramStart"/>
            <w:r w:rsidRPr="00781112">
              <w:rPr>
                <w:b/>
                <w:bCs/>
              </w:rPr>
              <w:t>At</w:t>
            </w:r>
            <w:proofErr w:type="gramEnd"/>
            <w:r w:rsidRPr="00781112">
              <w:rPr>
                <w:b/>
                <w:bCs/>
              </w:rPr>
              <w:t xml:space="preserve"> or Above Proficient Against Grade Level Academic Achievement Standards</w:t>
            </w:r>
          </w:p>
        </w:tc>
        <w:tc>
          <w:tcPr>
            <w:tcW w:w="896" w:type="pct"/>
            <w:shd w:val="clear" w:color="auto" w:fill="auto"/>
          </w:tcPr>
          <w:p w14:paraId="3ABF5E71" w14:textId="763F0C86" w:rsidR="00FA33C9" w:rsidRPr="00781112" w:rsidRDefault="00FA33C9" w:rsidP="00FA33C9">
            <w:pPr>
              <w:jc w:val="center"/>
              <w:rPr>
                <w:b/>
                <w:color w:val="000000" w:themeColor="text1"/>
              </w:rPr>
            </w:pPr>
            <w:r w:rsidRPr="00781112">
              <w:rPr>
                <w:b/>
                <w:bCs/>
              </w:rPr>
              <w:t>Number of Children with IEPs who Received a Valid Score and for whom a Proficiency Level was Assigned for the Regular Assessment</w:t>
            </w:r>
          </w:p>
        </w:tc>
        <w:tc>
          <w:tcPr>
            <w:tcW w:w="500" w:type="pct"/>
            <w:shd w:val="clear" w:color="auto" w:fill="auto"/>
            <w:vAlign w:val="bottom"/>
          </w:tcPr>
          <w:p w14:paraId="5A96E021" w14:textId="6FC88C16" w:rsidR="00FA33C9" w:rsidRPr="00073BD7" w:rsidRDefault="00FA33C9" w:rsidP="00FA33C9">
            <w:pPr>
              <w:jc w:val="center"/>
              <w:rPr>
                <w:b/>
                <w:bCs/>
                <w:color w:val="000000" w:themeColor="text1"/>
              </w:rPr>
            </w:pPr>
            <w:r w:rsidRPr="00073BD7">
              <w:rPr>
                <w:b/>
                <w:bCs/>
              </w:rPr>
              <w:t>FFY 2021 Data</w:t>
            </w:r>
          </w:p>
        </w:tc>
        <w:tc>
          <w:tcPr>
            <w:tcW w:w="500" w:type="pct"/>
            <w:shd w:val="clear" w:color="auto" w:fill="auto"/>
            <w:vAlign w:val="bottom"/>
          </w:tcPr>
          <w:p w14:paraId="69212BFA" w14:textId="7BB316CF" w:rsidR="00FA33C9" w:rsidRPr="00073BD7" w:rsidRDefault="00FA33C9" w:rsidP="00FA33C9">
            <w:pPr>
              <w:jc w:val="center"/>
              <w:rPr>
                <w:b/>
                <w:bCs/>
                <w:color w:val="000000" w:themeColor="text1"/>
              </w:rPr>
            </w:pPr>
            <w:r w:rsidRPr="00073BD7">
              <w:rPr>
                <w:b/>
                <w:bCs/>
              </w:rPr>
              <w:t>FFY 2022 Target</w:t>
            </w:r>
          </w:p>
        </w:tc>
        <w:tc>
          <w:tcPr>
            <w:tcW w:w="500" w:type="pct"/>
            <w:shd w:val="clear" w:color="auto" w:fill="auto"/>
            <w:vAlign w:val="bottom"/>
          </w:tcPr>
          <w:p w14:paraId="38A0F56E" w14:textId="207EF5EB" w:rsidR="00FA33C9" w:rsidRPr="00073BD7" w:rsidRDefault="00FA33C9" w:rsidP="00FA33C9">
            <w:pPr>
              <w:jc w:val="center"/>
              <w:rPr>
                <w:b/>
                <w:bCs/>
                <w:color w:val="000000" w:themeColor="text1"/>
              </w:rPr>
            </w:pPr>
            <w:r w:rsidRPr="00073BD7">
              <w:rPr>
                <w:b/>
                <w:bCs/>
              </w:rPr>
              <w:t>FFY 2022 Data</w:t>
            </w:r>
          </w:p>
        </w:tc>
        <w:tc>
          <w:tcPr>
            <w:tcW w:w="500" w:type="pct"/>
            <w:shd w:val="clear" w:color="auto" w:fill="auto"/>
            <w:vAlign w:val="bottom"/>
          </w:tcPr>
          <w:p w14:paraId="11F44E1D" w14:textId="39A61F57" w:rsidR="00FA33C9" w:rsidRPr="00781112" w:rsidRDefault="00FA33C9" w:rsidP="00FA33C9">
            <w:pPr>
              <w:jc w:val="center"/>
              <w:rPr>
                <w:b/>
                <w:color w:val="000000" w:themeColor="text1"/>
              </w:rPr>
            </w:pPr>
            <w:r w:rsidRPr="00781112">
              <w:rPr>
                <w:b/>
                <w:color w:val="000000" w:themeColor="text1"/>
              </w:rPr>
              <w:t>Status</w:t>
            </w:r>
          </w:p>
        </w:tc>
        <w:tc>
          <w:tcPr>
            <w:tcW w:w="499" w:type="pct"/>
            <w:shd w:val="clear" w:color="auto" w:fill="auto"/>
            <w:vAlign w:val="bottom"/>
          </w:tcPr>
          <w:p w14:paraId="64655725" w14:textId="350D326F" w:rsidR="00FA33C9" w:rsidRPr="00781112" w:rsidRDefault="00FA33C9" w:rsidP="00FA33C9">
            <w:pPr>
              <w:jc w:val="center"/>
              <w:rPr>
                <w:b/>
                <w:color w:val="000000" w:themeColor="text1"/>
              </w:rPr>
            </w:pPr>
            <w:r w:rsidRPr="00781112">
              <w:rPr>
                <w:b/>
                <w:color w:val="000000" w:themeColor="text1"/>
              </w:rPr>
              <w:t>Slippage</w:t>
            </w:r>
          </w:p>
        </w:tc>
      </w:tr>
      <w:tr w:rsidR="00242D8A" w:rsidRPr="00781112" w14:paraId="14220C43" w14:textId="77777777" w:rsidTr="00242D8A">
        <w:trPr>
          <w:jc w:val="center"/>
        </w:trPr>
        <w:tc>
          <w:tcPr>
            <w:tcW w:w="223" w:type="pct"/>
            <w:shd w:val="clear" w:color="auto" w:fill="auto"/>
            <w:vAlign w:val="center"/>
          </w:tcPr>
          <w:p w14:paraId="16A9CDD2" w14:textId="5DBA3D3A" w:rsidR="00242D8A" w:rsidRPr="00781112" w:rsidRDefault="00242D8A" w:rsidP="00242D8A">
            <w:pPr>
              <w:pStyle w:val="Default"/>
              <w:jc w:val="center"/>
              <w:rPr>
                <w:b/>
                <w:color w:val="000000" w:themeColor="text1"/>
                <w:sz w:val="16"/>
                <w:szCs w:val="16"/>
              </w:rPr>
            </w:pPr>
            <w:r w:rsidRPr="00781112">
              <w:rPr>
                <w:rFonts w:eastAsiaTheme="minorHAnsi"/>
                <w:b/>
                <w:color w:val="000000" w:themeColor="text1"/>
                <w:sz w:val="16"/>
                <w:szCs w:val="16"/>
              </w:rPr>
              <w:t>A</w:t>
            </w:r>
          </w:p>
        </w:tc>
        <w:tc>
          <w:tcPr>
            <w:tcW w:w="486" w:type="pct"/>
            <w:shd w:val="clear" w:color="auto" w:fill="auto"/>
            <w:vAlign w:val="center"/>
          </w:tcPr>
          <w:p w14:paraId="1392C443" w14:textId="646DC1A9" w:rsidR="00242D8A" w:rsidRPr="00781112" w:rsidDel="00DE5045" w:rsidRDefault="00242D8A" w:rsidP="00242D8A">
            <w:pPr>
              <w:jc w:val="center"/>
              <w:rPr>
                <w:rFonts w:cs="Arial"/>
                <w:color w:val="000000" w:themeColor="text1"/>
                <w:szCs w:val="16"/>
              </w:rPr>
            </w:pPr>
            <w:r w:rsidRPr="00781112">
              <w:rPr>
                <w:rFonts w:cs="Arial"/>
                <w:color w:val="000000" w:themeColor="text1"/>
                <w:szCs w:val="16"/>
              </w:rPr>
              <w:t>Grade 4</w:t>
            </w:r>
          </w:p>
        </w:tc>
        <w:tc>
          <w:tcPr>
            <w:tcW w:w="896" w:type="pct"/>
            <w:shd w:val="clear" w:color="auto" w:fill="auto"/>
            <w:vAlign w:val="center"/>
          </w:tcPr>
          <w:p w14:paraId="0B49B780" w14:textId="151DA31E" w:rsidR="00242D8A" w:rsidRPr="00781112" w:rsidRDefault="00242D8A" w:rsidP="00242D8A">
            <w:pPr>
              <w:jc w:val="center"/>
              <w:rPr>
                <w:rFonts w:cs="Arial"/>
                <w:color w:val="000000" w:themeColor="text1"/>
                <w:szCs w:val="16"/>
              </w:rPr>
            </w:pPr>
            <w:r w:rsidRPr="00781112">
              <w:rPr>
                <w:rFonts w:cs="Arial"/>
                <w:color w:val="000000" w:themeColor="text1"/>
                <w:szCs w:val="16"/>
              </w:rPr>
              <w:t>688</w:t>
            </w:r>
          </w:p>
        </w:tc>
        <w:tc>
          <w:tcPr>
            <w:tcW w:w="896" w:type="pct"/>
            <w:shd w:val="clear" w:color="auto" w:fill="auto"/>
            <w:vAlign w:val="center"/>
          </w:tcPr>
          <w:p w14:paraId="2611648C" w14:textId="77D930AD" w:rsidR="00242D8A" w:rsidRPr="00781112" w:rsidRDefault="00242D8A" w:rsidP="00242D8A">
            <w:pPr>
              <w:jc w:val="center"/>
              <w:rPr>
                <w:rFonts w:cs="Arial"/>
                <w:color w:val="000000" w:themeColor="text1"/>
                <w:szCs w:val="16"/>
              </w:rPr>
            </w:pPr>
            <w:r w:rsidRPr="00242D8A">
              <w:rPr>
                <w:rFonts w:cs="Arial"/>
                <w:color w:val="000000" w:themeColor="text1"/>
                <w:szCs w:val="16"/>
              </w:rPr>
              <w:t>7,292</w:t>
            </w:r>
          </w:p>
        </w:tc>
        <w:tc>
          <w:tcPr>
            <w:tcW w:w="500" w:type="pct"/>
            <w:shd w:val="clear" w:color="auto" w:fill="auto"/>
            <w:vAlign w:val="center"/>
          </w:tcPr>
          <w:p w14:paraId="044B076F" w14:textId="2D73EFD2" w:rsidR="00242D8A" w:rsidRPr="00781112" w:rsidRDefault="00242D8A" w:rsidP="00242D8A">
            <w:pPr>
              <w:jc w:val="center"/>
              <w:rPr>
                <w:rFonts w:cs="Arial"/>
                <w:color w:val="000000" w:themeColor="text1"/>
                <w:szCs w:val="16"/>
              </w:rPr>
            </w:pPr>
            <w:r w:rsidRPr="00781112">
              <w:rPr>
                <w:rFonts w:cs="Arial"/>
                <w:color w:val="000000" w:themeColor="text1"/>
                <w:szCs w:val="16"/>
              </w:rPr>
              <w:t>8.04%</w:t>
            </w:r>
          </w:p>
        </w:tc>
        <w:tc>
          <w:tcPr>
            <w:tcW w:w="500" w:type="pct"/>
            <w:shd w:val="clear" w:color="auto" w:fill="auto"/>
            <w:vAlign w:val="center"/>
          </w:tcPr>
          <w:p w14:paraId="4D68E61F" w14:textId="36DB0B83" w:rsidR="00242D8A" w:rsidRPr="00781112" w:rsidRDefault="00242D8A" w:rsidP="00242D8A">
            <w:pPr>
              <w:jc w:val="center"/>
              <w:rPr>
                <w:rFonts w:cs="Arial"/>
                <w:color w:val="000000" w:themeColor="text1"/>
                <w:szCs w:val="16"/>
              </w:rPr>
            </w:pPr>
            <w:r w:rsidRPr="00781112">
              <w:rPr>
                <w:rFonts w:cs="Arial"/>
                <w:color w:val="000000" w:themeColor="text1"/>
                <w:szCs w:val="16"/>
              </w:rPr>
              <w:t>10.20%</w:t>
            </w:r>
          </w:p>
        </w:tc>
        <w:tc>
          <w:tcPr>
            <w:tcW w:w="500" w:type="pct"/>
            <w:shd w:val="clear" w:color="auto" w:fill="auto"/>
            <w:vAlign w:val="center"/>
          </w:tcPr>
          <w:p w14:paraId="4C5100F6" w14:textId="23EB35C9" w:rsidR="00242D8A" w:rsidRPr="00781112" w:rsidRDefault="00242D8A" w:rsidP="00242D8A">
            <w:pPr>
              <w:jc w:val="center"/>
              <w:rPr>
                <w:rFonts w:cs="Arial"/>
                <w:color w:val="000000" w:themeColor="text1"/>
                <w:szCs w:val="16"/>
              </w:rPr>
            </w:pPr>
            <w:r w:rsidRPr="00781112">
              <w:rPr>
                <w:rFonts w:cs="Arial"/>
                <w:color w:val="000000" w:themeColor="text1"/>
                <w:szCs w:val="16"/>
              </w:rPr>
              <w:t>9.43%</w:t>
            </w:r>
          </w:p>
        </w:tc>
        <w:tc>
          <w:tcPr>
            <w:tcW w:w="500" w:type="pct"/>
            <w:shd w:val="clear" w:color="auto" w:fill="auto"/>
            <w:vAlign w:val="center"/>
          </w:tcPr>
          <w:p w14:paraId="5A9EC511" w14:textId="6D6B7DF8" w:rsidR="00242D8A" w:rsidRPr="00781112" w:rsidRDefault="00242D8A" w:rsidP="00242D8A">
            <w:pPr>
              <w:jc w:val="center"/>
              <w:rPr>
                <w:rFonts w:cs="Arial"/>
                <w:color w:val="000000" w:themeColor="text1"/>
                <w:szCs w:val="16"/>
              </w:rPr>
            </w:pPr>
            <w:r w:rsidRPr="00781112">
              <w:rPr>
                <w:rFonts w:cs="Arial"/>
                <w:color w:val="000000" w:themeColor="text1"/>
                <w:szCs w:val="16"/>
              </w:rPr>
              <w:t>Did not meet target</w:t>
            </w:r>
          </w:p>
        </w:tc>
        <w:tc>
          <w:tcPr>
            <w:tcW w:w="499" w:type="pct"/>
            <w:shd w:val="clear" w:color="auto" w:fill="auto"/>
            <w:vAlign w:val="center"/>
          </w:tcPr>
          <w:p w14:paraId="17FB0601" w14:textId="6AA7FF5B" w:rsidR="00242D8A" w:rsidRPr="00781112" w:rsidRDefault="00242D8A" w:rsidP="00242D8A">
            <w:pPr>
              <w:jc w:val="center"/>
              <w:rPr>
                <w:rFonts w:cs="Arial"/>
                <w:color w:val="000000" w:themeColor="text1"/>
                <w:szCs w:val="16"/>
              </w:rPr>
            </w:pPr>
            <w:r w:rsidRPr="00781112">
              <w:rPr>
                <w:rFonts w:cs="Arial"/>
                <w:color w:val="000000" w:themeColor="text1"/>
                <w:szCs w:val="16"/>
              </w:rPr>
              <w:t>No Slippage</w:t>
            </w:r>
          </w:p>
        </w:tc>
      </w:tr>
      <w:tr w:rsidR="00242D8A" w:rsidRPr="00781112" w14:paraId="33C5CE6C" w14:textId="77777777" w:rsidTr="00242D8A">
        <w:trPr>
          <w:jc w:val="center"/>
        </w:trPr>
        <w:tc>
          <w:tcPr>
            <w:tcW w:w="223" w:type="pct"/>
            <w:shd w:val="clear" w:color="auto" w:fill="auto"/>
            <w:vAlign w:val="center"/>
          </w:tcPr>
          <w:p w14:paraId="17123B1B" w14:textId="50BB2C71" w:rsidR="00242D8A" w:rsidRPr="00781112" w:rsidRDefault="00242D8A" w:rsidP="00242D8A">
            <w:pPr>
              <w:pStyle w:val="Default"/>
              <w:jc w:val="center"/>
              <w:rPr>
                <w:b/>
                <w:color w:val="000000" w:themeColor="text1"/>
                <w:sz w:val="16"/>
                <w:szCs w:val="16"/>
              </w:rPr>
            </w:pPr>
            <w:r w:rsidRPr="00781112">
              <w:rPr>
                <w:b/>
                <w:color w:val="000000" w:themeColor="text1"/>
                <w:sz w:val="16"/>
                <w:szCs w:val="16"/>
              </w:rPr>
              <w:t>B</w:t>
            </w:r>
          </w:p>
        </w:tc>
        <w:tc>
          <w:tcPr>
            <w:tcW w:w="486" w:type="pct"/>
            <w:shd w:val="clear" w:color="auto" w:fill="auto"/>
            <w:vAlign w:val="center"/>
          </w:tcPr>
          <w:p w14:paraId="45DA42B4" w14:textId="04F51E55" w:rsidR="00242D8A" w:rsidRPr="00781112" w:rsidDel="00DE5045" w:rsidRDefault="00242D8A" w:rsidP="00242D8A">
            <w:pPr>
              <w:jc w:val="center"/>
              <w:rPr>
                <w:rFonts w:cs="Arial"/>
                <w:color w:val="000000" w:themeColor="text1"/>
                <w:szCs w:val="16"/>
              </w:rPr>
            </w:pPr>
            <w:r w:rsidRPr="00781112">
              <w:rPr>
                <w:rFonts w:cs="Arial"/>
                <w:color w:val="000000" w:themeColor="text1"/>
                <w:szCs w:val="16"/>
              </w:rPr>
              <w:t>Grade 8</w:t>
            </w:r>
          </w:p>
        </w:tc>
        <w:tc>
          <w:tcPr>
            <w:tcW w:w="896" w:type="pct"/>
            <w:shd w:val="clear" w:color="auto" w:fill="auto"/>
            <w:vAlign w:val="center"/>
          </w:tcPr>
          <w:p w14:paraId="31722F1C" w14:textId="2D076448" w:rsidR="00242D8A" w:rsidRPr="00781112" w:rsidRDefault="00242D8A" w:rsidP="00242D8A">
            <w:pPr>
              <w:jc w:val="center"/>
              <w:rPr>
                <w:rFonts w:cs="Arial"/>
                <w:color w:val="000000" w:themeColor="text1"/>
                <w:szCs w:val="16"/>
              </w:rPr>
            </w:pPr>
            <w:r w:rsidRPr="00781112">
              <w:rPr>
                <w:rFonts w:cs="Arial"/>
                <w:color w:val="000000" w:themeColor="text1"/>
                <w:szCs w:val="16"/>
              </w:rPr>
              <w:t>319</w:t>
            </w:r>
          </w:p>
        </w:tc>
        <w:tc>
          <w:tcPr>
            <w:tcW w:w="896" w:type="pct"/>
            <w:shd w:val="clear" w:color="auto" w:fill="auto"/>
            <w:vAlign w:val="center"/>
          </w:tcPr>
          <w:p w14:paraId="048616C6" w14:textId="622D5B53" w:rsidR="00242D8A" w:rsidRPr="00781112" w:rsidRDefault="00242D8A" w:rsidP="00242D8A">
            <w:pPr>
              <w:jc w:val="center"/>
              <w:rPr>
                <w:rFonts w:cs="Arial"/>
                <w:color w:val="000000" w:themeColor="text1"/>
                <w:szCs w:val="16"/>
              </w:rPr>
            </w:pPr>
            <w:r w:rsidRPr="00242D8A">
              <w:rPr>
                <w:rFonts w:cs="Arial"/>
                <w:color w:val="000000" w:themeColor="text1"/>
                <w:szCs w:val="16"/>
              </w:rPr>
              <w:t>5,604</w:t>
            </w:r>
          </w:p>
        </w:tc>
        <w:tc>
          <w:tcPr>
            <w:tcW w:w="500" w:type="pct"/>
            <w:shd w:val="clear" w:color="auto" w:fill="auto"/>
            <w:vAlign w:val="center"/>
          </w:tcPr>
          <w:p w14:paraId="272455FD" w14:textId="25614537" w:rsidR="00242D8A" w:rsidRPr="00781112" w:rsidRDefault="00242D8A" w:rsidP="00242D8A">
            <w:pPr>
              <w:jc w:val="center"/>
              <w:rPr>
                <w:rFonts w:cs="Arial"/>
                <w:color w:val="000000" w:themeColor="text1"/>
                <w:szCs w:val="16"/>
              </w:rPr>
            </w:pPr>
            <w:r w:rsidRPr="00781112">
              <w:rPr>
                <w:rFonts w:cs="Arial"/>
                <w:color w:val="000000" w:themeColor="text1"/>
                <w:szCs w:val="16"/>
              </w:rPr>
              <w:t>4.49%</w:t>
            </w:r>
          </w:p>
        </w:tc>
        <w:tc>
          <w:tcPr>
            <w:tcW w:w="500" w:type="pct"/>
            <w:shd w:val="clear" w:color="auto" w:fill="auto"/>
            <w:vAlign w:val="center"/>
          </w:tcPr>
          <w:p w14:paraId="38039D42" w14:textId="45468742" w:rsidR="00242D8A" w:rsidRPr="00781112" w:rsidRDefault="00242D8A" w:rsidP="00242D8A">
            <w:pPr>
              <w:jc w:val="center"/>
              <w:rPr>
                <w:rFonts w:cs="Arial"/>
                <w:color w:val="000000" w:themeColor="text1"/>
                <w:szCs w:val="16"/>
              </w:rPr>
            </w:pPr>
            <w:r w:rsidRPr="00781112">
              <w:rPr>
                <w:rFonts w:cs="Arial"/>
                <w:color w:val="000000" w:themeColor="text1"/>
                <w:szCs w:val="16"/>
              </w:rPr>
              <w:t>8.31%</w:t>
            </w:r>
          </w:p>
        </w:tc>
        <w:tc>
          <w:tcPr>
            <w:tcW w:w="500" w:type="pct"/>
            <w:shd w:val="clear" w:color="auto" w:fill="auto"/>
            <w:vAlign w:val="center"/>
          </w:tcPr>
          <w:p w14:paraId="7DB4B85A" w14:textId="6DFB205A" w:rsidR="00242D8A" w:rsidRPr="00781112" w:rsidRDefault="00242D8A" w:rsidP="00242D8A">
            <w:pPr>
              <w:jc w:val="center"/>
              <w:rPr>
                <w:rFonts w:cs="Arial"/>
                <w:color w:val="000000" w:themeColor="text1"/>
                <w:szCs w:val="16"/>
              </w:rPr>
            </w:pPr>
            <w:r w:rsidRPr="00781112">
              <w:rPr>
                <w:rFonts w:cs="Arial"/>
                <w:color w:val="000000" w:themeColor="text1"/>
                <w:szCs w:val="16"/>
              </w:rPr>
              <w:t>5.69%</w:t>
            </w:r>
          </w:p>
        </w:tc>
        <w:tc>
          <w:tcPr>
            <w:tcW w:w="500" w:type="pct"/>
            <w:shd w:val="clear" w:color="auto" w:fill="auto"/>
            <w:vAlign w:val="center"/>
          </w:tcPr>
          <w:p w14:paraId="19114A8F" w14:textId="4F4B3C10" w:rsidR="00242D8A" w:rsidRPr="00781112" w:rsidRDefault="00242D8A" w:rsidP="00242D8A">
            <w:pPr>
              <w:jc w:val="center"/>
              <w:rPr>
                <w:rFonts w:cs="Arial"/>
                <w:color w:val="000000" w:themeColor="text1"/>
                <w:szCs w:val="16"/>
              </w:rPr>
            </w:pPr>
            <w:r w:rsidRPr="00781112">
              <w:rPr>
                <w:rFonts w:cs="Arial"/>
                <w:color w:val="000000" w:themeColor="text1"/>
                <w:szCs w:val="16"/>
              </w:rPr>
              <w:t>Did not meet target</w:t>
            </w:r>
          </w:p>
        </w:tc>
        <w:tc>
          <w:tcPr>
            <w:tcW w:w="499" w:type="pct"/>
            <w:shd w:val="clear" w:color="auto" w:fill="auto"/>
            <w:vAlign w:val="center"/>
          </w:tcPr>
          <w:p w14:paraId="47661F26" w14:textId="727C9546" w:rsidR="00242D8A" w:rsidRPr="00781112" w:rsidRDefault="00242D8A" w:rsidP="00242D8A">
            <w:pPr>
              <w:jc w:val="center"/>
              <w:rPr>
                <w:rFonts w:cs="Arial"/>
                <w:color w:val="000000" w:themeColor="text1"/>
                <w:szCs w:val="16"/>
              </w:rPr>
            </w:pPr>
            <w:r w:rsidRPr="00781112">
              <w:rPr>
                <w:rFonts w:cs="Arial"/>
                <w:color w:val="000000" w:themeColor="text1"/>
                <w:szCs w:val="16"/>
              </w:rPr>
              <w:t>No Slippage</w:t>
            </w:r>
          </w:p>
        </w:tc>
      </w:tr>
      <w:tr w:rsidR="00242D8A" w:rsidRPr="00781112" w14:paraId="573A5711" w14:textId="77777777" w:rsidTr="00242D8A">
        <w:trPr>
          <w:jc w:val="center"/>
        </w:trPr>
        <w:tc>
          <w:tcPr>
            <w:tcW w:w="223" w:type="pct"/>
            <w:shd w:val="clear" w:color="auto" w:fill="auto"/>
            <w:vAlign w:val="center"/>
          </w:tcPr>
          <w:p w14:paraId="3C25BE15" w14:textId="77777777" w:rsidR="00242D8A" w:rsidRPr="00781112" w:rsidRDefault="00242D8A" w:rsidP="00242D8A">
            <w:pPr>
              <w:pStyle w:val="Default"/>
              <w:jc w:val="center"/>
              <w:rPr>
                <w:rFonts w:eastAsiaTheme="minorHAnsi"/>
                <w:color w:val="000000" w:themeColor="text1"/>
                <w:sz w:val="16"/>
                <w:szCs w:val="16"/>
              </w:rPr>
            </w:pPr>
            <w:r w:rsidRPr="00781112">
              <w:rPr>
                <w:b/>
                <w:color w:val="000000" w:themeColor="text1"/>
                <w:sz w:val="16"/>
                <w:szCs w:val="16"/>
              </w:rPr>
              <w:t>C</w:t>
            </w:r>
          </w:p>
        </w:tc>
        <w:tc>
          <w:tcPr>
            <w:tcW w:w="486" w:type="pct"/>
            <w:shd w:val="clear" w:color="auto" w:fill="auto"/>
            <w:vAlign w:val="center"/>
          </w:tcPr>
          <w:p w14:paraId="1B1F6BC3" w14:textId="7816ECC7" w:rsidR="00242D8A" w:rsidRPr="00781112" w:rsidDel="00DE5045" w:rsidRDefault="00242D8A" w:rsidP="00242D8A">
            <w:pPr>
              <w:jc w:val="center"/>
              <w:rPr>
                <w:rFonts w:cs="Arial"/>
                <w:color w:val="000000" w:themeColor="text1"/>
                <w:szCs w:val="16"/>
              </w:rPr>
            </w:pPr>
            <w:r w:rsidRPr="00781112">
              <w:rPr>
                <w:rFonts w:cs="Arial"/>
                <w:color w:val="000000" w:themeColor="text1"/>
                <w:szCs w:val="16"/>
              </w:rPr>
              <w:t>Grade HS</w:t>
            </w:r>
          </w:p>
        </w:tc>
        <w:tc>
          <w:tcPr>
            <w:tcW w:w="896" w:type="pct"/>
            <w:shd w:val="clear" w:color="auto" w:fill="auto"/>
            <w:vAlign w:val="center"/>
          </w:tcPr>
          <w:p w14:paraId="0EFA1043" w14:textId="0F9EE258" w:rsidR="00242D8A" w:rsidRPr="00781112" w:rsidRDefault="00242D8A" w:rsidP="00242D8A">
            <w:pPr>
              <w:jc w:val="center"/>
              <w:rPr>
                <w:rFonts w:cs="Arial"/>
                <w:color w:val="000000" w:themeColor="text1"/>
                <w:szCs w:val="16"/>
              </w:rPr>
            </w:pPr>
            <w:r w:rsidRPr="00781112">
              <w:rPr>
                <w:rFonts w:cs="Arial"/>
                <w:color w:val="000000" w:themeColor="text1"/>
                <w:szCs w:val="16"/>
              </w:rPr>
              <w:t>242</w:t>
            </w:r>
          </w:p>
        </w:tc>
        <w:tc>
          <w:tcPr>
            <w:tcW w:w="896" w:type="pct"/>
            <w:shd w:val="clear" w:color="auto" w:fill="auto"/>
            <w:vAlign w:val="center"/>
          </w:tcPr>
          <w:p w14:paraId="2A4E8BA5" w14:textId="01157060" w:rsidR="00242D8A" w:rsidRPr="00781112" w:rsidRDefault="00242D8A" w:rsidP="00242D8A">
            <w:pPr>
              <w:jc w:val="center"/>
              <w:rPr>
                <w:rFonts w:cs="Arial"/>
                <w:color w:val="000000" w:themeColor="text1"/>
                <w:szCs w:val="16"/>
              </w:rPr>
            </w:pPr>
            <w:r w:rsidRPr="00242D8A">
              <w:rPr>
                <w:rFonts w:cs="Arial"/>
                <w:color w:val="000000" w:themeColor="text1"/>
                <w:szCs w:val="16"/>
              </w:rPr>
              <w:t>4,099</w:t>
            </w:r>
          </w:p>
        </w:tc>
        <w:tc>
          <w:tcPr>
            <w:tcW w:w="500" w:type="pct"/>
            <w:shd w:val="clear" w:color="auto" w:fill="auto"/>
            <w:vAlign w:val="center"/>
          </w:tcPr>
          <w:p w14:paraId="2250005A" w14:textId="360EA34B" w:rsidR="00242D8A" w:rsidRPr="00781112" w:rsidRDefault="00242D8A" w:rsidP="00242D8A">
            <w:pPr>
              <w:jc w:val="center"/>
              <w:rPr>
                <w:rFonts w:cs="Arial"/>
                <w:color w:val="000000" w:themeColor="text1"/>
                <w:szCs w:val="16"/>
              </w:rPr>
            </w:pPr>
            <w:r w:rsidRPr="00781112">
              <w:rPr>
                <w:rFonts w:cs="Arial"/>
                <w:color w:val="000000" w:themeColor="text1"/>
                <w:szCs w:val="16"/>
              </w:rPr>
              <w:t>6.10%</w:t>
            </w:r>
          </w:p>
        </w:tc>
        <w:tc>
          <w:tcPr>
            <w:tcW w:w="500" w:type="pct"/>
            <w:shd w:val="clear" w:color="auto" w:fill="auto"/>
            <w:vAlign w:val="center"/>
          </w:tcPr>
          <w:p w14:paraId="722A3424" w14:textId="24478E1D" w:rsidR="00242D8A" w:rsidRPr="00781112" w:rsidRDefault="00242D8A" w:rsidP="00242D8A">
            <w:pPr>
              <w:jc w:val="center"/>
              <w:rPr>
                <w:rFonts w:cs="Arial"/>
                <w:color w:val="000000" w:themeColor="text1"/>
                <w:szCs w:val="16"/>
              </w:rPr>
            </w:pPr>
            <w:r w:rsidRPr="00781112">
              <w:rPr>
                <w:rFonts w:cs="Arial"/>
                <w:color w:val="000000" w:themeColor="text1"/>
                <w:szCs w:val="16"/>
              </w:rPr>
              <w:t>6.30%</w:t>
            </w:r>
          </w:p>
        </w:tc>
        <w:tc>
          <w:tcPr>
            <w:tcW w:w="500" w:type="pct"/>
            <w:shd w:val="clear" w:color="auto" w:fill="auto"/>
            <w:vAlign w:val="center"/>
          </w:tcPr>
          <w:p w14:paraId="581F32CD" w14:textId="4D615B60" w:rsidR="00242D8A" w:rsidRPr="00781112" w:rsidRDefault="00242D8A" w:rsidP="00242D8A">
            <w:pPr>
              <w:jc w:val="center"/>
              <w:rPr>
                <w:rFonts w:cs="Arial"/>
                <w:color w:val="000000" w:themeColor="text1"/>
                <w:szCs w:val="16"/>
              </w:rPr>
            </w:pPr>
            <w:r w:rsidRPr="00781112">
              <w:rPr>
                <w:rFonts w:cs="Arial"/>
                <w:color w:val="000000" w:themeColor="text1"/>
                <w:szCs w:val="16"/>
              </w:rPr>
              <w:t>5.90%</w:t>
            </w:r>
          </w:p>
        </w:tc>
        <w:tc>
          <w:tcPr>
            <w:tcW w:w="500" w:type="pct"/>
            <w:shd w:val="clear" w:color="auto" w:fill="auto"/>
            <w:vAlign w:val="center"/>
          </w:tcPr>
          <w:p w14:paraId="3FECC7B3" w14:textId="2C921A8F" w:rsidR="00242D8A" w:rsidRPr="00781112" w:rsidRDefault="00242D8A" w:rsidP="00242D8A">
            <w:pPr>
              <w:jc w:val="center"/>
              <w:rPr>
                <w:rFonts w:cs="Arial"/>
                <w:color w:val="000000" w:themeColor="text1"/>
                <w:szCs w:val="16"/>
              </w:rPr>
            </w:pPr>
            <w:r w:rsidRPr="00781112">
              <w:rPr>
                <w:rFonts w:cs="Arial"/>
                <w:color w:val="000000" w:themeColor="text1"/>
                <w:szCs w:val="16"/>
              </w:rPr>
              <w:t>Did not meet target</w:t>
            </w:r>
          </w:p>
        </w:tc>
        <w:tc>
          <w:tcPr>
            <w:tcW w:w="499" w:type="pct"/>
            <w:shd w:val="clear" w:color="auto" w:fill="auto"/>
            <w:vAlign w:val="center"/>
          </w:tcPr>
          <w:p w14:paraId="79B60713" w14:textId="20FD7180" w:rsidR="00242D8A" w:rsidRPr="00781112" w:rsidRDefault="00242D8A" w:rsidP="00242D8A">
            <w:pPr>
              <w:jc w:val="center"/>
              <w:rPr>
                <w:rFonts w:cs="Arial"/>
                <w:color w:val="000000" w:themeColor="text1"/>
                <w:szCs w:val="16"/>
              </w:rPr>
            </w:pPr>
            <w:r w:rsidRPr="00781112">
              <w:rPr>
                <w:rFonts w:cs="Arial"/>
                <w:color w:val="000000" w:themeColor="text1"/>
                <w:szCs w:val="16"/>
              </w:rPr>
              <w:t>Slippage</w:t>
            </w:r>
          </w:p>
        </w:tc>
      </w:tr>
    </w:tbl>
    <w:p w14:paraId="057C4180" w14:textId="77777777" w:rsidR="00CF57A2" w:rsidRPr="00781112" w:rsidRDefault="00CF57A2" w:rsidP="00CF57A2">
      <w:pPr>
        <w:rPr>
          <w:b/>
          <w:color w:val="000000" w:themeColor="text1"/>
        </w:rPr>
      </w:pPr>
      <w:r w:rsidRPr="00781112">
        <w:rPr>
          <w:b/>
          <w:color w:val="000000" w:themeColor="text1"/>
        </w:rPr>
        <w:t>Provide reasons for slippage for Group C, if applicable</w:t>
      </w:r>
    </w:p>
    <w:p w14:paraId="0AE9759D" w14:textId="2A5F4E4D" w:rsidR="00CF57A2" w:rsidRPr="00781112" w:rsidRDefault="00CF57A2" w:rsidP="00CF57A2">
      <w:pPr>
        <w:rPr>
          <w:rFonts w:cs="Arial"/>
          <w:color w:val="000000" w:themeColor="text1"/>
          <w:szCs w:val="16"/>
        </w:rPr>
      </w:pPr>
      <w:r w:rsidRPr="00781112">
        <w:rPr>
          <w:rFonts w:cs="Arial"/>
          <w:color w:val="000000" w:themeColor="text1"/>
          <w:szCs w:val="16"/>
        </w:rPr>
        <w:t>Slippage is likely tied to two factors. Residual gaps in prerequisite skills because of the pandemic and decreases in consistent school attendance are areas of concern for high school students. During the two years of the pandemic there was a decline in the frequency of distributed academic task practices that built the requisites of mathematic knowledge and skills needed for high school math. This was problematic for many students and especially for students with disabilities. This concern has been further exacerbated with a high frequency of absenteeism. Colorado had a 35% chronic absenteeism rate in the 2021-22 school year. Federal data suggest that chronic absenteeism is higher for high school students, which has negatively influenced learning recovery needs from the pandemic years.</w:t>
      </w:r>
    </w:p>
    <w:p w14:paraId="197C30C8" w14:textId="77777777" w:rsidR="00CF57A2" w:rsidRPr="00781112" w:rsidRDefault="00CF57A2" w:rsidP="00580134">
      <w:pPr>
        <w:rPr>
          <w:rFonts w:cs="Arial"/>
          <w:iCs/>
          <w:color w:val="000000" w:themeColor="text1"/>
          <w:szCs w:val="16"/>
        </w:rPr>
      </w:pPr>
    </w:p>
    <w:p w14:paraId="491BF673" w14:textId="01A5E679" w:rsidR="00140972" w:rsidRDefault="00140972">
      <w:pPr>
        <w:spacing w:before="0" w:after="200" w:line="276" w:lineRule="auto"/>
        <w:rPr>
          <w:color w:val="000000" w:themeColor="text1"/>
        </w:rPr>
      </w:pPr>
      <w:r>
        <w:rPr>
          <w:color w:val="000000" w:themeColor="text1"/>
        </w:rPr>
        <w:br w:type="page"/>
      </w:r>
    </w:p>
    <w:p w14:paraId="548763BB" w14:textId="77777777" w:rsidR="00585959" w:rsidRPr="00781112" w:rsidRDefault="00585959" w:rsidP="005004AB">
      <w:pPr>
        <w:rPr>
          <w:color w:val="000000" w:themeColor="text1"/>
        </w:rPr>
      </w:pPr>
    </w:p>
    <w:p w14:paraId="3D6382E8" w14:textId="3FF585D4" w:rsidR="00497DE4" w:rsidRPr="00781112" w:rsidRDefault="00497DE4" w:rsidP="004369B2">
      <w:pPr>
        <w:rPr>
          <w:color w:val="000000" w:themeColor="text1"/>
        </w:rPr>
      </w:pPr>
      <w:r w:rsidRPr="00781112">
        <w:rPr>
          <w:b/>
          <w:color w:val="000000" w:themeColor="text1"/>
        </w:rPr>
        <w:t>Regulatory Information</w:t>
      </w:r>
    </w:p>
    <w:p w14:paraId="3C6B4961" w14:textId="47AFDEDF" w:rsidR="00497DE4" w:rsidRPr="00781112" w:rsidRDefault="00A14B5D" w:rsidP="00552927">
      <w:pPr>
        <w:rPr>
          <w:rFonts w:cs="Arial"/>
          <w:b/>
          <w:color w:val="000000" w:themeColor="text1"/>
          <w:szCs w:val="16"/>
          <w:shd w:val="clear" w:color="auto" w:fill="FFFFFF"/>
        </w:rPr>
      </w:pPr>
      <w:r w:rsidRPr="00781112">
        <w:rPr>
          <w:rFonts w:cs="Arial"/>
          <w:b/>
          <w:color w:val="000000" w:themeColor="text1"/>
          <w:szCs w:val="16"/>
        </w:rPr>
        <w:t>The SEA, (or, in the case of a district-wide assessment, LEA) must make available to the public, and report to the public with the same frequency and in the same detail as it reports on the assessment of nondisabled children: (1) the number of children with disabilities participating in: (a) regular assessments, and the number of those children who were provided accommodations in order to participate in those assessments; and (b) alternate assessments aligned with alternate achievement standards; and (2) the performance of children with disabilities on regular assessments and on alternate assessments, compared with the achievement of all children, including children with disabilities, on those assessments. [20 U.S.C. 1412 (a)(16)(D); 34 CFR §300.160(f)]</w:t>
      </w:r>
      <w:r w:rsidR="00497DE4" w:rsidRPr="00781112">
        <w:rPr>
          <w:rFonts w:cs="Arial"/>
          <w:b/>
          <w:color w:val="000000" w:themeColor="text1"/>
          <w:szCs w:val="16"/>
          <w:shd w:val="clear" w:color="auto" w:fill="FFFFFF"/>
        </w:rPr>
        <w:t xml:space="preserve"> </w:t>
      </w:r>
    </w:p>
    <w:p w14:paraId="0071F535" w14:textId="77777777" w:rsidR="00585959" w:rsidRPr="00781112" w:rsidRDefault="00585959" w:rsidP="004369B2">
      <w:pPr>
        <w:rPr>
          <w:color w:val="000000" w:themeColor="text1"/>
        </w:rPr>
      </w:pPr>
    </w:p>
    <w:p w14:paraId="36CE185D" w14:textId="50CA6AD9" w:rsidR="000A5A2E" w:rsidRPr="00781112" w:rsidRDefault="000A5A2E" w:rsidP="004369B2">
      <w:pPr>
        <w:rPr>
          <w:color w:val="000000" w:themeColor="text1"/>
        </w:rPr>
      </w:pPr>
      <w:r w:rsidRPr="00781112">
        <w:rPr>
          <w:b/>
          <w:color w:val="000000" w:themeColor="text1"/>
        </w:rPr>
        <w:t>Public Reporting Information</w:t>
      </w:r>
    </w:p>
    <w:p w14:paraId="09EDA537" w14:textId="77777777" w:rsidR="00E539AB" w:rsidRPr="00781112" w:rsidRDefault="00E539AB" w:rsidP="00E539AB">
      <w:pPr>
        <w:rPr>
          <w:rFonts w:cs="Arial"/>
          <w:b/>
          <w:color w:val="000000" w:themeColor="text1"/>
          <w:szCs w:val="16"/>
        </w:rPr>
      </w:pPr>
      <w:r w:rsidRPr="00781112">
        <w:rPr>
          <w:rFonts w:cs="Arial"/>
          <w:b/>
          <w:color w:val="000000" w:themeColor="text1"/>
          <w:szCs w:val="16"/>
        </w:rPr>
        <w:t xml:space="preserve">Provide links to the page(s) where you provide public reports of assessment results. </w:t>
      </w:r>
    </w:p>
    <w:p w14:paraId="111DD1A5" w14:textId="0E809EBD" w:rsidR="00A869E9" w:rsidRPr="00781112" w:rsidRDefault="002B7490" w:rsidP="00E539AB">
      <w:pPr>
        <w:rPr>
          <w:rFonts w:cs="Arial"/>
          <w:color w:val="000000" w:themeColor="text1"/>
          <w:szCs w:val="16"/>
        </w:rPr>
      </w:pPr>
      <w:r w:rsidRPr="00781112">
        <w:rPr>
          <w:rFonts w:cs="Arial"/>
          <w:color w:val="000000" w:themeColor="text1"/>
          <w:szCs w:val="16"/>
        </w:rPr>
        <w:t>Public reporting is available in a spreadsheet in the section "Participation and Achievement in the State Assessments" on this web page: http://www.cde.state.co.us/cdesped/sped_data</w:t>
      </w:r>
      <w:r w:rsidRPr="00781112">
        <w:rPr>
          <w:rFonts w:cs="Arial"/>
          <w:color w:val="000000" w:themeColor="text1"/>
          <w:szCs w:val="16"/>
        </w:rPr>
        <w:br/>
      </w:r>
      <w:r w:rsidRPr="00781112">
        <w:rPr>
          <w:rFonts w:cs="Arial"/>
          <w:color w:val="000000" w:themeColor="text1"/>
          <w:szCs w:val="16"/>
        </w:rPr>
        <w:br/>
        <w:t>Reporting of the Colorado Measures of Academic Success data in accordance with 34 CFR §300.160(f) can be found at:</w:t>
      </w:r>
      <w:r w:rsidRPr="00781112">
        <w:rPr>
          <w:rFonts w:cs="Arial"/>
          <w:color w:val="000000" w:themeColor="text1"/>
          <w:szCs w:val="16"/>
        </w:rPr>
        <w:br/>
        <w:t>http://www.cde.state.co.us/assessment/cmas-dataandresults</w:t>
      </w:r>
      <w:r w:rsidRPr="00781112">
        <w:rPr>
          <w:rFonts w:cs="Arial"/>
          <w:color w:val="000000" w:themeColor="text1"/>
          <w:szCs w:val="16"/>
        </w:rPr>
        <w:br/>
        <w:t xml:space="preserve"> </w:t>
      </w:r>
      <w:r w:rsidRPr="00781112">
        <w:rPr>
          <w:rFonts w:cs="Arial"/>
          <w:color w:val="000000" w:themeColor="text1"/>
          <w:szCs w:val="16"/>
        </w:rPr>
        <w:br/>
        <w:t>Performance results for Colorado’s Alternate Assessment (CoAlt), based on alternate standards can be found on the CDE’s website at:</w:t>
      </w:r>
      <w:r w:rsidRPr="00781112">
        <w:rPr>
          <w:rFonts w:cs="Arial"/>
          <w:color w:val="000000" w:themeColor="text1"/>
          <w:szCs w:val="16"/>
        </w:rPr>
        <w:br/>
        <w:t>http://www.cde.state.co.us/assessment/newassess-coaltelam</w:t>
      </w:r>
      <w:r w:rsidRPr="00781112">
        <w:rPr>
          <w:rFonts w:cs="Arial"/>
          <w:color w:val="000000" w:themeColor="text1"/>
          <w:szCs w:val="16"/>
        </w:rPr>
        <w:br/>
        <w:t xml:space="preserve">http://www.cde.state.co.us/assessment/newassess-coaltsss </w:t>
      </w:r>
      <w:r w:rsidRPr="00781112">
        <w:rPr>
          <w:rFonts w:cs="Arial"/>
          <w:color w:val="000000" w:themeColor="text1"/>
          <w:szCs w:val="16"/>
        </w:rPr>
        <w:br/>
      </w:r>
      <w:r w:rsidRPr="00781112">
        <w:rPr>
          <w:rFonts w:cs="Arial"/>
          <w:color w:val="000000" w:themeColor="text1"/>
          <w:szCs w:val="16"/>
        </w:rPr>
        <w:br/>
        <w:t xml:space="preserve">Additional district or individual school information can be found at </w:t>
      </w:r>
      <w:r w:rsidRPr="00781112">
        <w:rPr>
          <w:rFonts w:cs="Arial"/>
          <w:color w:val="000000" w:themeColor="text1"/>
          <w:szCs w:val="16"/>
        </w:rPr>
        <w:br/>
        <w:t>http://www.cde.state.co.us/schoolview</w:t>
      </w:r>
    </w:p>
    <w:p w14:paraId="2BE473B4" w14:textId="77777777" w:rsidR="00053391" w:rsidRPr="00781112" w:rsidRDefault="00053391" w:rsidP="004369B2">
      <w:pPr>
        <w:rPr>
          <w:b/>
          <w:color w:val="000000" w:themeColor="text1"/>
        </w:rPr>
      </w:pPr>
      <w:bookmarkStart w:id="15" w:name="_Toc382082367"/>
      <w:bookmarkStart w:id="16" w:name="_Toc392159276"/>
      <w:r w:rsidRPr="00781112">
        <w:rPr>
          <w:b/>
          <w:color w:val="000000" w:themeColor="text1"/>
        </w:rPr>
        <w:t>Provide additional information about this indicator (optional)</w:t>
      </w:r>
    </w:p>
    <w:p w14:paraId="3E9E8793" w14:textId="126D5C73" w:rsidR="00A869E9" w:rsidRPr="00781112" w:rsidRDefault="00A869E9" w:rsidP="000E33D0">
      <w:pPr>
        <w:rPr>
          <w:rFonts w:cs="Arial"/>
          <w:color w:val="000000" w:themeColor="text1"/>
          <w:szCs w:val="16"/>
        </w:rPr>
      </w:pPr>
    </w:p>
    <w:p w14:paraId="7E90E47A" w14:textId="1FCF2660" w:rsidR="000A2C83" w:rsidRPr="00781112" w:rsidRDefault="00573F6C" w:rsidP="008645AD">
      <w:pPr>
        <w:pStyle w:val="Heading2"/>
      </w:pPr>
      <w:r w:rsidRPr="00781112">
        <w:t>3B</w:t>
      </w:r>
      <w:r w:rsidR="00BB4FD7" w:rsidRPr="00781112">
        <w:t xml:space="preserve"> </w:t>
      </w:r>
      <w:r w:rsidRPr="00781112">
        <w:t xml:space="preserve">- </w:t>
      </w:r>
      <w:r w:rsidR="000A2C83" w:rsidRPr="00781112">
        <w:t>Prior FFY Required Actions</w:t>
      </w:r>
    </w:p>
    <w:p w14:paraId="020116A7" w14:textId="30989224" w:rsidR="00CA1E5A" w:rsidRPr="00781112" w:rsidRDefault="002B7490" w:rsidP="000A2C83">
      <w:pPr>
        <w:rPr>
          <w:rFonts w:cs="Arial"/>
          <w:color w:val="000000" w:themeColor="text1"/>
          <w:szCs w:val="16"/>
        </w:rPr>
      </w:pPr>
      <w:r w:rsidRPr="00781112">
        <w:rPr>
          <w:rFonts w:cs="Arial"/>
          <w:color w:val="000000" w:themeColor="text1"/>
          <w:szCs w:val="16"/>
        </w:rPr>
        <w:t>None</w:t>
      </w:r>
    </w:p>
    <w:p w14:paraId="40E83F51" w14:textId="68FFF50F" w:rsidR="00053391" w:rsidRPr="00781112" w:rsidRDefault="00573F6C" w:rsidP="008645AD">
      <w:pPr>
        <w:pStyle w:val="Heading2"/>
      </w:pPr>
      <w:r w:rsidRPr="00781112">
        <w:t>3B - OSEP Response</w:t>
      </w:r>
    </w:p>
    <w:p w14:paraId="3ED35024" w14:textId="0A8D2725" w:rsidR="00A869E9" w:rsidRPr="00781112" w:rsidRDefault="00A869E9" w:rsidP="001F692C">
      <w:pPr>
        <w:rPr>
          <w:rFonts w:cs="Arial"/>
          <w:color w:val="000000" w:themeColor="text1"/>
          <w:szCs w:val="16"/>
        </w:rPr>
      </w:pPr>
    </w:p>
    <w:p w14:paraId="4E98DE68" w14:textId="3E692587" w:rsidR="00053391" w:rsidRPr="00781112" w:rsidRDefault="00573F6C" w:rsidP="008645AD">
      <w:pPr>
        <w:pStyle w:val="Heading2"/>
      </w:pPr>
      <w:r w:rsidRPr="00781112">
        <w:t>3B - Required Actions</w:t>
      </w:r>
    </w:p>
    <w:p w14:paraId="54E3AE73" w14:textId="681577C9" w:rsidR="00A869E9" w:rsidRPr="00781112" w:rsidRDefault="00A869E9" w:rsidP="001F692C">
      <w:pPr>
        <w:rPr>
          <w:rFonts w:cs="Arial"/>
          <w:color w:val="000000" w:themeColor="text1"/>
          <w:szCs w:val="16"/>
        </w:rPr>
      </w:pPr>
    </w:p>
    <w:p w14:paraId="4DBC1CB9" w14:textId="77777777" w:rsidR="00D37BF0" w:rsidRPr="00781112" w:rsidRDefault="00D37BF0">
      <w:pPr>
        <w:spacing w:before="0" w:after="200" w:line="276" w:lineRule="auto"/>
        <w:rPr>
          <w:rFonts w:eastAsiaTheme="majorEastAsia" w:cs="Arial"/>
          <w:b/>
          <w:bCs/>
          <w:color w:val="000000" w:themeColor="text1"/>
          <w:szCs w:val="16"/>
        </w:rPr>
      </w:pPr>
      <w:r w:rsidRPr="00781112">
        <w:rPr>
          <w:rFonts w:cs="Arial"/>
          <w:color w:val="000000" w:themeColor="text1"/>
          <w:szCs w:val="16"/>
        </w:rPr>
        <w:br w:type="page"/>
      </w:r>
    </w:p>
    <w:p w14:paraId="162E86A4" w14:textId="6BD07048" w:rsidR="009D378C" w:rsidRPr="00781112" w:rsidRDefault="009D378C">
      <w:pPr>
        <w:pStyle w:val="Heading1"/>
        <w:rPr>
          <w:color w:val="000000" w:themeColor="text1"/>
          <w:sz w:val="22"/>
        </w:rPr>
      </w:pPr>
      <w:r w:rsidRPr="00781112">
        <w:rPr>
          <w:color w:val="000000" w:themeColor="text1"/>
          <w:sz w:val="22"/>
        </w:rPr>
        <w:lastRenderedPageBreak/>
        <w:t>Indicator 3C: Proficiency for Children with IEPs (Alternate Academic Achievement Standards)</w:t>
      </w:r>
      <w:bookmarkEnd w:id="15"/>
      <w:bookmarkEnd w:id="16"/>
    </w:p>
    <w:p w14:paraId="52EFBCBE" w14:textId="26DA486B" w:rsidR="008878CC" w:rsidRPr="00781112" w:rsidRDefault="008878CC" w:rsidP="00A018D4">
      <w:pPr>
        <w:rPr>
          <w:color w:val="000000" w:themeColor="text1"/>
          <w:szCs w:val="20"/>
        </w:rPr>
      </w:pPr>
      <w:r w:rsidRPr="00781112">
        <w:rPr>
          <w:b/>
          <w:color w:val="000000" w:themeColor="text1"/>
          <w:sz w:val="20"/>
          <w:szCs w:val="20"/>
        </w:rPr>
        <w:t xml:space="preserve">Instructions and Measurement </w:t>
      </w:r>
    </w:p>
    <w:p w14:paraId="241F1C78" w14:textId="77777777" w:rsidR="000A5A2E" w:rsidRPr="00781112" w:rsidRDefault="000A5A2E" w:rsidP="004369B2">
      <w:pPr>
        <w:rPr>
          <w:color w:val="000000" w:themeColor="text1"/>
        </w:rPr>
      </w:pPr>
      <w:bookmarkStart w:id="17" w:name="_Toc384383330"/>
      <w:bookmarkStart w:id="18" w:name="_Toc392159282"/>
      <w:bookmarkStart w:id="19" w:name="_Toc382082372"/>
      <w:r w:rsidRPr="00781112">
        <w:rPr>
          <w:b/>
          <w:color w:val="000000" w:themeColor="text1"/>
        </w:rPr>
        <w:t xml:space="preserve">Monitoring Priority: </w:t>
      </w:r>
      <w:r w:rsidRPr="00781112">
        <w:rPr>
          <w:color w:val="000000" w:themeColor="text1"/>
        </w:rPr>
        <w:t>FAPE in the LRE</w:t>
      </w:r>
    </w:p>
    <w:p w14:paraId="40B194E0" w14:textId="1AA1580D" w:rsidR="000A5A2E" w:rsidRPr="00781112" w:rsidRDefault="000A5A2E" w:rsidP="00552927">
      <w:pPr>
        <w:rPr>
          <w:rFonts w:cs="Arial"/>
          <w:color w:val="000000" w:themeColor="text1"/>
          <w:szCs w:val="16"/>
        </w:rPr>
      </w:pPr>
      <w:r w:rsidRPr="00781112">
        <w:rPr>
          <w:rFonts w:cs="Arial"/>
          <w:b/>
          <w:color w:val="000000" w:themeColor="text1"/>
          <w:szCs w:val="16"/>
        </w:rPr>
        <w:t>Results indicator:</w:t>
      </w:r>
      <w:r w:rsidRPr="00781112">
        <w:rPr>
          <w:rFonts w:cs="Arial"/>
          <w:color w:val="000000" w:themeColor="text1"/>
          <w:szCs w:val="16"/>
        </w:rPr>
        <w:t xml:space="preserve"> Participation and performance </w:t>
      </w:r>
      <w:r w:rsidR="00DA7FAE" w:rsidRPr="00781112">
        <w:rPr>
          <w:rFonts w:cs="Arial"/>
          <w:color w:val="000000" w:themeColor="text1"/>
          <w:szCs w:val="16"/>
        </w:rPr>
        <w:t xml:space="preserve">of </w:t>
      </w:r>
      <w:r w:rsidRPr="00781112">
        <w:rPr>
          <w:rFonts w:cs="Arial"/>
          <w:color w:val="000000" w:themeColor="text1"/>
          <w:szCs w:val="16"/>
        </w:rPr>
        <w:t>children with IEPs on statewide assessments:</w:t>
      </w:r>
    </w:p>
    <w:p w14:paraId="7F5EE1FA" w14:textId="77777777" w:rsidR="00385214" w:rsidRPr="00781112" w:rsidRDefault="00385214" w:rsidP="00385214">
      <w:pPr>
        <w:ind w:firstLine="720"/>
        <w:rPr>
          <w:rFonts w:cs="Arial"/>
          <w:color w:val="000000" w:themeColor="text1"/>
          <w:szCs w:val="16"/>
        </w:rPr>
      </w:pPr>
      <w:r w:rsidRPr="00781112">
        <w:rPr>
          <w:rFonts w:cs="Arial"/>
          <w:color w:val="000000" w:themeColor="text1"/>
          <w:szCs w:val="16"/>
        </w:rPr>
        <w:t>A. Participation rate for children with IEPs.</w:t>
      </w:r>
    </w:p>
    <w:p w14:paraId="76102D80" w14:textId="77777777" w:rsidR="00385214" w:rsidRPr="00781112" w:rsidRDefault="00385214" w:rsidP="00385214">
      <w:pPr>
        <w:ind w:firstLine="720"/>
        <w:rPr>
          <w:rFonts w:cs="Arial"/>
          <w:color w:val="000000" w:themeColor="text1"/>
          <w:szCs w:val="16"/>
        </w:rPr>
      </w:pPr>
      <w:r w:rsidRPr="00781112">
        <w:rPr>
          <w:rFonts w:cs="Arial"/>
          <w:color w:val="000000" w:themeColor="text1"/>
          <w:szCs w:val="16"/>
        </w:rPr>
        <w:t xml:space="preserve">B. </w:t>
      </w:r>
      <w:r w:rsidRPr="00781112">
        <w:rPr>
          <w:rFonts w:cs="Arial"/>
          <w:szCs w:val="16"/>
        </w:rPr>
        <w:t>Proficiency rate for children with IEPs against grade level academic achievement standards.</w:t>
      </w:r>
    </w:p>
    <w:p w14:paraId="65AE871A" w14:textId="77777777" w:rsidR="00385214" w:rsidRPr="00781112" w:rsidRDefault="00385214" w:rsidP="00385214">
      <w:pPr>
        <w:ind w:firstLine="720"/>
        <w:rPr>
          <w:rFonts w:cs="Arial"/>
          <w:color w:val="000000" w:themeColor="text1"/>
          <w:szCs w:val="16"/>
        </w:rPr>
      </w:pPr>
      <w:r w:rsidRPr="00781112">
        <w:rPr>
          <w:rFonts w:cs="Arial"/>
          <w:color w:val="000000" w:themeColor="text1"/>
          <w:szCs w:val="16"/>
        </w:rPr>
        <w:t>C. Proficiency rate for children with IEPs against alternate academic achievement standards.</w:t>
      </w:r>
    </w:p>
    <w:p w14:paraId="7381D72B" w14:textId="77777777" w:rsidR="00385214" w:rsidRPr="00781112" w:rsidRDefault="00385214" w:rsidP="00385214">
      <w:pPr>
        <w:ind w:firstLine="720"/>
        <w:rPr>
          <w:rFonts w:cs="Arial"/>
          <w:color w:val="000000" w:themeColor="text1"/>
          <w:szCs w:val="16"/>
        </w:rPr>
      </w:pPr>
      <w:r w:rsidRPr="00781112">
        <w:rPr>
          <w:rFonts w:cs="Arial"/>
          <w:color w:val="000000" w:themeColor="text1"/>
          <w:szCs w:val="16"/>
        </w:rPr>
        <w:t>D.</w:t>
      </w:r>
      <w:r w:rsidRPr="00781112">
        <w:rPr>
          <w:rFonts w:cs="Arial"/>
          <w:szCs w:val="16"/>
        </w:rPr>
        <w:t xml:space="preserve"> Gap in proficiency rates for children with IEPs and all students against grade level academic achievement standards.</w:t>
      </w:r>
    </w:p>
    <w:p w14:paraId="57288DF2" w14:textId="77777777" w:rsidR="00385214" w:rsidRPr="00781112" w:rsidRDefault="00385214" w:rsidP="00385214">
      <w:pPr>
        <w:rPr>
          <w:rFonts w:cs="Arial"/>
          <w:color w:val="000000" w:themeColor="text1"/>
          <w:szCs w:val="16"/>
        </w:rPr>
      </w:pPr>
      <w:r w:rsidRPr="00781112">
        <w:rPr>
          <w:rFonts w:cs="Arial"/>
          <w:color w:val="000000" w:themeColor="text1"/>
          <w:szCs w:val="16"/>
        </w:rPr>
        <w:t>(20 U.S.C. 1416 (a)(3)(A))</w:t>
      </w:r>
    </w:p>
    <w:p w14:paraId="363AAB3C" w14:textId="77777777" w:rsidR="000A5A2E" w:rsidRPr="00781112" w:rsidRDefault="000A5A2E" w:rsidP="004369B2">
      <w:pPr>
        <w:rPr>
          <w:color w:val="000000" w:themeColor="text1"/>
        </w:rPr>
      </w:pPr>
      <w:r w:rsidRPr="00781112">
        <w:rPr>
          <w:b/>
          <w:color w:val="000000" w:themeColor="text1"/>
        </w:rPr>
        <w:t>Data Source</w:t>
      </w:r>
    </w:p>
    <w:p w14:paraId="274B140A" w14:textId="3ABBB221" w:rsidR="000A5A2E" w:rsidRPr="00781112" w:rsidRDefault="000A5A2E" w:rsidP="00552927">
      <w:pPr>
        <w:rPr>
          <w:rFonts w:cs="Arial"/>
          <w:color w:val="000000" w:themeColor="text1"/>
          <w:szCs w:val="16"/>
        </w:rPr>
      </w:pPr>
      <w:r w:rsidRPr="00781112">
        <w:rPr>
          <w:rFonts w:cs="Arial"/>
          <w:color w:val="000000" w:themeColor="text1"/>
          <w:szCs w:val="16"/>
        </w:rPr>
        <w:t>3C. Same data as used for reporting to the Department under Title I of the ESEA, using ED</w:t>
      </w:r>
      <w:r w:rsidRPr="00BA3DBE">
        <w:rPr>
          <w:rFonts w:cs="Arial"/>
          <w:i/>
          <w:iCs/>
          <w:color w:val="000000" w:themeColor="text1"/>
          <w:szCs w:val="16"/>
        </w:rPr>
        <w:t>Facts</w:t>
      </w:r>
      <w:r w:rsidRPr="00781112">
        <w:rPr>
          <w:rFonts w:cs="Arial"/>
          <w:color w:val="000000" w:themeColor="text1"/>
          <w:szCs w:val="16"/>
        </w:rPr>
        <w:t xml:space="preserve"> file specifications FS175 and 178.</w:t>
      </w:r>
    </w:p>
    <w:p w14:paraId="064C7F6E" w14:textId="77777777" w:rsidR="000A5A2E" w:rsidRPr="00781112" w:rsidRDefault="000A5A2E" w:rsidP="004369B2">
      <w:pPr>
        <w:rPr>
          <w:color w:val="000000" w:themeColor="text1"/>
        </w:rPr>
      </w:pPr>
      <w:r w:rsidRPr="00781112">
        <w:rPr>
          <w:b/>
          <w:color w:val="000000" w:themeColor="text1"/>
        </w:rPr>
        <w:t>Measurement</w:t>
      </w:r>
    </w:p>
    <w:p w14:paraId="7639A7B8" w14:textId="3B2FB141" w:rsidR="000A5A2E" w:rsidRPr="00781112" w:rsidRDefault="000A5A2E" w:rsidP="00552927">
      <w:pPr>
        <w:rPr>
          <w:rFonts w:cs="Arial"/>
          <w:color w:val="000000" w:themeColor="text1"/>
          <w:szCs w:val="16"/>
        </w:rPr>
      </w:pPr>
      <w:r w:rsidRPr="00781112">
        <w:rPr>
          <w:rFonts w:cs="Arial"/>
          <w:color w:val="000000" w:themeColor="text1"/>
          <w:szCs w:val="16"/>
        </w:rPr>
        <w:t xml:space="preserve">C. </w:t>
      </w:r>
      <w:r w:rsidR="00385214" w:rsidRPr="00781112">
        <w:rPr>
          <w:rFonts w:cs="Arial"/>
          <w:szCs w:val="16"/>
        </w:rPr>
        <w:t>Proficiency rate percent = [(# of children with IEPs scoring at or above proficient against alternate academic achievement standards) divided by the (total # of children with IEPs who received a valid score and for whom a proficiency level was assigned for the alternate assessment)]. Calculate separately for reading and math.  Calculate separately for grades 4, 8, and high school. The proficiency rate includes both children with IEPs enrolled for a full academic year and those not enrolled for a full academic year.</w:t>
      </w:r>
    </w:p>
    <w:p w14:paraId="1CE435A8" w14:textId="77777777" w:rsidR="000A5A2E" w:rsidRPr="00781112" w:rsidRDefault="000A5A2E" w:rsidP="004369B2">
      <w:pPr>
        <w:rPr>
          <w:color w:val="000000" w:themeColor="text1"/>
        </w:rPr>
      </w:pPr>
      <w:r w:rsidRPr="00781112">
        <w:rPr>
          <w:b/>
          <w:color w:val="000000" w:themeColor="text1"/>
        </w:rPr>
        <w:t>Instructions</w:t>
      </w:r>
    </w:p>
    <w:p w14:paraId="79EB3296" w14:textId="77777777" w:rsidR="000A5A2E" w:rsidRPr="00781112" w:rsidRDefault="000A5A2E" w:rsidP="00552927">
      <w:pPr>
        <w:rPr>
          <w:rFonts w:cs="Arial"/>
          <w:color w:val="000000" w:themeColor="text1"/>
          <w:szCs w:val="16"/>
        </w:rPr>
      </w:pPr>
      <w:r w:rsidRPr="00781112">
        <w:rPr>
          <w:rFonts w:cs="Arial"/>
          <w:color w:val="000000" w:themeColor="text1"/>
          <w:szCs w:val="16"/>
        </w:rPr>
        <w:t>Describe the results of the calculations and compare the results to the targets. Provide the actual numbers used in the calculation.</w:t>
      </w:r>
    </w:p>
    <w:p w14:paraId="4F00AC69" w14:textId="77777777" w:rsidR="000A5A2E" w:rsidRPr="00781112" w:rsidRDefault="000A5A2E" w:rsidP="00552927">
      <w:pPr>
        <w:rPr>
          <w:rFonts w:cs="Arial"/>
          <w:color w:val="000000" w:themeColor="text1"/>
          <w:szCs w:val="16"/>
        </w:rPr>
      </w:pPr>
      <w:r w:rsidRPr="00781112">
        <w:rPr>
          <w:rFonts w:cs="Arial"/>
          <w:color w:val="000000" w:themeColor="text1"/>
          <w:szCs w:val="16"/>
        </w:rPr>
        <w:t>Include information regarding where to find public reports of assessment participation and performance results, as required by 34 CFR §300.160(f), i.e., a link to the Web site where these data are reported.</w:t>
      </w:r>
    </w:p>
    <w:p w14:paraId="04E96BDA" w14:textId="77777777" w:rsidR="00385214" w:rsidRPr="00781112" w:rsidRDefault="000A5A2E" w:rsidP="00385214">
      <w:pPr>
        <w:rPr>
          <w:rFonts w:cs="Arial"/>
          <w:szCs w:val="16"/>
        </w:rPr>
      </w:pPr>
      <w:r w:rsidRPr="00781112">
        <w:rPr>
          <w:rFonts w:cs="Arial"/>
          <w:color w:val="000000" w:themeColor="text1"/>
          <w:szCs w:val="16"/>
        </w:rPr>
        <w:t xml:space="preserve">Indicator 3C: </w:t>
      </w:r>
      <w:r w:rsidR="00385214" w:rsidRPr="00781112">
        <w:rPr>
          <w:rFonts w:cs="Arial"/>
          <w:szCs w:val="16"/>
        </w:rPr>
        <w:t>Proficiency calculations in this SPP/APR must result in proficiency rates for children with IEPs on the alternate assessment in reading/language arts and mathematics assessments (separately) in each of the following grades: 4, 8, and high school, including both children with IEPs enrolled for a full academic year and those not enrolled for a full academic year. Only include children with disabilities who had an IEP at the time</w:t>
      </w:r>
    </w:p>
    <w:p w14:paraId="1015A11D" w14:textId="071607C2" w:rsidR="000A5A2E" w:rsidRPr="00781112" w:rsidRDefault="00385214" w:rsidP="00385214">
      <w:pPr>
        <w:rPr>
          <w:rFonts w:cs="Arial"/>
          <w:color w:val="000000" w:themeColor="text1"/>
          <w:szCs w:val="16"/>
        </w:rPr>
      </w:pPr>
      <w:r w:rsidRPr="00781112">
        <w:rPr>
          <w:rFonts w:cs="Arial"/>
          <w:szCs w:val="16"/>
        </w:rPr>
        <w:t>of testing.</w:t>
      </w:r>
    </w:p>
    <w:p w14:paraId="7CE600A3" w14:textId="62D18727" w:rsidR="001B5210" w:rsidRPr="00781112" w:rsidRDefault="00573F6C" w:rsidP="008645AD">
      <w:pPr>
        <w:pStyle w:val="Heading2"/>
      </w:pPr>
      <w:r w:rsidRPr="00781112">
        <w:t>3C</w:t>
      </w:r>
      <w:r w:rsidR="00BB4FD7" w:rsidRPr="00781112">
        <w:t xml:space="preserve"> </w:t>
      </w:r>
      <w:r w:rsidRPr="00781112">
        <w:t xml:space="preserve">- </w:t>
      </w:r>
      <w:r w:rsidR="001B5210" w:rsidRPr="00781112">
        <w:t>Indicator Data</w:t>
      </w:r>
    </w:p>
    <w:p w14:paraId="0B1C0DD7" w14:textId="51BE70AF" w:rsidR="00A10323" w:rsidRPr="00781112" w:rsidRDefault="00A10323">
      <w:pPr>
        <w:rPr>
          <w:b/>
          <w:color w:val="000000" w:themeColor="text1"/>
        </w:rPr>
      </w:pPr>
      <w:r w:rsidRPr="00781112">
        <w:rPr>
          <w:b/>
          <w:color w:val="000000" w:themeColor="text1"/>
        </w:rPr>
        <w:t xml:space="preserve">Historical Data: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B03CHISTDATA"/>
      </w:tblPr>
      <w:tblGrid>
        <w:gridCol w:w="1588"/>
        <w:gridCol w:w="1588"/>
        <w:gridCol w:w="2538"/>
        <w:gridCol w:w="2538"/>
        <w:gridCol w:w="2538"/>
      </w:tblGrid>
      <w:tr w:rsidR="00537221" w:rsidRPr="00781112" w14:paraId="5299B4E6" w14:textId="77777777" w:rsidTr="009725F4">
        <w:trPr>
          <w:trHeight w:val="368"/>
          <w:tblHeader/>
        </w:trPr>
        <w:tc>
          <w:tcPr>
            <w:tcW w:w="736" w:type="pct"/>
            <w:tcBorders>
              <w:top w:val="single" w:sz="4" w:space="0" w:color="auto"/>
            </w:tcBorders>
            <w:vAlign w:val="center"/>
          </w:tcPr>
          <w:p w14:paraId="43B0649B" w14:textId="77777777" w:rsidR="00537221" w:rsidRPr="00781112" w:rsidRDefault="00537221" w:rsidP="00827FF4">
            <w:pPr>
              <w:jc w:val="center"/>
              <w:rPr>
                <w:rFonts w:cs="Arial"/>
                <w:b/>
                <w:color w:val="000000" w:themeColor="text1"/>
                <w:szCs w:val="16"/>
              </w:rPr>
            </w:pPr>
            <w:r w:rsidRPr="00781112">
              <w:rPr>
                <w:rFonts w:cs="Arial"/>
                <w:b/>
                <w:color w:val="000000" w:themeColor="text1"/>
                <w:szCs w:val="16"/>
              </w:rPr>
              <w:t>Subject</w:t>
            </w:r>
          </w:p>
        </w:tc>
        <w:tc>
          <w:tcPr>
            <w:tcW w:w="736" w:type="pct"/>
            <w:tcBorders>
              <w:top w:val="single" w:sz="4" w:space="0" w:color="auto"/>
            </w:tcBorders>
            <w:shd w:val="clear" w:color="auto" w:fill="auto"/>
            <w:vAlign w:val="center"/>
          </w:tcPr>
          <w:p w14:paraId="611078A1" w14:textId="77777777" w:rsidR="00537221" w:rsidRPr="00781112" w:rsidRDefault="00537221" w:rsidP="00827FF4">
            <w:pPr>
              <w:jc w:val="center"/>
              <w:rPr>
                <w:rFonts w:cs="Arial"/>
                <w:b/>
                <w:color w:val="000000" w:themeColor="text1"/>
                <w:szCs w:val="16"/>
              </w:rPr>
            </w:pPr>
            <w:r w:rsidRPr="00781112">
              <w:rPr>
                <w:rFonts w:cs="Arial"/>
                <w:b/>
                <w:color w:val="000000" w:themeColor="text1"/>
                <w:szCs w:val="16"/>
              </w:rPr>
              <w:t xml:space="preserve">Group </w:t>
            </w:r>
          </w:p>
        </w:tc>
        <w:tc>
          <w:tcPr>
            <w:tcW w:w="1176" w:type="pct"/>
            <w:tcBorders>
              <w:top w:val="single" w:sz="4" w:space="0" w:color="auto"/>
            </w:tcBorders>
            <w:shd w:val="clear" w:color="auto" w:fill="auto"/>
            <w:vAlign w:val="center"/>
          </w:tcPr>
          <w:p w14:paraId="4FF0AF06" w14:textId="77777777" w:rsidR="00537221" w:rsidRPr="00781112" w:rsidRDefault="00537221" w:rsidP="00827FF4">
            <w:pPr>
              <w:jc w:val="center"/>
              <w:rPr>
                <w:rFonts w:cs="Arial"/>
                <w:b/>
                <w:color w:val="000000" w:themeColor="text1"/>
                <w:szCs w:val="16"/>
              </w:rPr>
            </w:pPr>
            <w:r w:rsidRPr="00781112">
              <w:rPr>
                <w:rFonts w:cs="Arial"/>
                <w:b/>
                <w:color w:val="000000" w:themeColor="text1"/>
                <w:szCs w:val="16"/>
              </w:rPr>
              <w:t xml:space="preserve">Group Name </w:t>
            </w:r>
          </w:p>
        </w:tc>
        <w:tc>
          <w:tcPr>
            <w:tcW w:w="1176" w:type="pct"/>
            <w:tcBorders>
              <w:top w:val="single" w:sz="4" w:space="0" w:color="auto"/>
            </w:tcBorders>
            <w:shd w:val="clear" w:color="auto" w:fill="auto"/>
            <w:vAlign w:val="center"/>
          </w:tcPr>
          <w:p w14:paraId="5F7760A7" w14:textId="77777777" w:rsidR="00537221" w:rsidRPr="00781112" w:rsidRDefault="00537221" w:rsidP="00827FF4">
            <w:pPr>
              <w:jc w:val="center"/>
              <w:rPr>
                <w:rFonts w:cs="Arial"/>
                <w:b/>
                <w:color w:val="000000" w:themeColor="text1"/>
                <w:szCs w:val="16"/>
              </w:rPr>
            </w:pPr>
            <w:r w:rsidRPr="00781112">
              <w:rPr>
                <w:rFonts w:cs="Arial"/>
                <w:b/>
                <w:color w:val="000000" w:themeColor="text1"/>
                <w:szCs w:val="16"/>
              </w:rPr>
              <w:t xml:space="preserve">Baseline Year </w:t>
            </w:r>
          </w:p>
        </w:tc>
        <w:tc>
          <w:tcPr>
            <w:tcW w:w="1176" w:type="pct"/>
            <w:tcBorders>
              <w:top w:val="single" w:sz="4" w:space="0" w:color="auto"/>
            </w:tcBorders>
            <w:vAlign w:val="center"/>
          </w:tcPr>
          <w:p w14:paraId="01C3E0F4" w14:textId="77777777" w:rsidR="00537221" w:rsidRPr="00781112" w:rsidRDefault="00537221" w:rsidP="00827FF4">
            <w:pPr>
              <w:jc w:val="center"/>
              <w:rPr>
                <w:rFonts w:cs="Arial"/>
                <w:b/>
                <w:color w:val="000000" w:themeColor="text1"/>
                <w:szCs w:val="16"/>
              </w:rPr>
            </w:pPr>
            <w:r w:rsidRPr="00781112">
              <w:rPr>
                <w:rFonts w:cs="Arial"/>
                <w:b/>
                <w:color w:val="000000" w:themeColor="text1"/>
                <w:szCs w:val="16"/>
              </w:rPr>
              <w:t>Baseline Data</w:t>
            </w:r>
          </w:p>
        </w:tc>
      </w:tr>
      <w:tr w:rsidR="00537221" w:rsidRPr="00781112" w14:paraId="62CCD80E" w14:textId="77777777" w:rsidTr="00827FF4">
        <w:trPr>
          <w:trHeight w:val="368"/>
        </w:trPr>
        <w:tc>
          <w:tcPr>
            <w:tcW w:w="736" w:type="pct"/>
            <w:vAlign w:val="center"/>
          </w:tcPr>
          <w:p w14:paraId="6DBDC79A" w14:textId="77777777" w:rsidR="00537221" w:rsidRPr="00781112" w:rsidRDefault="00537221" w:rsidP="00827FF4">
            <w:pPr>
              <w:spacing w:before="0" w:after="0"/>
              <w:jc w:val="center"/>
              <w:rPr>
                <w:rFonts w:cs="Arial"/>
                <w:b/>
                <w:bCs/>
                <w:color w:val="000000" w:themeColor="text1"/>
                <w:szCs w:val="16"/>
              </w:rPr>
            </w:pPr>
            <w:r w:rsidRPr="00781112">
              <w:rPr>
                <w:rFonts w:cs="Arial"/>
                <w:szCs w:val="16"/>
              </w:rPr>
              <w:t>Reading</w:t>
            </w:r>
          </w:p>
        </w:tc>
        <w:tc>
          <w:tcPr>
            <w:tcW w:w="736" w:type="pct"/>
            <w:shd w:val="clear" w:color="auto" w:fill="auto"/>
            <w:vAlign w:val="center"/>
          </w:tcPr>
          <w:p w14:paraId="249F4CF1" w14:textId="77777777" w:rsidR="00537221" w:rsidRPr="00781112" w:rsidRDefault="00537221" w:rsidP="00827FF4">
            <w:pPr>
              <w:spacing w:before="0" w:after="0"/>
              <w:jc w:val="center"/>
              <w:rPr>
                <w:rFonts w:cs="Arial"/>
                <w:color w:val="000000" w:themeColor="text1"/>
                <w:szCs w:val="16"/>
              </w:rPr>
            </w:pPr>
            <w:r w:rsidRPr="00781112">
              <w:rPr>
                <w:rFonts w:cs="Arial"/>
                <w:color w:val="000000" w:themeColor="text1"/>
                <w:szCs w:val="16"/>
              </w:rPr>
              <w:t>A</w:t>
            </w:r>
          </w:p>
        </w:tc>
        <w:tc>
          <w:tcPr>
            <w:tcW w:w="1176" w:type="pct"/>
            <w:shd w:val="clear" w:color="auto" w:fill="auto"/>
            <w:vAlign w:val="center"/>
          </w:tcPr>
          <w:p w14:paraId="0E5785E8" w14:textId="11F5BAE0" w:rsidR="00537221" w:rsidRPr="00781112" w:rsidRDefault="00537221" w:rsidP="00827FF4">
            <w:pPr>
              <w:jc w:val="center"/>
              <w:rPr>
                <w:rFonts w:cs="Arial"/>
                <w:color w:val="000000" w:themeColor="text1"/>
                <w:szCs w:val="16"/>
              </w:rPr>
            </w:pPr>
            <w:r w:rsidRPr="00781112">
              <w:rPr>
                <w:rFonts w:cs="Arial"/>
                <w:color w:val="000000" w:themeColor="text1"/>
                <w:szCs w:val="16"/>
              </w:rPr>
              <w:t>Grade 4</w:t>
            </w:r>
          </w:p>
        </w:tc>
        <w:tc>
          <w:tcPr>
            <w:tcW w:w="1176" w:type="pct"/>
            <w:shd w:val="clear" w:color="auto" w:fill="auto"/>
            <w:vAlign w:val="center"/>
          </w:tcPr>
          <w:p w14:paraId="4EB8CC47" w14:textId="1B0ED9ED" w:rsidR="00537221" w:rsidRPr="00781112" w:rsidRDefault="00537221" w:rsidP="00827FF4">
            <w:pPr>
              <w:jc w:val="center"/>
              <w:rPr>
                <w:rFonts w:cs="Arial"/>
                <w:color w:val="000000" w:themeColor="text1"/>
                <w:szCs w:val="16"/>
              </w:rPr>
            </w:pPr>
            <w:r w:rsidRPr="00781112">
              <w:rPr>
                <w:rFonts w:cs="Arial"/>
                <w:color w:val="000000" w:themeColor="text1"/>
                <w:szCs w:val="16"/>
              </w:rPr>
              <w:t>2015</w:t>
            </w:r>
          </w:p>
        </w:tc>
        <w:tc>
          <w:tcPr>
            <w:tcW w:w="1176" w:type="pct"/>
            <w:vAlign w:val="center"/>
          </w:tcPr>
          <w:p w14:paraId="2281A612" w14:textId="23CB1591" w:rsidR="00537221" w:rsidRPr="00781112" w:rsidRDefault="00537221" w:rsidP="00827FF4">
            <w:pPr>
              <w:spacing w:before="0" w:after="0"/>
              <w:jc w:val="center"/>
              <w:rPr>
                <w:color w:val="000000" w:themeColor="text1"/>
              </w:rPr>
            </w:pPr>
            <w:r w:rsidRPr="00781112">
              <w:rPr>
                <w:rFonts w:cs="Arial"/>
                <w:color w:val="000000" w:themeColor="text1"/>
                <w:szCs w:val="16"/>
              </w:rPr>
              <w:t>27.94%</w:t>
            </w:r>
          </w:p>
        </w:tc>
      </w:tr>
      <w:tr w:rsidR="00537221" w:rsidRPr="00781112" w14:paraId="1C24E702" w14:textId="77777777" w:rsidTr="00827FF4">
        <w:trPr>
          <w:trHeight w:val="368"/>
        </w:trPr>
        <w:tc>
          <w:tcPr>
            <w:tcW w:w="736" w:type="pct"/>
            <w:vAlign w:val="center"/>
          </w:tcPr>
          <w:p w14:paraId="678970EB" w14:textId="77777777" w:rsidR="00537221" w:rsidRPr="00781112" w:rsidRDefault="00537221" w:rsidP="00827FF4">
            <w:pPr>
              <w:spacing w:before="0" w:after="0"/>
              <w:jc w:val="center"/>
              <w:rPr>
                <w:rFonts w:cs="Arial"/>
                <w:b/>
                <w:bCs/>
                <w:color w:val="000000" w:themeColor="text1"/>
                <w:szCs w:val="16"/>
              </w:rPr>
            </w:pPr>
            <w:r w:rsidRPr="00781112">
              <w:rPr>
                <w:rFonts w:cs="Arial"/>
                <w:szCs w:val="16"/>
              </w:rPr>
              <w:t>Reading</w:t>
            </w:r>
          </w:p>
        </w:tc>
        <w:tc>
          <w:tcPr>
            <w:tcW w:w="736" w:type="pct"/>
            <w:shd w:val="clear" w:color="auto" w:fill="auto"/>
            <w:vAlign w:val="center"/>
          </w:tcPr>
          <w:p w14:paraId="1EBDCD6D" w14:textId="77777777" w:rsidR="00537221" w:rsidRPr="00781112" w:rsidRDefault="00537221" w:rsidP="00827FF4">
            <w:pPr>
              <w:spacing w:before="0" w:after="0"/>
              <w:jc w:val="center"/>
              <w:rPr>
                <w:rFonts w:cs="Arial"/>
                <w:color w:val="000000" w:themeColor="text1"/>
                <w:szCs w:val="16"/>
              </w:rPr>
            </w:pPr>
            <w:r w:rsidRPr="00781112">
              <w:rPr>
                <w:rFonts w:cs="Arial"/>
                <w:color w:val="000000" w:themeColor="text1"/>
                <w:szCs w:val="16"/>
              </w:rPr>
              <w:t>B</w:t>
            </w:r>
          </w:p>
        </w:tc>
        <w:tc>
          <w:tcPr>
            <w:tcW w:w="1176" w:type="pct"/>
            <w:shd w:val="clear" w:color="auto" w:fill="auto"/>
            <w:vAlign w:val="center"/>
          </w:tcPr>
          <w:p w14:paraId="727E9135" w14:textId="4107258E" w:rsidR="00537221" w:rsidRPr="00781112" w:rsidRDefault="00537221" w:rsidP="00827FF4">
            <w:pPr>
              <w:spacing w:before="0" w:after="0"/>
              <w:jc w:val="center"/>
              <w:rPr>
                <w:rFonts w:cs="Arial"/>
                <w:color w:val="000000" w:themeColor="text1"/>
                <w:szCs w:val="16"/>
              </w:rPr>
            </w:pPr>
            <w:r w:rsidRPr="00781112">
              <w:rPr>
                <w:rFonts w:cs="Arial"/>
                <w:color w:val="000000" w:themeColor="text1"/>
                <w:szCs w:val="16"/>
              </w:rPr>
              <w:t>Grade 8</w:t>
            </w:r>
          </w:p>
        </w:tc>
        <w:tc>
          <w:tcPr>
            <w:tcW w:w="1176" w:type="pct"/>
            <w:shd w:val="clear" w:color="auto" w:fill="auto"/>
            <w:vAlign w:val="center"/>
          </w:tcPr>
          <w:p w14:paraId="7C958A72" w14:textId="4A38962C" w:rsidR="00537221" w:rsidRPr="00781112" w:rsidRDefault="00537221" w:rsidP="00827FF4">
            <w:pPr>
              <w:jc w:val="center"/>
              <w:rPr>
                <w:rFonts w:cs="Arial"/>
                <w:color w:val="000000" w:themeColor="text1"/>
                <w:szCs w:val="16"/>
              </w:rPr>
            </w:pPr>
            <w:r w:rsidRPr="00781112">
              <w:rPr>
                <w:rFonts w:cs="Arial"/>
                <w:color w:val="000000" w:themeColor="text1"/>
                <w:szCs w:val="16"/>
              </w:rPr>
              <w:t>2015</w:t>
            </w:r>
          </w:p>
        </w:tc>
        <w:tc>
          <w:tcPr>
            <w:tcW w:w="1176" w:type="pct"/>
            <w:vAlign w:val="center"/>
          </w:tcPr>
          <w:p w14:paraId="0FED42B6" w14:textId="77E5EACD" w:rsidR="00537221" w:rsidRPr="00781112" w:rsidRDefault="00537221" w:rsidP="00827FF4">
            <w:pPr>
              <w:spacing w:before="0" w:after="0"/>
              <w:jc w:val="center"/>
              <w:rPr>
                <w:rFonts w:cs="Arial"/>
                <w:color w:val="000000" w:themeColor="text1"/>
                <w:szCs w:val="16"/>
              </w:rPr>
            </w:pPr>
            <w:r w:rsidRPr="00781112">
              <w:rPr>
                <w:rFonts w:cs="Arial"/>
                <w:color w:val="000000" w:themeColor="text1"/>
                <w:szCs w:val="16"/>
              </w:rPr>
              <w:t>39.15%</w:t>
            </w:r>
          </w:p>
        </w:tc>
      </w:tr>
      <w:tr w:rsidR="00537221" w:rsidRPr="00781112" w14:paraId="59B71803" w14:textId="77777777" w:rsidTr="00827FF4">
        <w:trPr>
          <w:trHeight w:val="368"/>
        </w:trPr>
        <w:tc>
          <w:tcPr>
            <w:tcW w:w="736" w:type="pct"/>
            <w:vAlign w:val="center"/>
          </w:tcPr>
          <w:p w14:paraId="4EBEF59E" w14:textId="77777777" w:rsidR="00537221" w:rsidRPr="00781112" w:rsidRDefault="00537221" w:rsidP="00827FF4">
            <w:pPr>
              <w:spacing w:before="0" w:after="0"/>
              <w:jc w:val="center"/>
              <w:rPr>
                <w:rFonts w:cs="Arial"/>
                <w:b/>
                <w:bCs/>
                <w:color w:val="000000" w:themeColor="text1"/>
                <w:szCs w:val="16"/>
              </w:rPr>
            </w:pPr>
            <w:r w:rsidRPr="00781112">
              <w:rPr>
                <w:rFonts w:cs="Arial"/>
                <w:szCs w:val="16"/>
              </w:rPr>
              <w:t>Reading</w:t>
            </w:r>
          </w:p>
        </w:tc>
        <w:tc>
          <w:tcPr>
            <w:tcW w:w="736" w:type="pct"/>
            <w:shd w:val="clear" w:color="auto" w:fill="auto"/>
            <w:vAlign w:val="center"/>
          </w:tcPr>
          <w:p w14:paraId="0EE18997" w14:textId="77777777" w:rsidR="00537221" w:rsidRPr="00781112" w:rsidRDefault="00537221" w:rsidP="00827FF4">
            <w:pPr>
              <w:spacing w:before="0" w:after="0"/>
              <w:jc w:val="center"/>
              <w:rPr>
                <w:rFonts w:cs="Arial"/>
                <w:color w:val="000000" w:themeColor="text1"/>
                <w:szCs w:val="16"/>
              </w:rPr>
            </w:pPr>
            <w:r w:rsidRPr="00781112">
              <w:rPr>
                <w:rFonts w:cs="Arial"/>
                <w:color w:val="000000" w:themeColor="text1"/>
                <w:szCs w:val="16"/>
              </w:rPr>
              <w:t>C</w:t>
            </w:r>
          </w:p>
        </w:tc>
        <w:tc>
          <w:tcPr>
            <w:tcW w:w="1176" w:type="pct"/>
            <w:shd w:val="clear" w:color="auto" w:fill="auto"/>
            <w:vAlign w:val="center"/>
          </w:tcPr>
          <w:p w14:paraId="7D681B80" w14:textId="4A6DABFD" w:rsidR="00537221" w:rsidRPr="00781112" w:rsidRDefault="00537221" w:rsidP="00827FF4">
            <w:pPr>
              <w:jc w:val="center"/>
              <w:rPr>
                <w:rFonts w:cs="Arial"/>
                <w:color w:val="000000" w:themeColor="text1"/>
                <w:szCs w:val="16"/>
              </w:rPr>
            </w:pPr>
            <w:r w:rsidRPr="00781112">
              <w:rPr>
                <w:rFonts w:cs="Arial"/>
                <w:color w:val="000000" w:themeColor="text1"/>
                <w:szCs w:val="16"/>
              </w:rPr>
              <w:t>Grade HS</w:t>
            </w:r>
          </w:p>
        </w:tc>
        <w:tc>
          <w:tcPr>
            <w:tcW w:w="1176" w:type="pct"/>
            <w:shd w:val="clear" w:color="auto" w:fill="auto"/>
            <w:vAlign w:val="center"/>
          </w:tcPr>
          <w:p w14:paraId="1DF3FFCD" w14:textId="6C6BE9F1" w:rsidR="00537221" w:rsidRPr="00781112" w:rsidRDefault="00537221" w:rsidP="00827FF4">
            <w:pPr>
              <w:jc w:val="center"/>
              <w:rPr>
                <w:rFonts w:cs="Arial"/>
                <w:color w:val="000000" w:themeColor="text1"/>
                <w:szCs w:val="16"/>
              </w:rPr>
            </w:pPr>
            <w:r w:rsidRPr="00781112">
              <w:rPr>
                <w:rFonts w:cs="Arial"/>
                <w:color w:val="000000" w:themeColor="text1"/>
                <w:szCs w:val="16"/>
              </w:rPr>
              <w:t>2015</w:t>
            </w:r>
          </w:p>
        </w:tc>
        <w:tc>
          <w:tcPr>
            <w:tcW w:w="1176" w:type="pct"/>
            <w:vAlign w:val="center"/>
          </w:tcPr>
          <w:p w14:paraId="34A93084" w14:textId="02FAA503" w:rsidR="00537221" w:rsidRPr="00781112" w:rsidRDefault="00537221" w:rsidP="00827FF4">
            <w:pPr>
              <w:spacing w:before="0" w:after="0"/>
              <w:jc w:val="center"/>
              <w:rPr>
                <w:rFonts w:cs="Arial"/>
                <w:color w:val="000000" w:themeColor="text1"/>
                <w:szCs w:val="16"/>
              </w:rPr>
            </w:pPr>
            <w:r w:rsidRPr="00781112">
              <w:rPr>
                <w:rFonts w:cs="Arial"/>
                <w:color w:val="000000" w:themeColor="text1"/>
                <w:szCs w:val="16"/>
              </w:rPr>
              <w:t>29.91%</w:t>
            </w:r>
          </w:p>
        </w:tc>
      </w:tr>
      <w:tr w:rsidR="00537221" w:rsidRPr="00781112" w14:paraId="05A06BC9" w14:textId="77777777" w:rsidTr="00827FF4">
        <w:trPr>
          <w:trHeight w:val="368"/>
        </w:trPr>
        <w:tc>
          <w:tcPr>
            <w:tcW w:w="736" w:type="pct"/>
            <w:vAlign w:val="center"/>
          </w:tcPr>
          <w:p w14:paraId="6020FFAF" w14:textId="77777777" w:rsidR="00537221" w:rsidRPr="00781112" w:rsidRDefault="00537221" w:rsidP="00827FF4">
            <w:pPr>
              <w:spacing w:before="0" w:after="0"/>
              <w:jc w:val="center"/>
              <w:rPr>
                <w:rFonts w:cs="Arial"/>
                <w:b/>
                <w:bCs/>
                <w:color w:val="000000" w:themeColor="text1"/>
                <w:szCs w:val="16"/>
              </w:rPr>
            </w:pPr>
            <w:r w:rsidRPr="00781112">
              <w:rPr>
                <w:rFonts w:cs="Arial"/>
                <w:szCs w:val="16"/>
              </w:rPr>
              <w:t>Math</w:t>
            </w:r>
          </w:p>
        </w:tc>
        <w:tc>
          <w:tcPr>
            <w:tcW w:w="736" w:type="pct"/>
            <w:shd w:val="clear" w:color="auto" w:fill="auto"/>
            <w:vAlign w:val="center"/>
          </w:tcPr>
          <w:p w14:paraId="6CFDB92F" w14:textId="77777777" w:rsidR="00537221" w:rsidRPr="00781112" w:rsidRDefault="00537221" w:rsidP="00827FF4">
            <w:pPr>
              <w:spacing w:before="0" w:after="0"/>
              <w:jc w:val="center"/>
              <w:rPr>
                <w:rFonts w:cs="Arial"/>
                <w:color w:val="000000" w:themeColor="text1"/>
                <w:szCs w:val="16"/>
              </w:rPr>
            </w:pPr>
            <w:r w:rsidRPr="00781112">
              <w:rPr>
                <w:rFonts w:cs="Arial"/>
                <w:color w:val="000000" w:themeColor="text1"/>
                <w:szCs w:val="16"/>
              </w:rPr>
              <w:t>A</w:t>
            </w:r>
          </w:p>
        </w:tc>
        <w:tc>
          <w:tcPr>
            <w:tcW w:w="1176" w:type="pct"/>
            <w:shd w:val="clear" w:color="auto" w:fill="auto"/>
            <w:vAlign w:val="center"/>
          </w:tcPr>
          <w:p w14:paraId="5CB62D65" w14:textId="5E527C8F" w:rsidR="00537221" w:rsidRPr="00781112" w:rsidRDefault="00537221" w:rsidP="00827FF4">
            <w:pPr>
              <w:spacing w:before="0" w:after="0"/>
              <w:jc w:val="center"/>
              <w:rPr>
                <w:rFonts w:cs="Arial"/>
                <w:color w:val="000000" w:themeColor="text1"/>
                <w:szCs w:val="16"/>
              </w:rPr>
            </w:pPr>
            <w:r w:rsidRPr="00781112">
              <w:rPr>
                <w:rFonts w:cs="Arial"/>
                <w:color w:val="000000" w:themeColor="text1"/>
                <w:szCs w:val="16"/>
              </w:rPr>
              <w:t>Grade 4</w:t>
            </w:r>
          </w:p>
        </w:tc>
        <w:tc>
          <w:tcPr>
            <w:tcW w:w="1176" w:type="pct"/>
            <w:shd w:val="clear" w:color="auto" w:fill="auto"/>
            <w:vAlign w:val="center"/>
          </w:tcPr>
          <w:p w14:paraId="53F85621" w14:textId="1D815BA8" w:rsidR="00537221" w:rsidRPr="00781112" w:rsidRDefault="00537221" w:rsidP="00827FF4">
            <w:pPr>
              <w:jc w:val="center"/>
              <w:rPr>
                <w:rFonts w:cs="Arial"/>
                <w:color w:val="000000" w:themeColor="text1"/>
                <w:szCs w:val="16"/>
              </w:rPr>
            </w:pPr>
            <w:r w:rsidRPr="00781112">
              <w:rPr>
                <w:rFonts w:cs="Arial"/>
                <w:color w:val="000000" w:themeColor="text1"/>
                <w:szCs w:val="16"/>
              </w:rPr>
              <w:t>2015</w:t>
            </w:r>
          </w:p>
        </w:tc>
        <w:tc>
          <w:tcPr>
            <w:tcW w:w="1176" w:type="pct"/>
            <w:vAlign w:val="center"/>
          </w:tcPr>
          <w:p w14:paraId="790D130A" w14:textId="06A6107B" w:rsidR="00537221" w:rsidRPr="00781112" w:rsidRDefault="00537221" w:rsidP="00827FF4">
            <w:pPr>
              <w:spacing w:before="0" w:after="0"/>
              <w:jc w:val="center"/>
              <w:rPr>
                <w:rFonts w:cs="Arial"/>
                <w:color w:val="000000" w:themeColor="text1"/>
                <w:szCs w:val="16"/>
              </w:rPr>
            </w:pPr>
            <w:r w:rsidRPr="00781112">
              <w:rPr>
                <w:rFonts w:cs="Arial"/>
                <w:color w:val="000000" w:themeColor="text1"/>
                <w:szCs w:val="16"/>
              </w:rPr>
              <w:t>22.62%</w:t>
            </w:r>
          </w:p>
        </w:tc>
      </w:tr>
      <w:tr w:rsidR="00537221" w:rsidRPr="00781112" w14:paraId="086B388C" w14:textId="77777777" w:rsidTr="00827FF4">
        <w:trPr>
          <w:trHeight w:val="368"/>
        </w:trPr>
        <w:tc>
          <w:tcPr>
            <w:tcW w:w="736" w:type="pct"/>
            <w:vAlign w:val="center"/>
          </w:tcPr>
          <w:p w14:paraId="7653A8F3" w14:textId="77777777" w:rsidR="00537221" w:rsidRPr="00781112" w:rsidRDefault="00537221" w:rsidP="00827FF4">
            <w:pPr>
              <w:spacing w:before="0" w:after="0"/>
              <w:jc w:val="center"/>
              <w:rPr>
                <w:rFonts w:cs="Arial"/>
                <w:b/>
                <w:bCs/>
                <w:color w:val="000000" w:themeColor="text1"/>
                <w:szCs w:val="16"/>
              </w:rPr>
            </w:pPr>
            <w:r w:rsidRPr="00781112">
              <w:rPr>
                <w:rFonts w:cs="Arial"/>
                <w:szCs w:val="16"/>
              </w:rPr>
              <w:t>Math</w:t>
            </w:r>
          </w:p>
        </w:tc>
        <w:tc>
          <w:tcPr>
            <w:tcW w:w="736" w:type="pct"/>
            <w:shd w:val="clear" w:color="auto" w:fill="auto"/>
            <w:vAlign w:val="center"/>
          </w:tcPr>
          <w:p w14:paraId="0285758E" w14:textId="77777777" w:rsidR="00537221" w:rsidRPr="00781112" w:rsidRDefault="00537221" w:rsidP="00827FF4">
            <w:pPr>
              <w:spacing w:before="0" w:after="0"/>
              <w:jc w:val="center"/>
              <w:rPr>
                <w:rFonts w:cs="Arial"/>
                <w:color w:val="000000" w:themeColor="text1"/>
                <w:szCs w:val="16"/>
              </w:rPr>
            </w:pPr>
            <w:r w:rsidRPr="00781112">
              <w:rPr>
                <w:rFonts w:cs="Arial"/>
                <w:color w:val="000000" w:themeColor="text1"/>
                <w:szCs w:val="16"/>
              </w:rPr>
              <w:t>B</w:t>
            </w:r>
          </w:p>
        </w:tc>
        <w:tc>
          <w:tcPr>
            <w:tcW w:w="1176" w:type="pct"/>
            <w:shd w:val="clear" w:color="auto" w:fill="auto"/>
            <w:vAlign w:val="center"/>
          </w:tcPr>
          <w:p w14:paraId="54FB850D" w14:textId="54F493D6" w:rsidR="00537221" w:rsidRPr="00781112" w:rsidRDefault="00537221" w:rsidP="00827FF4">
            <w:pPr>
              <w:jc w:val="center"/>
              <w:rPr>
                <w:rFonts w:cs="Arial"/>
                <w:color w:val="000000" w:themeColor="text1"/>
                <w:szCs w:val="16"/>
              </w:rPr>
            </w:pPr>
            <w:r w:rsidRPr="00781112">
              <w:rPr>
                <w:rFonts w:cs="Arial"/>
                <w:color w:val="000000" w:themeColor="text1"/>
                <w:szCs w:val="16"/>
              </w:rPr>
              <w:t>Grade 8</w:t>
            </w:r>
          </w:p>
        </w:tc>
        <w:tc>
          <w:tcPr>
            <w:tcW w:w="1176" w:type="pct"/>
            <w:shd w:val="clear" w:color="auto" w:fill="auto"/>
            <w:vAlign w:val="center"/>
          </w:tcPr>
          <w:p w14:paraId="502C33F8" w14:textId="45D8525B" w:rsidR="00537221" w:rsidRPr="00781112" w:rsidRDefault="00537221" w:rsidP="00827FF4">
            <w:pPr>
              <w:jc w:val="center"/>
              <w:rPr>
                <w:rFonts w:cs="Arial"/>
                <w:color w:val="000000" w:themeColor="text1"/>
                <w:szCs w:val="16"/>
              </w:rPr>
            </w:pPr>
            <w:r w:rsidRPr="00781112">
              <w:rPr>
                <w:rFonts w:cs="Arial"/>
                <w:color w:val="000000" w:themeColor="text1"/>
                <w:szCs w:val="16"/>
              </w:rPr>
              <w:t>2015</w:t>
            </w:r>
          </w:p>
        </w:tc>
        <w:tc>
          <w:tcPr>
            <w:tcW w:w="1176" w:type="pct"/>
            <w:vAlign w:val="center"/>
          </w:tcPr>
          <w:p w14:paraId="4AD27F52" w14:textId="16DC5031" w:rsidR="00537221" w:rsidRPr="00781112" w:rsidRDefault="00537221" w:rsidP="00827FF4">
            <w:pPr>
              <w:spacing w:before="0" w:after="0"/>
              <w:jc w:val="center"/>
              <w:rPr>
                <w:rFonts w:cs="Arial"/>
                <w:color w:val="000000" w:themeColor="text1"/>
                <w:szCs w:val="16"/>
              </w:rPr>
            </w:pPr>
            <w:r w:rsidRPr="00781112">
              <w:rPr>
                <w:rFonts w:cs="Arial"/>
                <w:color w:val="000000" w:themeColor="text1"/>
                <w:szCs w:val="16"/>
              </w:rPr>
              <w:t>16.40%</w:t>
            </w:r>
          </w:p>
        </w:tc>
      </w:tr>
      <w:tr w:rsidR="00537221" w:rsidRPr="00781112" w14:paraId="43D0DD14" w14:textId="77777777" w:rsidTr="00827FF4">
        <w:trPr>
          <w:trHeight w:val="368"/>
        </w:trPr>
        <w:tc>
          <w:tcPr>
            <w:tcW w:w="736" w:type="pct"/>
            <w:vAlign w:val="center"/>
          </w:tcPr>
          <w:p w14:paraId="1464F87A" w14:textId="77777777" w:rsidR="00537221" w:rsidRPr="00781112" w:rsidRDefault="00537221" w:rsidP="00827FF4">
            <w:pPr>
              <w:spacing w:before="0" w:after="0"/>
              <w:jc w:val="center"/>
              <w:rPr>
                <w:rFonts w:cs="Arial"/>
                <w:b/>
                <w:bCs/>
                <w:color w:val="000000" w:themeColor="text1"/>
                <w:szCs w:val="16"/>
              </w:rPr>
            </w:pPr>
            <w:r w:rsidRPr="00781112">
              <w:rPr>
                <w:rFonts w:cs="Arial"/>
                <w:szCs w:val="16"/>
              </w:rPr>
              <w:t>Math</w:t>
            </w:r>
          </w:p>
        </w:tc>
        <w:tc>
          <w:tcPr>
            <w:tcW w:w="736" w:type="pct"/>
            <w:shd w:val="clear" w:color="auto" w:fill="auto"/>
            <w:vAlign w:val="center"/>
          </w:tcPr>
          <w:p w14:paraId="009D1AD8" w14:textId="77777777" w:rsidR="00537221" w:rsidRPr="00781112" w:rsidRDefault="00537221" w:rsidP="00827FF4">
            <w:pPr>
              <w:spacing w:before="0" w:after="0"/>
              <w:jc w:val="center"/>
              <w:rPr>
                <w:rFonts w:cs="Arial"/>
                <w:color w:val="000000" w:themeColor="text1"/>
                <w:szCs w:val="16"/>
              </w:rPr>
            </w:pPr>
            <w:r w:rsidRPr="00781112">
              <w:rPr>
                <w:rFonts w:cs="Arial"/>
                <w:color w:val="000000" w:themeColor="text1"/>
                <w:szCs w:val="16"/>
              </w:rPr>
              <w:t>C</w:t>
            </w:r>
          </w:p>
        </w:tc>
        <w:tc>
          <w:tcPr>
            <w:tcW w:w="1176" w:type="pct"/>
            <w:shd w:val="clear" w:color="auto" w:fill="auto"/>
            <w:vAlign w:val="center"/>
          </w:tcPr>
          <w:p w14:paraId="261B7EA0" w14:textId="1CFD2731" w:rsidR="00537221" w:rsidRPr="00781112" w:rsidRDefault="00537221" w:rsidP="00827FF4">
            <w:pPr>
              <w:spacing w:before="0" w:after="0"/>
              <w:jc w:val="center"/>
              <w:rPr>
                <w:rFonts w:cs="Arial"/>
                <w:color w:val="000000" w:themeColor="text1"/>
                <w:szCs w:val="16"/>
              </w:rPr>
            </w:pPr>
            <w:r w:rsidRPr="00781112">
              <w:rPr>
                <w:rFonts w:cs="Arial"/>
                <w:color w:val="000000" w:themeColor="text1"/>
                <w:szCs w:val="16"/>
              </w:rPr>
              <w:t>Grade HS</w:t>
            </w:r>
          </w:p>
        </w:tc>
        <w:tc>
          <w:tcPr>
            <w:tcW w:w="1176" w:type="pct"/>
            <w:shd w:val="clear" w:color="auto" w:fill="auto"/>
            <w:vAlign w:val="center"/>
          </w:tcPr>
          <w:p w14:paraId="07D595C6" w14:textId="36D54FE7" w:rsidR="00537221" w:rsidRPr="00781112" w:rsidRDefault="00537221" w:rsidP="00827FF4">
            <w:pPr>
              <w:jc w:val="center"/>
              <w:rPr>
                <w:rFonts w:cs="Arial"/>
                <w:color w:val="000000" w:themeColor="text1"/>
                <w:szCs w:val="16"/>
              </w:rPr>
            </w:pPr>
            <w:r w:rsidRPr="00781112">
              <w:rPr>
                <w:rFonts w:cs="Arial"/>
                <w:color w:val="000000" w:themeColor="text1"/>
                <w:szCs w:val="16"/>
              </w:rPr>
              <w:t>2015</w:t>
            </w:r>
          </w:p>
        </w:tc>
        <w:tc>
          <w:tcPr>
            <w:tcW w:w="1176" w:type="pct"/>
            <w:vAlign w:val="center"/>
          </w:tcPr>
          <w:p w14:paraId="27DF7D26" w14:textId="3067273D" w:rsidR="00537221" w:rsidRPr="00781112" w:rsidRDefault="00537221" w:rsidP="00827FF4">
            <w:pPr>
              <w:spacing w:before="0" w:after="0"/>
              <w:jc w:val="center"/>
              <w:rPr>
                <w:rFonts w:cs="Arial"/>
                <w:color w:val="000000" w:themeColor="text1"/>
                <w:szCs w:val="16"/>
              </w:rPr>
            </w:pPr>
            <w:r w:rsidRPr="00781112">
              <w:rPr>
                <w:rFonts w:cs="Arial"/>
                <w:color w:val="000000" w:themeColor="text1"/>
                <w:szCs w:val="16"/>
              </w:rPr>
              <w:t>8.01%</w:t>
            </w:r>
          </w:p>
        </w:tc>
      </w:tr>
    </w:tbl>
    <w:p w14:paraId="4679A4B4" w14:textId="77777777" w:rsidR="00537221" w:rsidRPr="00781112" w:rsidRDefault="00537221">
      <w:pPr>
        <w:rPr>
          <w:b/>
          <w:color w:val="000000" w:themeColor="text1"/>
        </w:rPr>
      </w:pPr>
    </w:p>
    <w:p w14:paraId="764C016B" w14:textId="48180105" w:rsidR="00A10323" w:rsidRPr="00781112" w:rsidRDefault="00A10323" w:rsidP="004369B2">
      <w:pPr>
        <w:rPr>
          <w:b/>
          <w:color w:val="000000" w:themeColor="text1"/>
        </w:rPr>
      </w:pPr>
      <w:r w:rsidRPr="00781112">
        <w:rPr>
          <w:b/>
          <w:color w:val="000000" w:themeColor="text1"/>
        </w:rPr>
        <w:t>Targets</w:t>
      </w:r>
    </w:p>
    <w:tbl>
      <w:tblPr>
        <w:tblW w:w="383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B03CTARGETS"/>
      </w:tblPr>
      <w:tblGrid>
        <w:gridCol w:w="812"/>
        <w:gridCol w:w="697"/>
        <w:gridCol w:w="1739"/>
        <w:gridCol w:w="1256"/>
        <w:gridCol w:w="1256"/>
        <w:gridCol w:w="1256"/>
        <w:gridCol w:w="1256"/>
      </w:tblGrid>
      <w:tr w:rsidR="00B67FCE" w:rsidRPr="00781112" w14:paraId="6FE97918" w14:textId="1BF8CF9D" w:rsidTr="00845B9B">
        <w:tc>
          <w:tcPr>
            <w:tcW w:w="491" w:type="pct"/>
            <w:tcBorders>
              <w:bottom w:val="single" w:sz="4" w:space="0" w:color="auto"/>
            </w:tcBorders>
            <w:shd w:val="clear" w:color="auto" w:fill="auto"/>
          </w:tcPr>
          <w:p w14:paraId="5CDF6985" w14:textId="5342FC63" w:rsidR="00B67FCE" w:rsidRPr="00781112" w:rsidRDefault="00B67FCE" w:rsidP="00561042">
            <w:pPr>
              <w:jc w:val="center"/>
              <w:rPr>
                <w:b/>
                <w:color w:val="000000" w:themeColor="text1"/>
              </w:rPr>
            </w:pPr>
            <w:r w:rsidRPr="00781112">
              <w:rPr>
                <w:b/>
                <w:color w:val="000000" w:themeColor="text1"/>
              </w:rPr>
              <w:t>Subject</w:t>
            </w:r>
          </w:p>
        </w:tc>
        <w:tc>
          <w:tcPr>
            <w:tcW w:w="421" w:type="pct"/>
            <w:tcBorders>
              <w:bottom w:val="single" w:sz="4" w:space="0" w:color="auto"/>
            </w:tcBorders>
            <w:shd w:val="clear" w:color="auto" w:fill="auto"/>
          </w:tcPr>
          <w:p w14:paraId="01DFF2B4" w14:textId="2094C240" w:rsidR="00B67FCE" w:rsidRPr="00781112" w:rsidRDefault="00B67FCE" w:rsidP="00561042">
            <w:pPr>
              <w:jc w:val="center"/>
              <w:rPr>
                <w:b/>
                <w:color w:val="000000" w:themeColor="text1"/>
              </w:rPr>
            </w:pPr>
            <w:r w:rsidRPr="00781112">
              <w:rPr>
                <w:b/>
                <w:color w:val="000000" w:themeColor="text1"/>
              </w:rPr>
              <w:t>Group</w:t>
            </w:r>
          </w:p>
        </w:tc>
        <w:tc>
          <w:tcPr>
            <w:tcW w:w="1051" w:type="pct"/>
            <w:shd w:val="clear" w:color="auto" w:fill="auto"/>
          </w:tcPr>
          <w:p w14:paraId="3976F221" w14:textId="32F28582" w:rsidR="00B67FCE" w:rsidRPr="00781112" w:rsidDel="008E7B87" w:rsidRDefault="00B67FCE" w:rsidP="00561042">
            <w:pPr>
              <w:jc w:val="center"/>
              <w:rPr>
                <w:b/>
                <w:color w:val="000000" w:themeColor="text1"/>
              </w:rPr>
            </w:pPr>
            <w:r w:rsidRPr="00781112">
              <w:rPr>
                <w:b/>
                <w:color w:val="000000" w:themeColor="text1"/>
              </w:rPr>
              <w:t>Group Name</w:t>
            </w:r>
          </w:p>
        </w:tc>
        <w:tc>
          <w:tcPr>
            <w:tcW w:w="759" w:type="pct"/>
            <w:shd w:val="clear" w:color="auto" w:fill="auto"/>
          </w:tcPr>
          <w:p w14:paraId="076E9FA3" w14:textId="2BDFEC53" w:rsidR="00B67FCE" w:rsidRPr="00781112" w:rsidRDefault="00B67FCE" w:rsidP="00561042">
            <w:pPr>
              <w:jc w:val="center"/>
              <w:rPr>
                <w:b/>
                <w:color w:val="000000" w:themeColor="text1"/>
              </w:rPr>
            </w:pPr>
            <w:r w:rsidRPr="00781112">
              <w:rPr>
                <w:b/>
                <w:color w:val="000000" w:themeColor="text1"/>
              </w:rPr>
              <w:t>2022</w:t>
            </w:r>
          </w:p>
        </w:tc>
        <w:tc>
          <w:tcPr>
            <w:tcW w:w="759" w:type="pct"/>
            <w:vAlign w:val="center"/>
          </w:tcPr>
          <w:p w14:paraId="2A95FA03" w14:textId="46828D1C" w:rsidR="00B67FCE" w:rsidRPr="00781112" w:rsidRDefault="00B67FCE" w:rsidP="00561042">
            <w:pPr>
              <w:jc w:val="center"/>
              <w:rPr>
                <w:b/>
                <w:color w:val="000000" w:themeColor="text1"/>
              </w:rPr>
            </w:pPr>
            <w:r w:rsidRPr="00781112">
              <w:rPr>
                <w:rFonts w:cs="Arial"/>
                <w:b/>
                <w:color w:val="000000" w:themeColor="text1"/>
                <w:szCs w:val="16"/>
              </w:rPr>
              <w:t>2023</w:t>
            </w:r>
          </w:p>
        </w:tc>
        <w:tc>
          <w:tcPr>
            <w:tcW w:w="759" w:type="pct"/>
            <w:vAlign w:val="center"/>
          </w:tcPr>
          <w:p w14:paraId="56A4FE1C" w14:textId="196C362E" w:rsidR="00B67FCE" w:rsidRPr="00781112" w:rsidRDefault="00B67FCE" w:rsidP="00561042">
            <w:pPr>
              <w:jc w:val="center"/>
              <w:rPr>
                <w:b/>
                <w:color w:val="000000" w:themeColor="text1"/>
              </w:rPr>
            </w:pPr>
            <w:r w:rsidRPr="00781112">
              <w:rPr>
                <w:rFonts w:cs="Arial"/>
                <w:b/>
                <w:color w:val="000000" w:themeColor="text1"/>
                <w:szCs w:val="16"/>
              </w:rPr>
              <w:t>2024</w:t>
            </w:r>
          </w:p>
        </w:tc>
        <w:tc>
          <w:tcPr>
            <w:tcW w:w="759" w:type="pct"/>
            <w:vAlign w:val="center"/>
          </w:tcPr>
          <w:p w14:paraId="6FCB9B7C" w14:textId="67672F5E" w:rsidR="00B67FCE" w:rsidRPr="00781112" w:rsidRDefault="00B67FCE" w:rsidP="00561042">
            <w:pPr>
              <w:jc w:val="center"/>
              <w:rPr>
                <w:b/>
                <w:color w:val="000000" w:themeColor="text1"/>
              </w:rPr>
            </w:pPr>
            <w:r w:rsidRPr="00781112">
              <w:rPr>
                <w:rFonts w:cs="Arial"/>
                <w:b/>
                <w:color w:val="000000" w:themeColor="text1"/>
                <w:szCs w:val="16"/>
              </w:rPr>
              <w:t>2025</w:t>
            </w:r>
          </w:p>
        </w:tc>
      </w:tr>
      <w:tr w:rsidR="00B67FCE" w:rsidRPr="00781112" w14:paraId="24016D03" w14:textId="0FC0BA7B" w:rsidTr="00845B9B">
        <w:tc>
          <w:tcPr>
            <w:tcW w:w="491" w:type="pct"/>
            <w:shd w:val="clear" w:color="auto" w:fill="auto"/>
            <w:vAlign w:val="center"/>
          </w:tcPr>
          <w:p w14:paraId="6AD78348" w14:textId="77777777" w:rsidR="00B67FCE" w:rsidRPr="00781112" w:rsidRDefault="00B67FCE" w:rsidP="00D13592">
            <w:pPr>
              <w:spacing w:before="0" w:after="0"/>
              <w:jc w:val="center"/>
              <w:rPr>
                <w:rFonts w:cs="Arial"/>
                <w:color w:val="000000" w:themeColor="text1"/>
                <w:szCs w:val="16"/>
              </w:rPr>
            </w:pPr>
            <w:r w:rsidRPr="00781112">
              <w:rPr>
                <w:rFonts w:cs="Arial"/>
                <w:color w:val="000000" w:themeColor="text1"/>
                <w:szCs w:val="16"/>
              </w:rPr>
              <w:t>Reading</w:t>
            </w:r>
          </w:p>
        </w:tc>
        <w:tc>
          <w:tcPr>
            <w:tcW w:w="421" w:type="pct"/>
            <w:shd w:val="clear" w:color="auto" w:fill="auto"/>
            <w:vAlign w:val="center"/>
          </w:tcPr>
          <w:p w14:paraId="68D451C5" w14:textId="0D62DF33" w:rsidR="00B67FCE" w:rsidRPr="00781112" w:rsidRDefault="00B67FCE" w:rsidP="00D13592">
            <w:pPr>
              <w:spacing w:before="0" w:after="0"/>
              <w:jc w:val="center"/>
              <w:rPr>
                <w:rFonts w:cs="Arial"/>
                <w:color w:val="000000" w:themeColor="text1"/>
                <w:szCs w:val="16"/>
              </w:rPr>
            </w:pPr>
            <w:r w:rsidRPr="00781112">
              <w:rPr>
                <w:rFonts w:cs="Arial"/>
                <w:color w:val="000000" w:themeColor="text1"/>
                <w:szCs w:val="16"/>
              </w:rPr>
              <w:t>A &gt;=</w:t>
            </w:r>
          </w:p>
        </w:tc>
        <w:tc>
          <w:tcPr>
            <w:tcW w:w="1051" w:type="pct"/>
            <w:shd w:val="clear" w:color="auto" w:fill="auto"/>
            <w:vAlign w:val="center"/>
          </w:tcPr>
          <w:p w14:paraId="10A86524" w14:textId="5A63BB47" w:rsidR="00B67FCE" w:rsidRPr="00781112" w:rsidDel="00DE5045" w:rsidRDefault="00B67FCE" w:rsidP="00D13592">
            <w:pPr>
              <w:jc w:val="center"/>
              <w:rPr>
                <w:rFonts w:cs="Arial"/>
                <w:color w:val="000000" w:themeColor="text1"/>
                <w:szCs w:val="16"/>
              </w:rPr>
            </w:pPr>
            <w:r w:rsidRPr="00781112">
              <w:rPr>
                <w:rFonts w:cs="Arial"/>
                <w:color w:val="000000" w:themeColor="text1"/>
                <w:szCs w:val="16"/>
              </w:rPr>
              <w:t>Grade 4</w:t>
            </w:r>
          </w:p>
        </w:tc>
        <w:tc>
          <w:tcPr>
            <w:tcW w:w="759" w:type="pct"/>
            <w:shd w:val="clear" w:color="auto" w:fill="auto"/>
            <w:vAlign w:val="center"/>
          </w:tcPr>
          <w:p w14:paraId="3451F312" w14:textId="2295E6F6" w:rsidR="00B67FCE" w:rsidRPr="00781112" w:rsidRDefault="00B67FCE" w:rsidP="00D13592">
            <w:pPr>
              <w:jc w:val="center"/>
              <w:rPr>
                <w:rFonts w:cs="Arial"/>
                <w:color w:val="000000" w:themeColor="text1"/>
                <w:szCs w:val="16"/>
              </w:rPr>
            </w:pPr>
            <w:r w:rsidRPr="00781112">
              <w:rPr>
                <w:rFonts w:cs="Arial"/>
                <w:color w:val="000000" w:themeColor="text1"/>
                <w:szCs w:val="16"/>
              </w:rPr>
              <w:t>21.93%</w:t>
            </w:r>
          </w:p>
        </w:tc>
        <w:tc>
          <w:tcPr>
            <w:tcW w:w="759" w:type="pct"/>
            <w:vAlign w:val="center"/>
          </w:tcPr>
          <w:p w14:paraId="1A23D563" w14:textId="56F68959" w:rsidR="00B67FCE" w:rsidRPr="00781112" w:rsidRDefault="00B67FCE" w:rsidP="00D13592">
            <w:pPr>
              <w:jc w:val="center"/>
              <w:rPr>
                <w:rFonts w:cs="Arial"/>
                <w:color w:val="000000" w:themeColor="text1"/>
                <w:szCs w:val="16"/>
              </w:rPr>
            </w:pPr>
            <w:r w:rsidRPr="00781112">
              <w:rPr>
                <w:rFonts w:cs="Arial"/>
                <w:color w:val="000000" w:themeColor="text1"/>
                <w:szCs w:val="16"/>
              </w:rPr>
              <w:t>23.93%</w:t>
            </w:r>
          </w:p>
        </w:tc>
        <w:tc>
          <w:tcPr>
            <w:tcW w:w="759" w:type="pct"/>
            <w:vAlign w:val="center"/>
          </w:tcPr>
          <w:p w14:paraId="6BBDE651" w14:textId="47B65FE0" w:rsidR="00B67FCE" w:rsidRPr="00781112" w:rsidRDefault="00B67FCE" w:rsidP="00D13592">
            <w:pPr>
              <w:jc w:val="center"/>
              <w:rPr>
                <w:rFonts w:cs="Arial"/>
                <w:color w:val="000000" w:themeColor="text1"/>
                <w:szCs w:val="16"/>
              </w:rPr>
            </w:pPr>
            <w:r w:rsidRPr="00781112">
              <w:rPr>
                <w:rFonts w:cs="Arial"/>
                <w:color w:val="000000" w:themeColor="text1"/>
                <w:szCs w:val="16"/>
              </w:rPr>
              <w:t>25.94%</w:t>
            </w:r>
          </w:p>
        </w:tc>
        <w:tc>
          <w:tcPr>
            <w:tcW w:w="759" w:type="pct"/>
            <w:vAlign w:val="center"/>
          </w:tcPr>
          <w:p w14:paraId="5A275577" w14:textId="6DCA94CB" w:rsidR="00B67FCE" w:rsidRPr="00781112" w:rsidRDefault="00B67FCE" w:rsidP="00D13592">
            <w:pPr>
              <w:jc w:val="center"/>
              <w:rPr>
                <w:rFonts w:cs="Arial"/>
                <w:color w:val="000000" w:themeColor="text1"/>
                <w:szCs w:val="16"/>
              </w:rPr>
            </w:pPr>
            <w:r w:rsidRPr="00781112">
              <w:rPr>
                <w:rFonts w:cs="Arial"/>
                <w:color w:val="000000" w:themeColor="text1"/>
                <w:szCs w:val="16"/>
              </w:rPr>
              <w:t>27.95%</w:t>
            </w:r>
          </w:p>
        </w:tc>
      </w:tr>
      <w:tr w:rsidR="00B67FCE" w:rsidRPr="00781112" w14:paraId="4229AE62" w14:textId="33381C2A" w:rsidTr="00845B9B">
        <w:tc>
          <w:tcPr>
            <w:tcW w:w="491" w:type="pct"/>
            <w:shd w:val="clear" w:color="auto" w:fill="auto"/>
            <w:vAlign w:val="center"/>
          </w:tcPr>
          <w:p w14:paraId="65BFCE1A" w14:textId="0D697A5F" w:rsidR="00B67FCE" w:rsidRPr="00781112" w:rsidRDefault="00B67FCE" w:rsidP="00D13592">
            <w:pPr>
              <w:spacing w:before="0" w:after="0"/>
              <w:jc w:val="center"/>
              <w:rPr>
                <w:rFonts w:cs="Arial"/>
                <w:color w:val="000000" w:themeColor="text1"/>
                <w:szCs w:val="16"/>
              </w:rPr>
            </w:pPr>
            <w:r w:rsidRPr="00781112">
              <w:rPr>
                <w:rFonts w:cs="Arial"/>
                <w:color w:val="000000" w:themeColor="text1"/>
                <w:szCs w:val="16"/>
              </w:rPr>
              <w:t>Reading</w:t>
            </w:r>
          </w:p>
        </w:tc>
        <w:tc>
          <w:tcPr>
            <w:tcW w:w="421" w:type="pct"/>
            <w:shd w:val="clear" w:color="auto" w:fill="auto"/>
            <w:vAlign w:val="center"/>
          </w:tcPr>
          <w:p w14:paraId="0A529643" w14:textId="25196352" w:rsidR="00B67FCE" w:rsidRPr="00781112" w:rsidRDefault="00B67FCE" w:rsidP="00D13592">
            <w:pPr>
              <w:spacing w:before="0" w:after="0"/>
              <w:jc w:val="center"/>
              <w:rPr>
                <w:rFonts w:cs="Arial"/>
                <w:color w:val="000000" w:themeColor="text1"/>
                <w:szCs w:val="16"/>
              </w:rPr>
            </w:pPr>
            <w:r w:rsidRPr="00781112">
              <w:rPr>
                <w:rFonts w:cs="Arial"/>
                <w:color w:val="000000" w:themeColor="text1"/>
                <w:szCs w:val="16"/>
              </w:rPr>
              <w:t>B &gt;=</w:t>
            </w:r>
          </w:p>
        </w:tc>
        <w:tc>
          <w:tcPr>
            <w:tcW w:w="1051" w:type="pct"/>
            <w:shd w:val="clear" w:color="auto" w:fill="auto"/>
            <w:vAlign w:val="center"/>
          </w:tcPr>
          <w:p w14:paraId="62F8D3A7" w14:textId="0DE3112A" w:rsidR="00B67FCE" w:rsidRPr="00781112" w:rsidDel="00DE5045" w:rsidRDefault="00B67FCE" w:rsidP="00D13592">
            <w:pPr>
              <w:jc w:val="center"/>
              <w:rPr>
                <w:rFonts w:cs="Arial"/>
                <w:color w:val="000000" w:themeColor="text1"/>
                <w:szCs w:val="16"/>
              </w:rPr>
            </w:pPr>
            <w:r w:rsidRPr="00781112">
              <w:rPr>
                <w:rFonts w:cs="Arial"/>
                <w:color w:val="000000" w:themeColor="text1"/>
                <w:szCs w:val="16"/>
              </w:rPr>
              <w:t>Grade 8</w:t>
            </w:r>
          </w:p>
        </w:tc>
        <w:tc>
          <w:tcPr>
            <w:tcW w:w="759" w:type="pct"/>
            <w:shd w:val="clear" w:color="auto" w:fill="auto"/>
            <w:vAlign w:val="center"/>
          </w:tcPr>
          <w:p w14:paraId="1D5B4183" w14:textId="1238BC64" w:rsidR="00B67FCE" w:rsidRPr="00781112" w:rsidRDefault="00B67FCE" w:rsidP="00D13592">
            <w:pPr>
              <w:jc w:val="center"/>
              <w:rPr>
                <w:rFonts w:cs="Arial"/>
                <w:color w:val="000000" w:themeColor="text1"/>
                <w:szCs w:val="16"/>
              </w:rPr>
            </w:pPr>
            <w:r w:rsidRPr="00781112">
              <w:rPr>
                <w:rFonts w:cs="Arial"/>
                <w:color w:val="000000" w:themeColor="text1"/>
                <w:szCs w:val="16"/>
              </w:rPr>
              <w:t>39.23%</w:t>
            </w:r>
          </w:p>
        </w:tc>
        <w:tc>
          <w:tcPr>
            <w:tcW w:w="759" w:type="pct"/>
            <w:vAlign w:val="center"/>
          </w:tcPr>
          <w:p w14:paraId="200F306C" w14:textId="40F15380" w:rsidR="00B67FCE" w:rsidRPr="00781112" w:rsidRDefault="00B67FCE" w:rsidP="00D13592">
            <w:pPr>
              <w:jc w:val="center"/>
              <w:rPr>
                <w:rFonts w:cs="Arial"/>
                <w:color w:val="000000" w:themeColor="text1"/>
                <w:szCs w:val="16"/>
              </w:rPr>
            </w:pPr>
            <w:r w:rsidRPr="00781112">
              <w:rPr>
                <w:rFonts w:cs="Arial"/>
                <w:color w:val="000000" w:themeColor="text1"/>
                <w:szCs w:val="16"/>
              </w:rPr>
              <w:t>39.40%</w:t>
            </w:r>
          </w:p>
        </w:tc>
        <w:tc>
          <w:tcPr>
            <w:tcW w:w="759" w:type="pct"/>
            <w:vAlign w:val="center"/>
          </w:tcPr>
          <w:p w14:paraId="01C155DC" w14:textId="32FC3C15" w:rsidR="00B67FCE" w:rsidRPr="00781112" w:rsidRDefault="00B67FCE" w:rsidP="00D13592">
            <w:pPr>
              <w:jc w:val="center"/>
              <w:rPr>
                <w:rFonts w:cs="Arial"/>
                <w:color w:val="000000" w:themeColor="text1"/>
                <w:szCs w:val="16"/>
              </w:rPr>
            </w:pPr>
            <w:r w:rsidRPr="00781112">
              <w:rPr>
                <w:rFonts w:cs="Arial"/>
                <w:color w:val="000000" w:themeColor="text1"/>
                <w:szCs w:val="16"/>
              </w:rPr>
              <w:t>39.58%</w:t>
            </w:r>
          </w:p>
        </w:tc>
        <w:tc>
          <w:tcPr>
            <w:tcW w:w="759" w:type="pct"/>
            <w:vAlign w:val="center"/>
          </w:tcPr>
          <w:p w14:paraId="31A2EE92" w14:textId="183FF0A7" w:rsidR="00B67FCE" w:rsidRPr="00781112" w:rsidRDefault="00B67FCE" w:rsidP="00D13592">
            <w:pPr>
              <w:jc w:val="center"/>
              <w:rPr>
                <w:rFonts w:cs="Arial"/>
                <w:color w:val="000000" w:themeColor="text1"/>
                <w:szCs w:val="16"/>
              </w:rPr>
            </w:pPr>
            <w:r w:rsidRPr="00781112">
              <w:rPr>
                <w:rFonts w:cs="Arial"/>
                <w:color w:val="000000" w:themeColor="text1"/>
                <w:szCs w:val="16"/>
              </w:rPr>
              <w:t>39.75%</w:t>
            </w:r>
          </w:p>
        </w:tc>
      </w:tr>
      <w:tr w:rsidR="00B67FCE" w:rsidRPr="00781112" w14:paraId="53D446D4" w14:textId="31EA6E11" w:rsidTr="00845B9B">
        <w:tc>
          <w:tcPr>
            <w:tcW w:w="491" w:type="pct"/>
            <w:shd w:val="clear" w:color="auto" w:fill="auto"/>
            <w:vAlign w:val="center"/>
          </w:tcPr>
          <w:p w14:paraId="5413BB65" w14:textId="22884284" w:rsidR="00B67FCE" w:rsidRPr="00781112" w:rsidRDefault="00B67FCE" w:rsidP="00D13592">
            <w:pPr>
              <w:spacing w:before="0" w:after="0"/>
              <w:jc w:val="center"/>
              <w:rPr>
                <w:rFonts w:cs="Arial"/>
                <w:color w:val="000000" w:themeColor="text1"/>
                <w:szCs w:val="16"/>
              </w:rPr>
            </w:pPr>
            <w:r w:rsidRPr="00781112">
              <w:rPr>
                <w:rFonts w:cs="Arial"/>
                <w:color w:val="000000" w:themeColor="text1"/>
                <w:szCs w:val="16"/>
              </w:rPr>
              <w:t>Reading</w:t>
            </w:r>
          </w:p>
        </w:tc>
        <w:tc>
          <w:tcPr>
            <w:tcW w:w="421" w:type="pct"/>
            <w:shd w:val="clear" w:color="auto" w:fill="auto"/>
            <w:vAlign w:val="center"/>
          </w:tcPr>
          <w:p w14:paraId="1408EAB6" w14:textId="5A0418AE" w:rsidR="00B67FCE" w:rsidRPr="00781112" w:rsidRDefault="00B67FCE" w:rsidP="00D13592">
            <w:pPr>
              <w:spacing w:before="0" w:after="0"/>
              <w:jc w:val="center"/>
              <w:rPr>
                <w:rFonts w:cs="Arial"/>
                <w:color w:val="000000" w:themeColor="text1"/>
                <w:szCs w:val="16"/>
              </w:rPr>
            </w:pPr>
            <w:r w:rsidRPr="00781112">
              <w:rPr>
                <w:rFonts w:cs="Arial"/>
                <w:color w:val="000000" w:themeColor="text1"/>
                <w:szCs w:val="16"/>
              </w:rPr>
              <w:t>C &gt;=</w:t>
            </w:r>
          </w:p>
        </w:tc>
        <w:tc>
          <w:tcPr>
            <w:tcW w:w="1051" w:type="pct"/>
            <w:shd w:val="clear" w:color="auto" w:fill="auto"/>
            <w:vAlign w:val="center"/>
          </w:tcPr>
          <w:p w14:paraId="6E4FCBFF" w14:textId="158A4AA0" w:rsidR="00B67FCE" w:rsidRPr="00781112" w:rsidDel="00DE5045" w:rsidRDefault="00B67FCE" w:rsidP="00D13592">
            <w:pPr>
              <w:jc w:val="center"/>
              <w:rPr>
                <w:rFonts w:cs="Arial"/>
                <w:color w:val="000000" w:themeColor="text1"/>
                <w:szCs w:val="16"/>
              </w:rPr>
            </w:pPr>
            <w:r w:rsidRPr="00781112">
              <w:rPr>
                <w:rFonts w:cs="Arial"/>
                <w:color w:val="000000" w:themeColor="text1"/>
                <w:szCs w:val="16"/>
              </w:rPr>
              <w:t>Grade HS</w:t>
            </w:r>
          </w:p>
        </w:tc>
        <w:tc>
          <w:tcPr>
            <w:tcW w:w="759" w:type="pct"/>
            <w:shd w:val="clear" w:color="auto" w:fill="auto"/>
            <w:vAlign w:val="center"/>
          </w:tcPr>
          <w:p w14:paraId="3520F380" w14:textId="38C36219" w:rsidR="00B67FCE" w:rsidRPr="00781112" w:rsidRDefault="00B67FCE" w:rsidP="00D13592">
            <w:pPr>
              <w:jc w:val="center"/>
              <w:rPr>
                <w:rFonts w:cs="Arial"/>
                <w:color w:val="000000" w:themeColor="text1"/>
                <w:szCs w:val="16"/>
              </w:rPr>
            </w:pPr>
            <w:r w:rsidRPr="00781112">
              <w:rPr>
                <w:rFonts w:cs="Arial"/>
                <w:color w:val="000000" w:themeColor="text1"/>
                <w:szCs w:val="16"/>
              </w:rPr>
              <w:t>37.01%</w:t>
            </w:r>
          </w:p>
        </w:tc>
        <w:tc>
          <w:tcPr>
            <w:tcW w:w="759" w:type="pct"/>
            <w:vAlign w:val="center"/>
          </w:tcPr>
          <w:p w14:paraId="3305DD14" w14:textId="4DBBF69C" w:rsidR="00B67FCE" w:rsidRPr="00781112" w:rsidRDefault="00B67FCE" w:rsidP="00D13592">
            <w:pPr>
              <w:jc w:val="center"/>
              <w:rPr>
                <w:rFonts w:cs="Arial"/>
                <w:color w:val="000000" w:themeColor="text1"/>
                <w:szCs w:val="16"/>
              </w:rPr>
            </w:pPr>
            <w:r w:rsidRPr="00781112">
              <w:rPr>
                <w:rFonts w:cs="Arial"/>
                <w:color w:val="000000" w:themeColor="text1"/>
                <w:szCs w:val="16"/>
              </w:rPr>
              <w:t>38.02%</w:t>
            </w:r>
          </w:p>
        </w:tc>
        <w:tc>
          <w:tcPr>
            <w:tcW w:w="759" w:type="pct"/>
            <w:vAlign w:val="center"/>
          </w:tcPr>
          <w:p w14:paraId="02FF2601" w14:textId="545909AE" w:rsidR="00B67FCE" w:rsidRPr="00781112" w:rsidRDefault="00B67FCE" w:rsidP="00D13592">
            <w:pPr>
              <w:jc w:val="center"/>
              <w:rPr>
                <w:rFonts w:cs="Arial"/>
                <w:color w:val="000000" w:themeColor="text1"/>
                <w:szCs w:val="16"/>
              </w:rPr>
            </w:pPr>
            <w:r w:rsidRPr="00781112">
              <w:rPr>
                <w:rFonts w:cs="Arial"/>
                <w:color w:val="000000" w:themeColor="text1"/>
                <w:szCs w:val="16"/>
              </w:rPr>
              <w:t>39.04%</w:t>
            </w:r>
          </w:p>
        </w:tc>
        <w:tc>
          <w:tcPr>
            <w:tcW w:w="759" w:type="pct"/>
            <w:vAlign w:val="center"/>
          </w:tcPr>
          <w:p w14:paraId="607B9906" w14:textId="6058F884" w:rsidR="00B67FCE" w:rsidRPr="00781112" w:rsidRDefault="00B67FCE" w:rsidP="00D13592">
            <w:pPr>
              <w:jc w:val="center"/>
              <w:rPr>
                <w:rFonts w:cs="Arial"/>
                <w:color w:val="000000" w:themeColor="text1"/>
                <w:szCs w:val="16"/>
              </w:rPr>
            </w:pPr>
            <w:r w:rsidRPr="00781112">
              <w:rPr>
                <w:rFonts w:cs="Arial"/>
                <w:color w:val="000000" w:themeColor="text1"/>
                <w:szCs w:val="16"/>
              </w:rPr>
              <w:t>40.06%</w:t>
            </w:r>
          </w:p>
        </w:tc>
      </w:tr>
      <w:tr w:rsidR="00B67FCE" w:rsidRPr="00781112" w14:paraId="4D7E1CB4" w14:textId="31C0C80F" w:rsidTr="00845B9B">
        <w:tc>
          <w:tcPr>
            <w:tcW w:w="491" w:type="pct"/>
            <w:shd w:val="clear" w:color="auto" w:fill="auto"/>
            <w:vAlign w:val="center"/>
          </w:tcPr>
          <w:p w14:paraId="3E17FC71" w14:textId="77777777" w:rsidR="00B67FCE" w:rsidRPr="00781112" w:rsidRDefault="00B67FCE" w:rsidP="00D13592">
            <w:pPr>
              <w:spacing w:before="0" w:after="0"/>
              <w:jc w:val="center"/>
              <w:rPr>
                <w:rFonts w:cs="Arial"/>
                <w:color w:val="000000" w:themeColor="text1"/>
                <w:szCs w:val="16"/>
              </w:rPr>
            </w:pPr>
            <w:r w:rsidRPr="00781112">
              <w:rPr>
                <w:rFonts w:cs="Arial"/>
                <w:color w:val="000000" w:themeColor="text1"/>
                <w:szCs w:val="16"/>
              </w:rPr>
              <w:t>Math</w:t>
            </w:r>
          </w:p>
        </w:tc>
        <w:tc>
          <w:tcPr>
            <w:tcW w:w="421" w:type="pct"/>
            <w:shd w:val="clear" w:color="auto" w:fill="auto"/>
            <w:vAlign w:val="center"/>
          </w:tcPr>
          <w:p w14:paraId="393C59D6" w14:textId="4FA6AC82" w:rsidR="00B67FCE" w:rsidRPr="00781112" w:rsidRDefault="00B67FCE" w:rsidP="00D13592">
            <w:pPr>
              <w:spacing w:before="0" w:after="0"/>
              <w:jc w:val="center"/>
              <w:rPr>
                <w:rFonts w:cs="Arial"/>
                <w:color w:val="000000" w:themeColor="text1"/>
                <w:szCs w:val="16"/>
              </w:rPr>
            </w:pPr>
            <w:r w:rsidRPr="00781112">
              <w:rPr>
                <w:rFonts w:cs="Arial"/>
                <w:color w:val="000000" w:themeColor="text1"/>
                <w:szCs w:val="16"/>
              </w:rPr>
              <w:t>A &gt;=</w:t>
            </w:r>
          </w:p>
        </w:tc>
        <w:tc>
          <w:tcPr>
            <w:tcW w:w="1051" w:type="pct"/>
            <w:shd w:val="clear" w:color="auto" w:fill="auto"/>
            <w:vAlign w:val="center"/>
          </w:tcPr>
          <w:p w14:paraId="06CBBAA1" w14:textId="25010E97" w:rsidR="00B67FCE" w:rsidRPr="00781112" w:rsidDel="00DE5045" w:rsidRDefault="00B67FCE" w:rsidP="00D13592">
            <w:pPr>
              <w:jc w:val="center"/>
              <w:rPr>
                <w:rFonts w:cs="Arial"/>
                <w:color w:val="000000" w:themeColor="text1"/>
                <w:szCs w:val="16"/>
              </w:rPr>
            </w:pPr>
            <w:r w:rsidRPr="00781112">
              <w:rPr>
                <w:rFonts w:cs="Arial"/>
                <w:color w:val="000000" w:themeColor="text1"/>
                <w:szCs w:val="16"/>
              </w:rPr>
              <w:t>Grade 4</w:t>
            </w:r>
          </w:p>
        </w:tc>
        <w:tc>
          <w:tcPr>
            <w:tcW w:w="759" w:type="pct"/>
            <w:shd w:val="clear" w:color="auto" w:fill="auto"/>
            <w:vAlign w:val="center"/>
          </w:tcPr>
          <w:p w14:paraId="5B4F37F7" w14:textId="0586B65B" w:rsidR="00B67FCE" w:rsidRPr="00781112" w:rsidRDefault="00B67FCE" w:rsidP="00D13592">
            <w:pPr>
              <w:jc w:val="center"/>
              <w:rPr>
                <w:rFonts w:cs="Arial"/>
                <w:color w:val="000000" w:themeColor="text1"/>
                <w:szCs w:val="16"/>
              </w:rPr>
            </w:pPr>
            <w:r w:rsidRPr="00781112">
              <w:rPr>
                <w:rFonts w:cs="Arial"/>
                <w:color w:val="000000" w:themeColor="text1"/>
                <w:szCs w:val="16"/>
              </w:rPr>
              <w:t>27.69%</w:t>
            </w:r>
          </w:p>
        </w:tc>
        <w:tc>
          <w:tcPr>
            <w:tcW w:w="759" w:type="pct"/>
            <w:vAlign w:val="center"/>
          </w:tcPr>
          <w:p w14:paraId="5BCC413B" w14:textId="09A05E02" w:rsidR="00B67FCE" w:rsidRPr="00781112" w:rsidRDefault="00B67FCE" w:rsidP="00D13592">
            <w:pPr>
              <w:jc w:val="center"/>
              <w:rPr>
                <w:rFonts w:cs="Arial"/>
                <w:color w:val="000000" w:themeColor="text1"/>
                <w:szCs w:val="16"/>
              </w:rPr>
            </w:pPr>
            <w:r w:rsidRPr="00781112">
              <w:rPr>
                <w:rFonts w:cs="Arial"/>
                <w:color w:val="000000" w:themeColor="text1"/>
                <w:szCs w:val="16"/>
              </w:rPr>
              <w:t>28.58%</w:t>
            </w:r>
          </w:p>
        </w:tc>
        <w:tc>
          <w:tcPr>
            <w:tcW w:w="759" w:type="pct"/>
            <w:vAlign w:val="center"/>
          </w:tcPr>
          <w:p w14:paraId="45EF5FCE" w14:textId="00D7D29B" w:rsidR="00B67FCE" w:rsidRPr="00781112" w:rsidRDefault="00B67FCE" w:rsidP="00D13592">
            <w:pPr>
              <w:jc w:val="center"/>
              <w:rPr>
                <w:rFonts w:cs="Arial"/>
                <w:color w:val="000000" w:themeColor="text1"/>
                <w:szCs w:val="16"/>
              </w:rPr>
            </w:pPr>
            <w:r w:rsidRPr="00781112">
              <w:rPr>
                <w:rFonts w:cs="Arial"/>
                <w:color w:val="000000" w:themeColor="text1"/>
                <w:szCs w:val="16"/>
              </w:rPr>
              <w:t>29.46%</w:t>
            </w:r>
          </w:p>
        </w:tc>
        <w:tc>
          <w:tcPr>
            <w:tcW w:w="759" w:type="pct"/>
            <w:vAlign w:val="center"/>
          </w:tcPr>
          <w:p w14:paraId="68AE213E" w14:textId="4ECF4085" w:rsidR="00B67FCE" w:rsidRPr="00781112" w:rsidRDefault="00B67FCE" w:rsidP="00D13592">
            <w:pPr>
              <w:jc w:val="center"/>
              <w:rPr>
                <w:rFonts w:cs="Arial"/>
                <w:color w:val="000000" w:themeColor="text1"/>
                <w:szCs w:val="16"/>
              </w:rPr>
            </w:pPr>
            <w:r w:rsidRPr="00781112">
              <w:rPr>
                <w:rFonts w:cs="Arial"/>
                <w:color w:val="000000" w:themeColor="text1"/>
                <w:szCs w:val="16"/>
              </w:rPr>
              <w:t>30.34%</w:t>
            </w:r>
          </w:p>
        </w:tc>
      </w:tr>
      <w:tr w:rsidR="00B67FCE" w:rsidRPr="00781112" w14:paraId="6A0B25C6" w14:textId="3CA923D5" w:rsidTr="00845B9B">
        <w:tc>
          <w:tcPr>
            <w:tcW w:w="491" w:type="pct"/>
            <w:shd w:val="clear" w:color="auto" w:fill="auto"/>
            <w:vAlign w:val="center"/>
          </w:tcPr>
          <w:p w14:paraId="7A201508" w14:textId="57E216ED" w:rsidR="00B67FCE" w:rsidRPr="00781112" w:rsidRDefault="00B67FCE" w:rsidP="00D13592">
            <w:pPr>
              <w:spacing w:before="0" w:after="0"/>
              <w:jc w:val="center"/>
              <w:rPr>
                <w:rFonts w:cs="Arial"/>
                <w:color w:val="000000" w:themeColor="text1"/>
                <w:szCs w:val="16"/>
              </w:rPr>
            </w:pPr>
            <w:r w:rsidRPr="00781112">
              <w:rPr>
                <w:rFonts w:cs="Arial"/>
                <w:color w:val="000000" w:themeColor="text1"/>
                <w:szCs w:val="16"/>
              </w:rPr>
              <w:t>Math</w:t>
            </w:r>
          </w:p>
        </w:tc>
        <w:tc>
          <w:tcPr>
            <w:tcW w:w="421" w:type="pct"/>
            <w:shd w:val="clear" w:color="auto" w:fill="auto"/>
            <w:vAlign w:val="center"/>
          </w:tcPr>
          <w:p w14:paraId="3BD3C679" w14:textId="4834DDCE" w:rsidR="00B67FCE" w:rsidRPr="00781112" w:rsidRDefault="00B67FCE" w:rsidP="00D13592">
            <w:pPr>
              <w:spacing w:before="0" w:after="0"/>
              <w:jc w:val="center"/>
              <w:rPr>
                <w:rFonts w:cs="Arial"/>
                <w:color w:val="000000" w:themeColor="text1"/>
                <w:szCs w:val="16"/>
              </w:rPr>
            </w:pPr>
            <w:r w:rsidRPr="00781112">
              <w:rPr>
                <w:rFonts w:cs="Arial"/>
                <w:color w:val="000000" w:themeColor="text1"/>
                <w:szCs w:val="16"/>
              </w:rPr>
              <w:t>B &gt;=</w:t>
            </w:r>
          </w:p>
        </w:tc>
        <w:tc>
          <w:tcPr>
            <w:tcW w:w="1051" w:type="pct"/>
            <w:shd w:val="clear" w:color="auto" w:fill="auto"/>
            <w:vAlign w:val="center"/>
          </w:tcPr>
          <w:p w14:paraId="75E8E6D8" w14:textId="7D040B60" w:rsidR="00B67FCE" w:rsidRPr="00781112" w:rsidDel="00DE5045" w:rsidRDefault="00B67FCE" w:rsidP="00D13592">
            <w:pPr>
              <w:jc w:val="center"/>
              <w:rPr>
                <w:rFonts w:cs="Arial"/>
                <w:color w:val="000000" w:themeColor="text1"/>
                <w:szCs w:val="16"/>
              </w:rPr>
            </w:pPr>
            <w:r w:rsidRPr="00781112">
              <w:rPr>
                <w:rFonts w:cs="Arial"/>
                <w:color w:val="000000" w:themeColor="text1"/>
                <w:szCs w:val="16"/>
              </w:rPr>
              <w:t>Grade 8</w:t>
            </w:r>
          </w:p>
        </w:tc>
        <w:tc>
          <w:tcPr>
            <w:tcW w:w="759" w:type="pct"/>
            <w:shd w:val="clear" w:color="auto" w:fill="auto"/>
            <w:vAlign w:val="center"/>
          </w:tcPr>
          <w:p w14:paraId="4671DF75" w14:textId="2CD78B1B" w:rsidR="00B67FCE" w:rsidRPr="00781112" w:rsidRDefault="00B67FCE" w:rsidP="00D13592">
            <w:pPr>
              <w:jc w:val="center"/>
              <w:rPr>
                <w:rFonts w:cs="Arial"/>
                <w:color w:val="000000" w:themeColor="text1"/>
                <w:szCs w:val="16"/>
              </w:rPr>
            </w:pPr>
            <w:r w:rsidRPr="00781112">
              <w:rPr>
                <w:rFonts w:cs="Arial"/>
                <w:color w:val="000000" w:themeColor="text1"/>
                <w:szCs w:val="16"/>
              </w:rPr>
              <w:t>11.77%</w:t>
            </w:r>
          </w:p>
        </w:tc>
        <w:tc>
          <w:tcPr>
            <w:tcW w:w="759" w:type="pct"/>
            <w:vAlign w:val="center"/>
          </w:tcPr>
          <w:p w14:paraId="0BF63C58" w14:textId="72F24C80" w:rsidR="00B67FCE" w:rsidRPr="00781112" w:rsidRDefault="00B67FCE" w:rsidP="00D13592">
            <w:pPr>
              <w:jc w:val="center"/>
              <w:rPr>
                <w:rFonts w:cs="Arial"/>
                <w:color w:val="000000" w:themeColor="text1"/>
                <w:szCs w:val="16"/>
              </w:rPr>
            </w:pPr>
            <w:r w:rsidRPr="00781112">
              <w:rPr>
                <w:rFonts w:cs="Arial"/>
                <w:color w:val="000000" w:themeColor="text1"/>
                <w:szCs w:val="16"/>
              </w:rPr>
              <w:t>13.32%</w:t>
            </w:r>
          </w:p>
        </w:tc>
        <w:tc>
          <w:tcPr>
            <w:tcW w:w="759" w:type="pct"/>
            <w:vAlign w:val="center"/>
          </w:tcPr>
          <w:p w14:paraId="0075BBBD" w14:textId="7AFABF25" w:rsidR="00B67FCE" w:rsidRPr="00781112" w:rsidRDefault="00B67FCE" w:rsidP="00D13592">
            <w:pPr>
              <w:jc w:val="center"/>
              <w:rPr>
                <w:rFonts w:cs="Arial"/>
                <w:color w:val="000000" w:themeColor="text1"/>
                <w:szCs w:val="16"/>
              </w:rPr>
            </w:pPr>
            <w:r w:rsidRPr="00781112">
              <w:rPr>
                <w:rFonts w:cs="Arial"/>
                <w:color w:val="000000" w:themeColor="text1"/>
                <w:szCs w:val="16"/>
              </w:rPr>
              <w:t>14.86%</w:t>
            </w:r>
          </w:p>
        </w:tc>
        <w:tc>
          <w:tcPr>
            <w:tcW w:w="759" w:type="pct"/>
            <w:vAlign w:val="center"/>
          </w:tcPr>
          <w:p w14:paraId="0162408E" w14:textId="763A5CFC" w:rsidR="00B67FCE" w:rsidRPr="00781112" w:rsidRDefault="00B67FCE" w:rsidP="00D13592">
            <w:pPr>
              <w:jc w:val="center"/>
              <w:rPr>
                <w:rFonts w:cs="Arial"/>
                <w:color w:val="000000" w:themeColor="text1"/>
                <w:szCs w:val="16"/>
              </w:rPr>
            </w:pPr>
            <w:r w:rsidRPr="00781112">
              <w:rPr>
                <w:rFonts w:cs="Arial"/>
                <w:color w:val="000000" w:themeColor="text1"/>
                <w:szCs w:val="16"/>
              </w:rPr>
              <w:t>16.41%</w:t>
            </w:r>
          </w:p>
        </w:tc>
      </w:tr>
      <w:tr w:rsidR="00B67FCE" w:rsidRPr="00781112" w14:paraId="72653908" w14:textId="04D938F0" w:rsidTr="00845B9B">
        <w:tc>
          <w:tcPr>
            <w:tcW w:w="491" w:type="pct"/>
            <w:shd w:val="clear" w:color="auto" w:fill="auto"/>
            <w:vAlign w:val="center"/>
          </w:tcPr>
          <w:p w14:paraId="48B507DA" w14:textId="179672F1" w:rsidR="00B67FCE" w:rsidRPr="00781112" w:rsidRDefault="00B67FCE" w:rsidP="00D13592">
            <w:pPr>
              <w:spacing w:before="0" w:after="0"/>
              <w:jc w:val="center"/>
              <w:rPr>
                <w:rFonts w:cs="Arial"/>
                <w:color w:val="000000" w:themeColor="text1"/>
                <w:szCs w:val="16"/>
              </w:rPr>
            </w:pPr>
            <w:r w:rsidRPr="00781112">
              <w:rPr>
                <w:rFonts w:cs="Arial"/>
                <w:color w:val="000000" w:themeColor="text1"/>
                <w:szCs w:val="16"/>
              </w:rPr>
              <w:t>Math</w:t>
            </w:r>
          </w:p>
        </w:tc>
        <w:tc>
          <w:tcPr>
            <w:tcW w:w="421" w:type="pct"/>
            <w:shd w:val="clear" w:color="auto" w:fill="auto"/>
            <w:vAlign w:val="center"/>
          </w:tcPr>
          <w:p w14:paraId="63FB17C0" w14:textId="2F2DF4DD" w:rsidR="00B67FCE" w:rsidRPr="00781112" w:rsidRDefault="00B67FCE" w:rsidP="00D13592">
            <w:pPr>
              <w:spacing w:before="0" w:after="0"/>
              <w:jc w:val="center"/>
              <w:rPr>
                <w:rFonts w:cs="Arial"/>
                <w:color w:val="000000" w:themeColor="text1"/>
                <w:szCs w:val="16"/>
              </w:rPr>
            </w:pPr>
            <w:r w:rsidRPr="00781112">
              <w:rPr>
                <w:rFonts w:cs="Arial"/>
                <w:color w:val="000000" w:themeColor="text1"/>
                <w:szCs w:val="16"/>
              </w:rPr>
              <w:t>C &gt;=</w:t>
            </w:r>
          </w:p>
        </w:tc>
        <w:tc>
          <w:tcPr>
            <w:tcW w:w="1051" w:type="pct"/>
            <w:shd w:val="clear" w:color="auto" w:fill="auto"/>
            <w:vAlign w:val="center"/>
          </w:tcPr>
          <w:p w14:paraId="54F8A2F9" w14:textId="5C3A3F72" w:rsidR="00B67FCE" w:rsidRPr="00781112" w:rsidDel="00DE5045" w:rsidRDefault="00B67FCE" w:rsidP="00D13592">
            <w:pPr>
              <w:jc w:val="center"/>
              <w:rPr>
                <w:rFonts w:cs="Arial"/>
                <w:color w:val="000000" w:themeColor="text1"/>
                <w:szCs w:val="16"/>
              </w:rPr>
            </w:pPr>
            <w:r w:rsidRPr="00781112">
              <w:rPr>
                <w:rFonts w:cs="Arial"/>
                <w:color w:val="000000" w:themeColor="text1"/>
                <w:szCs w:val="16"/>
              </w:rPr>
              <w:t>Grade HS</w:t>
            </w:r>
          </w:p>
        </w:tc>
        <w:tc>
          <w:tcPr>
            <w:tcW w:w="759" w:type="pct"/>
            <w:shd w:val="clear" w:color="auto" w:fill="auto"/>
            <w:vAlign w:val="center"/>
          </w:tcPr>
          <w:p w14:paraId="32CB0D9F" w14:textId="65605481" w:rsidR="00B67FCE" w:rsidRPr="00781112" w:rsidRDefault="00B67FCE" w:rsidP="00D13592">
            <w:pPr>
              <w:jc w:val="center"/>
              <w:rPr>
                <w:rFonts w:cs="Arial"/>
                <w:color w:val="000000" w:themeColor="text1"/>
                <w:szCs w:val="16"/>
              </w:rPr>
            </w:pPr>
            <w:r w:rsidRPr="00781112">
              <w:rPr>
                <w:rFonts w:cs="Arial"/>
                <w:color w:val="000000" w:themeColor="text1"/>
                <w:szCs w:val="16"/>
              </w:rPr>
              <w:t>6.29%</w:t>
            </w:r>
          </w:p>
        </w:tc>
        <w:tc>
          <w:tcPr>
            <w:tcW w:w="759" w:type="pct"/>
            <w:vAlign w:val="center"/>
          </w:tcPr>
          <w:p w14:paraId="72012D7E" w14:textId="10B8E7BA" w:rsidR="00B67FCE" w:rsidRPr="00781112" w:rsidRDefault="00B67FCE" w:rsidP="00D13592">
            <w:pPr>
              <w:jc w:val="center"/>
              <w:rPr>
                <w:rFonts w:cs="Arial"/>
                <w:color w:val="000000" w:themeColor="text1"/>
                <w:szCs w:val="16"/>
              </w:rPr>
            </w:pPr>
            <w:r w:rsidRPr="00781112">
              <w:rPr>
                <w:rFonts w:cs="Arial"/>
                <w:color w:val="000000" w:themeColor="text1"/>
                <w:szCs w:val="16"/>
              </w:rPr>
              <w:t>6.86%</w:t>
            </w:r>
          </w:p>
        </w:tc>
        <w:tc>
          <w:tcPr>
            <w:tcW w:w="759" w:type="pct"/>
            <w:vAlign w:val="center"/>
          </w:tcPr>
          <w:p w14:paraId="323B3F79" w14:textId="5FA94A39" w:rsidR="00B67FCE" w:rsidRPr="00781112" w:rsidRDefault="00B67FCE" w:rsidP="00D13592">
            <w:pPr>
              <w:jc w:val="center"/>
              <w:rPr>
                <w:rFonts w:cs="Arial"/>
                <w:color w:val="000000" w:themeColor="text1"/>
                <w:szCs w:val="16"/>
              </w:rPr>
            </w:pPr>
            <w:r w:rsidRPr="00781112">
              <w:rPr>
                <w:rFonts w:cs="Arial"/>
                <w:color w:val="000000" w:themeColor="text1"/>
                <w:szCs w:val="16"/>
              </w:rPr>
              <w:t>7.44%</w:t>
            </w:r>
          </w:p>
        </w:tc>
        <w:tc>
          <w:tcPr>
            <w:tcW w:w="759" w:type="pct"/>
            <w:vAlign w:val="center"/>
          </w:tcPr>
          <w:p w14:paraId="4A1DD032" w14:textId="1316ECD4" w:rsidR="00B67FCE" w:rsidRPr="00781112" w:rsidRDefault="00B67FCE" w:rsidP="00D13592">
            <w:pPr>
              <w:jc w:val="center"/>
              <w:rPr>
                <w:rFonts w:cs="Arial"/>
                <w:color w:val="000000" w:themeColor="text1"/>
                <w:szCs w:val="16"/>
              </w:rPr>
            </w:pPr>
            <w:r w:rsidRPr="00781112">
              <w:rPr>
                <w:rFonts w:cs="Arial"/>
                <w:color w:val="000000" w:themeColor="text1"/>
                <w:szCs w:val="16"/>
              </w:rPr>
              <w:t>8.02%</w:t>
            </w:r>
          </w:p>
        </w:tc>
      </w:tr>
    </w:tbl>
    <w:p w14:paraId="113C15D2" w14:textId="77777777" w:rsidR="00140972" w:rsidRDefault="00140972">
      <w:pPr>
        <w:spacing w:before="0" w:after="200" w:line="276" w:lineRule="auto"/>
        <w:rPr>
          <w:b/>
          <w:color w:val="000000" w:themeColor="text1"/>
        </w:rPr>
      </w:pPr>
      <w:r>
        <w:rPr>
          <w:b/>
          <w:color w:val="000000" w:themeColor="text1"/>
        </w:rPr>
        <w:br w:type="page"/>
      </w:r>
    </w:p>
    <w:p w14:paraId="0A08A514" w14:textId="090EA0D1" w:rsidR="002D145D" w:rsidRPr="00781112" w:rsidRDefault="002D145D" w:rsidP="004369B2">
      <w:pPr>
        <w:rPr>
          <w:b/>
          <w:color w:val="000000" w:themeColor="text1"/>
        </w:rPr>
      </w:pPr>
      <w:r w:rsidRPr="00781112">
        <w:rPr>
          <w:b/>
          <w:color w:val="000000" w:themeColor="text1"/>
        </w:rPr>
        <w:lastRenderedPageBreak/>
        <w:t xml:space="preserve">Targets: Description of Stakeholder Input </w:t>
      </w:r>
    </w:p>
    <w:p w14:paraId="2261CE05" w14:textId="31E113F2" w:rsidR="002D145D" w:rsidRPr="00781112" w:rsidRDefault="002B7490" w:rsidP="002D145D">
      <w:pPr>
        <w:rPr>
          <w:rFonts w:cs="Arial"/>
          <w:color w:val="000000" w:themeColor="text1"/>
          <w:szCs w:val="16"/>
        </w:rPr>
      </w:pPr>
      <w:r w:rsidRPr="00781112">
        <w:rPr>
          <w:rFonts w:cs="Arial"/>
          <w:color w:val="000000" w:themeColor="text1"/>
          <w:szCs w:val="16"/>
        </w:rPr>
        <w:t>For FFY 2022, CDE presented, discussed, and solicited feedback on the SPP/APR Indicators with our Colorado Special Education Advisory Committee (CSEAC).</w:t>
      </w:r>
      <w:r w:rsidRPr="00781112">
        <w:rPr>
          <w:rFonts w:cs="Arial"/>
          <w:color w:val="000000" w:themeColor="text1"/>
          <w:szCs w:val="16"/>
        </w:rPr>
        <w:br/>
      </w:r>
      <w:r w:rsidRPr="00781112">
        <w:rPr>
          <w:rFonts w:cs="Arial"/>
          <w:color w:val="000000" w:themeColor="text1"/>
          <w:szCs w:val="16"/>
        </w:rPr>
        <w:br/>
        <w:t>For FFY 2020, the following mechanisms were used to gather broad stakeholder input:</w:t>
      </w:r>
      <w:r w:rsidRPr="00781112">
        <w:rPr>
          <w:rFonts w:cs="Arial"/>
          <w:color w:val="000000" w:themeColor="text1"/>
          <w:szCs w:val="16"/>
        </w:rPr>
        <w:br/>
      </w:r>
      <w:r w:rsidRPr="00781112">
        <w:rPr>
          <w:rFonts w:cs="Arial"/>
          <w:color w:val="000000" w:themeColor="text1"/>
          <w:szCs w:val="16"/>
        </w:rPr>
        <w:br/>
        <w:t>Identified CDE internal stakeholders and content experts for each indicator:</w:t>
      </w:r>
      <w:r w:rsidRPr="00781112">
        <w:rPr>
          <w:rFonts w:cs="Arial"/>
          <w:color w:val="000000" w:themeColor="text1"/>
          <w:szCs w:val="16"/>
        </w:rPr>
        <w:br/>
        <w:t>1. Scheduled meetings for each CDE internal stakeholder indicator team.</w:t>
      </w:r>
      <w:r w:rsidRPr="00781112">
        <w:rPr>
          <w:rFonts w:cs="Arial"/>
          <w:color w:val="000000" w:themeColor="text1"/>
          <w:szCs w:val="16"/>
        </w:rPr>
        <w:br/>
        <w:t>2. Met with each CDE stakeholder team, explain rules and parameters, Colorado history of indicator, past and current improvement strategies, facilitate discussion, and solicit feedback and develop options for each of the SPP/APR targets.</w:t>
      </w:r>
      <w:r w:rsidRPr="00781112">
        <w:rPr>
          <w:rFonts w:cs="Arial"/>
          <w:color w:val="000000" w:themeColor="text1"/>
          <w:szCs w:val="16"/>
        </w:rPr>
        <w:br/>
        <w:t>3. Met with each CDE stakeholder team to facilitate discussion and come to consensus on targets and improvement strategies to present to the external stakeholder groups.</w:t>
      </w:r>
      <w:r w:rsidRPr="00781112">
        <w:rPr>
          <w:rFonts w:cs="Arial"/>
          <w:color w:val="000000" w:themeColor="text1"/>
          <w:szCs w:val="16"/>
        </w:rPr>
        <w:br/>
        <w:t xml:space="preserve">4. Requested and collected improvement strategies for each indicator from each CDE internal stakeholder team. </w:t>
      </w:r>
      <w:r w:rsidRPr="00781112">
        <w:rPr>
          <w:rFonts w:cs="Arial"/>
          <w:color w:val="000000" w:themeColor="text1"/>
          <w:szCs w:val="16"/>
        </w:rPr>
        <w:br/>
      </w:r>
      <w:r w:rsidRPr="00781112">
        <w:rPr>
          <w:rFonts w:cs="Arial"/>
          <w:color w:val="000000" w:themeColor="text1"/>
          <w:szCs w:val="16"/>
        </w:rPr>
        <w:br/>
        <w:t>Built a survey to collect evidence and information from external stakeholder groups and the public to gain feedback on current SPP/APR indicators to collect the following data:</w:t>
      </w:r>
      <w:r w:rsidRPr="00781112">
        <w:rPr>
          <w:rFonts w:cs="Arial"/>
          <w:color w:val="000000" w:themeColor="text1"/>
          <w:szCs w:val="16"/>
        </w:rPr>
        <w:br/>
        <w:t xml:space="preserve">1. Are targets too high, too low, </w:t>
      </w:r>
      <w:proofErr w:type="gramStart"/>
      <w:r w:rsidRPr="00781112">
        <w:rPr>
          <w:rFonts w:cs="Arial"/>
          <w:color w:val="000000" w:themeColor="text1"/>
          <w:szCs w:val="16"/>
        </w:rPr>
        <w:t>just</w:t>
      </w:r>
      <w:proofErr w:type="gramEnd"/>
      <w:r w:rsidRPr="00781112">
        <w:rPr>
          <w:rFonts w:cs="Arial"/>
          <w:color w:val="000000" w:themeColor="text1"/>
          <w:szCs w:val="16"/>
        </w:rPr>
        <w:t xml:space="preserve"> right?</w:t>
      </w:r>
      <w:r w:rsidRPr="00781112">
        <w:rPr>
          <w:rFonts w:cs="Arial"/>
          <w:color w:val="000000" w:themeColor="text1"/>
          <w:szCs w:val="16"/>
        </w:rPr>
        <w:br/>
        <w:t>2. If the proposed improvement strategies are reasonably calculated to help Colorado reach the proposed targets?</w:t>
      </w:r>
      <w:r w:rsidRPr="00781112">
        <w:rPr>
          <w:rFonts w:cs="Arial"/>
          <w:color w:val="000000" w:themeColor="text1"/>
          <w:szCs w:val="16"/>
        </w:rPr>
        <w:br/>
        <w:t>3. Is the proposed choice of demographic category to be analyzed for representation an appropriate selection?</w:t>
      </w:r>
      <w:r w:rsidRPr="00781112">
        <w:rPr>
          <w:rFonts w:cs="Arial"/>
          <w:color w:val="000000" w:themeColor="text1"/>
          <w:szCs w:val="16"/>
        </w:rPr>
        <w:br/>
      </w:r>
      <w:r w:rsidRPr="00781112">
        <w:rPr>
          <w:rFonts w:cs="Arial"/>
          <w:color w:val="000000" w:themeColor="text1"/>
          <w:szCs w:val="16"/>
        </w:rPr>
        <w:br/>
        <w:t>Built a web page to include:</w:t>
      </w:r>
      <w:r w:rsidRPr="00781112">
        <w:rPr>
          <w:rFonts w:cs="Arial"/>
          <w:color w:val="000000" w:themeColor="text1"/>
          <w:szCs w:val="16"/>
        </w:rPr>
        <w:br/>
        <w:t>1. basic information regarding the SPP/APR and the 6-year target resetting process.</w:t>
      </w:r>
      <w:r w:rsidRPr="00781112">
        <w:rPr>
          <w:rFonts w:cs="Arial"/>
          <w:color w:val="000000" w:themeColor="text1"/>
          <w:szCs w:val="16"/>
        </w:rPr>
        <w:br/>
        <w:t>2. asyncronys access to a series of webinars explaining each of the SPP/APR indicators, proposed targets, and improvement strategies.</w:t>
      </w:r>
      <w:r w:rsidRPr="00781112">
        <w:rPr>
          <w:rFonts w:cs="Arial"/>
          <w:color w:val="000000" w:themeColor="text1"/>
          <w:szCs w:val="16"/>
        </w:rPr>
        <w:br/>
        <w:t>3. a link to an indicator survey to gather information from the public during the comment period. This survey was designed to solicit the following information: (a) Are the proposed targets too high, too low, or appropriate? (b) Are the proposed improvement strategies reasonably calculated to help Colorado reach the proposed targets? (c) Is the proposed demographic group to be analyzed for representation an appropriate selection?</w:t>
      </w:r>
      <w:r w:rsidRPr="00781112">
        <w:rPr>
          <w:rFonts w:cs="Arial"/>
          <w:color w:val="000000" w:themeColor="text1"/>
          <w:szCs w:val="16"/>
        </w:rPr>
        <w:br/>
      </w:r>
      <w:r w:rsidRPr="00781112">
        <w:rPr>
          <w:rFonts w:cs="Arial"/>
          <w:color w:val="000000" w:themeColor="text1"/>
          <w:szCs w:val="16"/>
        </w:rPr>
        <w:br/>
        <w:t>Presented and requested input on agreed on targets and improvement strategies to the following indicator specific advisory councils: Preschool School Special Education Advisory Committee (PSSEAC), and the Secondary Transition Task Force Advisory Committee. Review and incorporate feedback into the final draft of the new targets and share proposed version with ESSU Executive Director for approval.</w:t>
      </w:r>
      <w:r w:rsidRPr="00781112">
        <w:rPr>
          <w:rFonts w:cs="Arial"/>
          <w:color w:val="000000" w:themeColor="text1"/>
          <w:szCs w:val="16"/>
        </w:rPr>
        <w:br/>
        <w:t>Presented proposed targets and gathered additional feedback to the following State advisory groups and advocacy groups: Colorado Special Education Advisory Committee (CSEAC) and Parent Partnerships for Equity Advisory Committee, The Arc of Colorado, PEAK Parent Center, and Disability Law Colorado.</w:t>
      </w:r>
      <w:r w:rsidRPr="00781112">
        <w:rPr>
          <w:rFonts w:cs="Arial"/>
          <w:color w:val="000000" w:themeColor="text1"/>
          <w:szCs w:val="16"/>
        </w:rPr>
        <w:br/>
        <w:t>Presented proposed targets for all indicators to Colorado LEA Special Education Directors.</w:t>
      </w:r>
      <w:r w:rsidRPr="00781112">
        <w:rPr>
          <w:rFonts w:cs="Arial"/>
          <w:color w:val="000000" w:themeColor="text1"/>
          <w:szCs w:val="16"/>
        </w:rPr>
        <w:br/>
        <w:t>Held a 2-month public comment period to solicit public comments through a broad CDE-wide communication plan made up of a dedicated webpage with short videos and surveys for each indicator, CDE Facebook page, CDE Twitter Account, a CDE webpage news story, CDE’s Weekly Newsletter, and notifications to our parent advocacy agencies.</w:t>
      </w:r>
      <w:r w:rsidRPr="00781112">
        <w:rPr>
          <w:rFonts w:cs="Arial"/>
          <w:color w:val="000000" w:themeColor="text1"/>
          <w:szCs w:val="16"/>
        </w:rPr>
        <w:br/>
        <w:t xml:space="preserve"> </w:t>
      </w:r>
      <w:r w:rsidRPr="00781112">
        <w:rPr>
          <w:rFonts w:cs="Arial"/>
          <w:color w:val="000000" w:themeColor="text1"/>
          <w:szCs w:val="16"/>
        </w:rPr>
        <w:br/>
        <w:t>Reviewed and considered public comments received through the indicator survey mechanism, finalize all targets with ESSU Executive Director, and published targets on CDE webpage.</w:t>
      </w:r>
    </w:p>
    <w:p w14:paraId="4A15E54A" w14:textId="77777777" w:rsidR="00B8751C" w:rsidRPr="00781112" w:rsidRDefault="00B8751C">
      <w:pPr>
        <w:rPr>
          <w:b/>
          <w:color w:val="000000" w:themeColor="text1"/>
        </w:rPr>
      </w:pPr>
    </w:p>
    <w:p w14:paraId="01651096" w14:textId="226AAF4C" w:rsidR="000A5A2E" w:rsidRPr="00781112" w:rsidRDefault="00FA33C9">
      <w:pPr>
        <w:rPr>
          <w:b/>
          <w:color w:val="000000" w:themeColor="text1"/>
        </w:rPr>
      </w:pPr>
      <w:r>
        <w:rPr>
          <w:b/>
          <w:color w:val="000000" w:themeColor="text1"/>
        </w:rPr>
        <w:t>FFY 2022 Data Disaggregation from ED</w:t>
      </w:r>
      <w:r w:rsidRPr="00BA3DBE">
        <w:rPr>
          <w:b/>
          <w:i/>
          <w:iCs/>
          <w:color w:val="000000" w:themeColor="text1"/>
        </w:rPr>
        <w:t>Facts</w:t>
      </w:r>
    </w:p>
    <w:p w14:paraId="42AECFE6" w14:textId="77777777" w:rsidR="00F41DFF" w:rsidRPr="00781112" w:rsidRDefault="00A10323" w:rsidP="00286BDF">
      <w:pPr>
        <w:rPr>
          <w:rFonts w:cs="Arial"/>
          <w:b/>
          <w:color w:val="000000" w:themeColor="text1"/>
          <w:szCs w:val="16"/>
        </w:rPr>
      </w:pPr>
      <w:r w:rsidRPr="00781112">
        <w:rPr>
          <w:rFonts w:cs="Arial"/>
          <w:b/>
          <w:color w:val="000000" w:themeColor="text1"/>
          <w:szCs w:val="16"/>
        </w:rPr>
        <w:t xml:space="preserve">Data Source: </w:t>
      </w:r>
    </w:p>
    <w:p w14:paraId="4E62FCFE" w14:textId="0B9900E2" w:rsidR="00A10323" w:rsidRPr="00781112" w:rsidRDefault="002B7490" w:rsidP="00286BDF">
      <w:pPr>
        <w:rPr>
          <w:rFonts w:cs="Arial"/>
          <w:color w:val="000000" w:themeColor="text1"/>
          <w:szCs w:val="16"/>
        </w:rPr>
      </w:pPr>
      <w:r w:rsidRPr="00781112">
        <w:rPr>
          <w:rFonts w:cs="Arial"/>
          <w:color w:val="000000" w:themeColor="text1"/>
          <w:szCs w:val="16"/>
        </w:rPr>
        <w:t>SY 2022-23 Assessment Data Groups - Reading (EDFacts file spec FS178; Data Group: 584)</w:t>
      </w:r>
    </w:p>
    <w:p w14:paraId="5E404A07" w14:textId="77777777" w:rsidR="00F41DFF" w:rsidRPr="00781112" w:rsidRDefault="00A10323" w:rsidP="00286BDF">
      <w:pPr>
        <w:rPr>
          <w:rFonts w:cs="Arial"/>
          <w:b/>
          <w:color w:val="000000" w:themeColor="text1"/>
          <w:szCs w:val="16"/>
        </w:rPr>
      </w:pPr>
      <w:r w:rsidRPr="00781112">
        <w:rPr>
          <w:rFonts w:cs="Arial"/>
          <w:b/>
          <w:color w:val="000000" w:themeColor="text1"/>
          <w:szCs w:val="16"/>
        </w:rPr>
        <w:t xml:space="preserve">Date: </w:t>
      </w:r>
    </w:p>
    <w:p w14:paraId="46908A6B" w14:textId="07C3945A" w:rsidR="00A10323" w:rsidRPr="00781112" w:rsidRDefault="002B7490" w:rsidP="00286BDF">
      <w:pPr>
        <w:rPr>
          <w:rFonts w:cs="Arial"/>
          <w:color w:val="000000" w:themeColor="text1"/>
          <w:szCs w:val="16"/>
        </w:rPr>
      </w:pPr>
      <w:r w:rsidRPr="00781112">
        <w:rPr>
          <w:rFonts w:cs="Arial"/>
          <w:color w:val="000000" w:themeColor="text1"/>
          <w:szCs w:val="16"/>
        </w:rPr>
        <w:t>01/10/2024</w:t>
      </w:r>
    </w:p>
    <w:p w14:paraId="7A786FF9" w14:textId="77777777" w:rsidR="00A63347" w:rsidRPr="00781112" w:rsidRDefault="00A63347">
      <w:pPr>
        <w:rPr>
          <w:b/>
          <w:color w:val="000000" w:themeColor="text1"/>
        </w:rPr>
      </w:pPr>
    </w:p>
    <w:p w14:paraId="603FD8CB" w14:textId="05C9185C" w:rsidR="00162F4A" w:rsidRPr="00781112" w:rsidRDefault="00162F4A">
      <w:pPr>
        <w:rPr>
          <w:b/>
          <w:color w:val="000000" w:themeColor="text1"/>
        </w:rPr>
      </w:pPr>
      <w:r w:rsidRPr="00781112">
        <w:rPr>
          <w:b/>
          <w:color w:val="000000" w:themeColor="text1"/>
        </w:rPr>
        <w:t>Reading Assessment Proficiency Data by Grade</w:t>
      </w:r>
    </w:p>
    <w:tbl>
      <w:tblPr>
        <w:tblStyle w:val="TableGrid"/>
        <w:tblW w:w="10795" w:type="dxa"/>
        <w:tblLayout w:type="fixed"/>
        <w:tblLook w:val="04A0" w:firstRow="1" w:lastRow="0" w:firstColumn="1" w:lastColumn="0" w:noHBand="0" w:noVBand="1"/>
        <w:tblCaption w:val="B03CASSPARTDATABYGRDRLA"/>
      </w:tblPr>
      <w:tblGrid>
        <w:gridCol w:w="2695"/>
        <w:gridCol w:w="2700"/>
        <w:gridCol w:w="2700"/>
        <w:gridCol w:w="2700"/>
      </w:tblGrid>
      <w:tr w:rsidR="003403B4" w:rsidRPr="00781112" w14:paraId="428FB0F7" w14:textId="08DAAE1B" w:rsidTr="00E95FBF">
        <w:tc>
          <w:tcPr>
            <w:tcW w:w="2695" w:type="dxa"/>
            <w:shd w:val="clear" w:color="auto" w:fill="auto"/>
          </w:tcPr>
          <w:p w14:paraId="3C2A5B11" w14:textId="73EE4867" w:rsidR="003403B4" w:rsidRPr="00781112" w:rsidRDefault="00835EAD" w:rsidP="003403B4">
            <w:pPr>
              <w:jc w:val="center"/>
              <w:rPr>
                <w:b/>
                <w:color w:val="000000" w:themeColor="text1"/>
              </w:rPr>
            </w:pPr>
            <w:r w:rsidRPr="00781112">
              <w:rPr>
                <w:rFonts w:cs="Arial"/>
                <w:b/>
                <w:bCs/>
                <w:color w:val="000000" w:themeColor="text1"/>
                <w:szCs w:val="16"/>
              </w:rPr>
              <w:t>Group</w:t>
            </w:r>
          </w:p>
        </w:tc>
        <w:tc>
          <w:tcPr>
            <w:tcW w:w="2700" w:type="dxa"/>
            <w:shd w:val="clear" w:color="auto" w:fill="auto"/>
            <w:vAlign w:val="center"/>
          </w:tcPr>
          <w:p w14:paraId="3FF46CFF" w14:textId="175C9EF7" w:rsidR="003403B4" w:rsidRPr="00781112" w:rsidRDefault="003403B4" w:rsidP="00196CE6">
            <w:pPr>
              <w:jc w:val="center"/>
              <w:rPr>
                <w:b/>
                <w:color w:val="000000" w:themeColor="text1"/>
              </w:rPr>
            </w:pPr>
            <w:r w:rsidRPr="00781112">
              <w:rPr>
                <w:rFonts w:cs="Arial"/>
                <w:b/>
                <w:bCs/>
                <w:color w:val="000000" w:themeColor="text1"/>
                <w:szCs w:val="16"/>
              </w:rPr>
              <w:t>Grade 4</w:t>
            </w:r>
          </w:p>
        </w:tc>
        <w:tc>
          <w:tcPr>
            <w:tcW w:w="2700" w:type="dxa"/>
            <w:shd w:val="clear" w:color="auto" w:fill="auto"/>
            <w:vAlign w:val="center"/>
          </w:tcPr>
          <w:p w14:paraId="1F0659F7" w14:textId="574B33D5" w:rsidR="003403B4" w:rsidRPr="00781112" w:rsidRDefault="003403B4" w:rsidP="00315E88">
            <w:pPr>
              <w:jc w:val="center"/>
              <w:rPr>
                <w:b/>
                <w:color w:val="000000" w:themeColor="text1"/>
              </w:rPr>
            </w:pPr>
            <w:r w:rsidRPr="00781112">
              <w:rPr>
                <w:rFonts w:cs="Arial"/>
                <w:b/>
                <w:bCs/>
                <w:color w:val="000000" w:themeColor="text1"/>
                <w:szCs w:val="16"/>
              </w:rPr>
              <w:t>Grade 8</w:t>
            </w:r>
          </w:p>
        </w:tc>
        <w:tc>
          <w:tcPr>
            <w:tcW w:w="2700" w:type="dxa"/>
            <w:shd w:val="clear" w:color="auto" w:fill="auto"/>
            <w:vAlign w:val="center"/>
          </w:tcPr>
          <w:p w14:paraId="51B61EB6" w14:textId="7B1064DE" w:rsidR="003403B4" w:rsidRPr="00781112" w:rsidRDefault="003403B4" w:rsidP="00E14CF0">
            <w:pPr>
              <w:jc w:val="center"/>
              <w:rPr>
                <w:b/>
                <w:color w:val="000000" w:themeColor="text1"/>
              </w:rPr>
            </w:pPr>
            <w:r w:rsidRPr="00781112">
              <w:rPr>
                <w:rFonts w:cs="Arial"/>
                <w:b/>
                <w:bCs/>
                <w:color w:val="000000" w:themeColor="text1"/>
                <w:szCs w:val="16"/>
              </w:rPr>
              <w:t>Grade HS</w:t>
            </w:r>
          </w:p>
        </w:tc>
      </w:tr>
      <w:tr w:rsidR="005A486A" w:rsidRPr="00781112" w14:paraId="15C4E2F5" w14:textId="23A18F5A" w:rsidTr="00E95FBF">
        <w:tc>
          <w:tcPr>
            <w:tcW w:w="2695" w:type="dxa"/>
            <w:shd w:val="clear" w:color="auto" w:fill="auto"/>
          </w:tcPr>
          <w:p w14:paraId="1D84B931" w14:textId="3EFA8778" w:rsidR="005A486A" w:rsidRPr="00781112" w:rsidRDefault="005A486A" w:rsidP="005A486A">
            <w:pPr>
              <w:rPr>
                <w:b/>
                <w:color w:val="000000" w:themeColor="text1"/>
              </w:rPr>
            </w:pPr>
            <w:r w:rsidRPr="00781112">
              <w:rPr>
                <w:rFonts w:cs="Arial"/>
                <w:szCs w:val="16"/>
                <w:shd w:val="clear" w:color="auto" w:fill="FFFFFF"/>
              </w:rPr>
              <w:t xml:space="preserve">a. Children with IEPs who received a valid score and a proficiency level was assigned </w:t>
            </w:r>
            <w:r w:rsidRPr="0075451F">
              <w:rPr>
                <w:rFonts w:cs="Arial"/>
                <w:szCs w:val="16"/>
              </w:rPr>
              <w:t>for the alternate assessment</w:t>
            </w:r>
          </w:p>
        </w:tc>
        <w:tc>
          <w:tcPr>
            <w:tcW w:w="2700" w:type="dxa"/>
            <w:shd w:val="clear" w:color="auto" w:fill="auto"/>
            <w:vAlign w:val="center"/>
          </w:tcPr>
          <w:p w14:paraId="07C14EE4" w14:textId="28486B47" w:rsidR="005A486A" w:rsidRPr="00781112" w:rsidRDefault="005A486A" w:rsidP="00360DD6">
            <w:pPr>
              <w:jc w:val="center"/>
              <w:rPr>
                <w:b/>
                <w:color w:val="000000" w:themeColor="text1"/>
              </w:rPr>
            </w:pPr>
            <w:r w:rsidRPr="00781112">
              <w:rPr>
                <w:color w:val="000000" w:themeColor="text1"/>
              </w:rPr>
              <w:t>475</w:t>
            </w:r>
          </w:p>
        </w:tc>
        <w:tc>
          <w:tcPr>
            <w:tcW w:w="2700" w:type="dxa"/>
            <w:shd w:val="clear" w:color="auto" w:fill="auto"/>
            <w:vAlign w:val="center"/>
          </w:tcPr>
          <w:p w14:paraId="1DFC3C40" w14:textId="5833F145" w:rsidR="005A486A" w:rsidRPr="00781112" w:rsidRDefault="005A486A" w:rsidP="00360DD6">
            <w:pPr>
              <w:jc w:val="center"/>
              <w:rPr>
                <w:b/>
                <w:color w:val="000000" w:themeColor="text1"/>
              </w:rPr>
            </w:pPr>
            <w:r w:rsidRPr="00781112">
              <w:rPr>
                <w:color w:val="000000" w:themeColor="text1"/>
              </w:rPr>
              <w:t>497</w:t>
            </w:r>
          </w:p>
        </w:tc>
        <w:tc>
          <w:tcPr>
            <w:tcW w:w="2700" w:type="dxa"/>
            <w:shd w:val="clear" w:color="auto" w:fill="auto"/>
            <w:vAlign w:val="center"/>
          </w:tcPr>
          <w:p w14:paraId="70A0184C" w14:textId="4D57349B" w:rsidR="005A486A" w:rsidRPr="00781112" w:rsidRDefault="005A486A" w:rsidP="00360DD6">
            <w:pPr>
              <w:jc w:val="center"/>
              <w:rPr>
                <w:b/>
                <w:color w:val="000000" w:themeColor="text1"/>
              </w:rPr>
            </w:pPr>
            <w:r w:rsidRPr="00781112">
              <w:rPr>
                <w:color w:val="000000" w:themeColor="text1"/>
              </w:rPr>
              <w:t>402</w:t>
            </w:r>
          </w:p>
        </w:tc>
      </w:tr>
      <w:tr w:rsidR="005A486A" w:rsidRPr="00781112" w14:paraId="3BE009FE" w14:textId="48A19AF7" w:rsidTr="00E95FBF">
        <w:tc>
          <w:tcPr>
            <w:tcW w:w="2695" w:type="dxa"/>
            <w:shd w:val="clear" w:color="auto" w:fill="auto"/>
          </w:tcPr>
          <w:p w14:paraId="3D43994F" w14:textId="3B46415A" w:rsidR="005A486A" w:rsidRPr="00781112" w:rsidRDefault="003403B4" w:rsidP="005A486A">
            <w:pPr>
              <w:rPr>
                <w:b/>
                <w:color w:val="000000" w:themeColor="text1"/>
              </w:rPr>
            </w:pPr>
            <w:r w:rsidRPr="00781112">
              <w:rPr>
                <w:rFonts w:cs="Arial"/>
                <w:szCs w:val="16"/>
                <w:shd w:val="clear" w:color="auto" w:fill="FFFFFF"/>
              </w:rPr>
              <w:t>b. Children with IEPs in alternate assessment against alternate standards scored at or above proficient</w:t>
            </w:r>
          </w:p>
        </w:tc>
        <w:tc>
          <w:tcPr>
            <w:tcW w:w="2700" w:type="dxa"/>
            <w:shd w:val="clear" w:color="auto" w:fill="auto"/>
            <w:vAlign w:val="center"/>
          </w:tcPr>
          <w:p w14:paraId="655D5067" w14:textId="45460D4D" w:rsidR="005A486A" w:rsidRPr="00781112" w:rsidRDefault="005A486A" w:rsidP="00360DD6">
            <w:pPr>
              <w:jc w:val="center"/>
              <w:rPr>
                <w:b/>
                <w:color w:val="000000" w:themeColor="text1"/>
              </w:rPr>
            </w:pPr>
            <w:r w:rsidRPr="00781112">
              <w:rPr>
                <w:color w:val="000000" w:themeColor="text1"/>
              </w:rPr>
              <w:t>72</w:t>
            </w:r>
          </w:p>
        </w:tc>
        <w:tc>
          <w:tcPr>
            <w:tcW w:w="2700" w:type="dxa"/>
            <w:shd w:val="clear" w:color="auto" w:fill="auto"/>
            <w:vAlign w:val="center"/>
          </w:tcPr>
          <w:p w14:paraId="47E25E0D" w14:textId="60D76349" w:rsidR="005A486A" w:rsidRPr="00781112" w:rsidRDefault="005A486A" w:rsidP="00360DD6">
            <w:pPr>
              <w:jc w:val="center"/>
              <w:rPr>
                <w:b/>
                <w:color w:val="000000" w:themeColor="text1"/>
              </w:rPr>
            </w:pPr>
            <w:r w:rsidRPr="00781112">
              <w:rPr>
                <w:color w:val="000000" w:themeColor="text1"/>
              </w:rPr>
              <w:t>140</w:t>
            </w:r>
          </w:p>
        </w:tc>
        <w:tc>
          <w:tcPr>
            <w:tcW w:w="2700" w:type="dxa"/>
            <w:shd w:val="clear" w:color="auto" w:fill="auto"/>
            <w:vAlign w:val="center"/>
          </w:tcPr>
          <w:p w14:paraId="523F025F" w14:textId="6533B4FD" w:rsidR="005A486A" w:rsidRPr="00781112" w:rsidRDefault="005A486A" w:rsidP="00360DD6">
            <w:pPr>
              <w:jc w:val="center"/>
              <w:rPr>
                <w:b/>
                <w:color w:val="000000" w:themeColor="text1"/>
              </w:rPr>
            </w:pPr>
            <w:r w:rsidRPr="00781112">
              <w:rPr>
                <w:color w:val="000000" w:themeColor="text1"/>
              </w:rPr>
              <w:t>141</w:t>
            </w:r>
          </w:p>
        </w:tc>
      </w:tr>
    </w:tbl>
    <w:p w14:paraId="31899BDA" w14:textId="77777777" w:rsidR="00F41DFF" w:rsidRPr="00781112" w:rsidRDefault="00BD7229" w:rsidP="00286BDF">
      <w:pPr>
        <w:rPr>
          <w:rFonts w:cs="Arial"/>
          <w:b/>
          <w:color w:val="000000" w:themeColor="text1"/>
          <w:szCs w:val="16"/>
        </w:rPr>
      </w:pPr>
      <w:r w:rsidRPr="00781112">
        <w:rPr>
          <w:rFonts w:cs="Arial"/>
          <w:b/>
          <w:color w:val="000000" w:themeColor="text1"/>
          <w:szCs w:val="16"/>
        </w:rPr>
        <w:t xml:space="preserve">Data Source:  </w:t>
      </w:r>
    </w:p>
    <w:p w14:paraId="6AEE1AE1" w14:textId="785594EB" w:rsidR="00BD7229" w:rsidRPr="00781112" w:rsidRDefault="002B7490" w:rsidP="00286BDF">
      <w:pPr>
        <w:rPr>
          <w:rFonts w:cs="Arial"/>
          <w:color w:val="000000" w:themeColor="text1"/>
          <w:szCs w:val="16"/>
        </w:rPr>
      </w:pPr>
      <w:r w:rsidRPr="00781112">
        <w:rPr>
          <w:rFonts w:cs="Arial"/>
          <w:color w:val="000000" w:themeColor="text1"/>
          <w:szCs w:val="16"/>
        </w:rPr>
        <w:t>SY 2022-23 Assessment Data Groups - Math (EDFacts file spec FS175; Data Group: 583)</w:t>
      </w:r>
    </w:p>
    <w:p w14:paraId="59F25B6E" w14:textId="77777777" w:rsidR="00F41DFF" w:rsidRPr="00781112" w:rsidRDefault="00BD7229" w:rsidP="00286BDF">
      <w:pPr>
        <w:rPr>
          <w:rFonts w:cs="Arial"/>
          <w:b/>
          <w:color w:val="000000" w:themeColor="text1"/>
          <w:szCs w:val="16"/>
        </w:rPr>
      </w:pPr>
      <w:r w:rsidRPr="00781112">
        <w:rPr>
          <w:rFonts w:cs="Arial"/>
          <w:b/>
          <w:color w:val="000000" w:themeColor="text1"/>
          <w:szCs w:val="16"/>
        </w:rPr>
        <w:t xml:space="preserve">Date: </w:t>
      </w:r>
    </w:p>
    <w:p w14:paraId="4B8A206D" w14:textId="36B0E5E5" w:rsidR="00BD7229" w:rsidRPr="00781112" w:rsidRDefault="002B7490" w:rsidP="00286BDF">
      <w:pPr>
        <w:rPr>
          <w:rFonts w:cs="Arial"/>
          <w:color w:val="000000" w:themeColor="text1"/>
          <w:szCs w:val="16"/>
        </w:rPr>
      </w:pPr>
      <w:r w:rsidRPr="00781112">
        <w:rPr>
          <w:rFonts w:cs="Arial"/>
          <w:color w:val="000000" w:themeColor="text1"/>
          <w:szCs w:val="16"/>
        </w:rPr>
        <w:t>01/10/2024</w:t>
      </w:r>
    </w:p>
    <w:p w14:paraId="3365AF3D" w14:textId="2AFA5758" w:rsidR="00162F4A" w:rsidRPr="00781112" w:rsidRDefault="00162F4A">
      <w:pPr>
        <w:rPr>
          <w:b/>
          <w:color w:val="000000" w:themeColor="text1"/>
        </w:rPr>
      </w:pPr>
      <w:r w:rsidRPr="00781112">
        <w:rPr>
          <w:b/>
          <w:color w:val="000000" w:themeColor="text1"/>
        </w:rPr>
        <w:t>Math Assessment Proficiency Data by Grade</w:t>
      </w:r>
    </w:p>
    <w:tbl>
      <w:tblPr>
        <w:tblStyle w:val="TableGrid"/>
        <w:tblW w:w="10795" w:type="dxa"/>
        <w:tblLayout w:type="fixed"/>
        <w:tblLook w:val="04A0" w:firstRow="1" w:lastRow="0" w:firstColumn="1" w:lastColumn="0" w:noHBand="0" w:noVBand="1"/>
        <w:tblCaption w:val="B03CASSPARTDATABYGRDMATH"/>
      </w:tblPr>
      <w:tblGrid>
        <w:gridCol w:w="2695"/>
        <w:gridCol w:w="2700"/>
        <w:gridCol w:w="2700"/>
        <w:gridCol w:w="2700"/>
      </w:tblGrid>
      <w:tr w:rsidR="0084736E" w:rsidRPr="00781112" w14:paraId="62DE1B1F" w14:textId="77777777" w:rsidTr="00E95FBF">
        <w:tc>
          <w:tcPr>
            <w:tcW w:w="2695" w:type="dxa"/>
            <w:shd w:val="clear" w:color="auto" w:fill="auto"/>
          </w:tcPr>
          <w:p w14:paraId="190C09EE" w14:textId="0BB3377D" w:rsidR="0084736E" w:rsidRPr="00781112" w:rsidRDefault="00835EAD" w:rsidP="0084736E">
            <w:pPr>
              <w:jc w:val="center"/>
              <w:rPr>
                <w:b/>
                <w:color w:val="000000" w:themeColor="text1"/>
              </w:rPr>
            </w:pPr>
            <w:r w:rsidRPr="00781112">
              <w:rPr>
                <w:rFonts w:cs="Arial"/>
                <w:b/>
                <w:bCs/>
                <w:color w:val="000000" w:themeColor="text1"/>
                <w:szCs w:val="16"/>
              </w:rPr>
              <w:t>Group</w:t>
            </w:r>
          </w:p>
        </w:tc>
        <w:tc>
          <w:tcPr>
            <w:tcW w:w="2700" w:type="dxa"/>
            <w:shd w:val="clear" w:color="auto" w:fill="auto"/>
            <w:vAlign w:val="center"/>
          </w:tcPr>
          <w:p w14:paraId="7DE5B404" w14:textId="75646743" w:rsidR="0084736E" w:rsidRPr="00781112" w:rsidRDefault="0084736E" w:rsidP="0084736E">
            <w:pPr>
              <w:jc w:val="center"/>
              <w:rPr>
                <w:b/>
                <w:color w:val="000000" w:themeColor="text1"/>
              </w:rPr>
            </w:pPr>
            <w:r w:rsidRPr="00781112">
              <w:rPr>
                <w:rFonts w:cs="Arial"/>
                <w:b/>
                <w:bCs/>
                <w:color w:val="000000" w:themeColor="text1"/>
                <w:szCs w:val="16"/>
              </w:rPr>
              <w:t>Grade 4</w:t>
            </w:r>
          </w:p>
        </w:tc>
        <w:tc>
          <w:tcPr>
            <w:tcW w:w="2700" w:type="dxa"/>
            <w:shd w:val="clear" w:color="auto" w:fill="auto"/>
            <w:vAlign w:val="center"/>
          </w:tcPr>
          <w:p w14:paraId="7038055F" w14:textId="27DA5FAA" w:rsidR="0084736E" w:rsidRPr="00781112" w:rsidRDefault="0084736E" w:rsidP="0084736E">
            <w:pPr>
              <w:jc w:val="center"/>
              <w:rPr>
                <w:b/>
                <w:color w:val="000000" w:themeColor="text1"/>
              </w:rPr>
            </w:pPr>
            <w:r w:rsidRPr="00781112">
              <w:rPr>
                <w:rFonts w:cs="Arial"/>
                <w:b/>
                <w:bCs/>
                <w:color w:val="000000" w:themeColor="text1"/>
                <w:szCs w:val="16"/>
              </w:rPr>
              <w:t>Grade 8</w:t>
            </w:r>
          </w:p>
        </w:tc>
        <w:tc>
          <w:tcPr>
            <w:tcW w:w="2700" w:type="dxa"/>
            <w:shd w:val="clear" w:color="auto" w:fill="auto"/>
            <w:vAlign w:val="center"/>
          </w:tcPr>
          <w:p w14:paraId="3032FA89" w14:textId="7F94CD01" w:rsidR="0084736E" w:rsidRPr="00781112" w:rsidRDefault="0084736E" w:rsidP="0084736E">
            <w:pPr>
              <w:jc w:val="center"/>
              <w:rPr>
                <w:b/>
                <w:color w:val="000000" w:themeColor="text1"/>
              </w:rPr>
            </w:pPr>
            <w:r w:rsidRPr="00781112">
              <w:rPr>
                <w:rFonts w:cs="Arial"/>
                <w:b/>
                <w:bCs/>
                <w:color w:val="000000" w:themeColor="text1"/>
                <w:szCs w:val="16"/>
              </w:rPr>
              <w:t>Grade HS</w:t>
            </w:r>
          </w:p>
        </w:tc>
      </w:tr>
      <w:tr w:rsidR="00660173" w:rsidRPr="00781112" w14:paraId="33333988" w14:textId="77777777" w:rsidTr="00E95FBF">
        <w:tc>
          <w:tcPr>
            <w:tcW w:w="2695" w:type="dxa"/>
            <w:shd w:val="clear" w:color="auto" w:fill="auto"/>
          </w:tcPr>
          <w:p w14:paraId="7DC36ACB" w14:textId="0A898DD0" w:rsidR="00660173" w:rsidRPr="00781112" w:rsidRDefault="00660173" w:rsidP="00660173">
            <w:pPr>
              <w:rPr>
                <w:b/>
                <w:color w:val="000000" w:themeColor="text1"/>
              </w:rPr>
            </w:pPr>
            <w:r w:rsidRPr="00781112">
              <w:rPr>
                <w:rFonts w:cs="Arial"/>
                <w:szCs w:val="16"/>
                <w:shd w:val="clear" w:color="auto" w:fill="FFFFFF"/>
              </w:rPr>
              <w:t xml:space="preserve">a. Children with IEPs who received a valid score and a proficiency level was assigned </w:t>
            </w:r>
            <w:r w:rsidRPr="0075451F">
              <w:rPr>
                <w:rFonts w:cs="Arial"/>
                <w:szCs w:val="16"/>
              </w:rPr>
              <w:t>for the alternate assessment</w:t>
            </w:r>
          </w:p>
        </w:tc>
        <w:tc>
          <w:tcPr>
            <w:tcW w:w="2700" w:type="dxa"/>
            <w:shd w:val="clear" w:color="auto" w:fill="auto"/>
            <w:vAlign w:val="center"/>
          </w:tcPr>
          <w:p w14:paraId="4CE4FB96" w14:textId="01B59A61" w:rsidR="00660173" w:rsidRPr="00781112" w:rsidRDefault="00660173" w:rsidP="00360DD6">
            <w:pPr>
              <w:jc w:val="center"/>
              <w:rPr>
                <w:b/>
                <w:color w:val="000000" w:themeColor="text1"/>
              </w:rPr>
            </w:pPr>
            <w:r w:rsidRPr="00781112">
              <w:rPr>
                <w:color w:val="000000" w:themeColor="text1"/>
              </w:rPr>
              <w:t>474</w:t>
            </w:r>
          </w:p>
        </w:tc>
        <w:tc>
          <w:tcPr>
            <w:tcW w:w="2700" w:type="dxa"/>
            <w:shd w:val="clear" w:color="auto" w:fill="auto"/>
            <w:vAlign w:val="center"/>
          </w:tcPr>
          <w:p w14:paraId="07947D7E" w14:textId="50342908" w:rsidR="00660173" w:rsidRPr="00781112" w:rsidRDefault="00660173" w:rsidP="00360DD6">
            <w:pPr>
              <w:jc w:val="center"/>
              <w:rPr>
                <w:b/>
                <w:color w:val="000000" w:themeColor="text1"/>
              </w:rPr>
            </w:pPr>
            <w:r w:rsidRPr="00781112">
              <w:rPr>
                <w:color w:val="000000" w:themeColor="text1"/>
              </w:rPr>
              <w:t>497</w:t>
            </w:r>
          </w:p>
        </w:tc>
        <w:tc>
          <w:tcPr>
            <w:tcW w:w="2700" w:type="dxa"/>
            <w:shd w:val="clear" w:color="auto" w:fill="auto"/>
            <w:vAlign w:val="center"/>
          </w:tcPr>
          <w:p w14:paraId="669EEFA3" w14:textId="194786E9" w:rsidR="00660173" w:rsidRPr="00781112" w:rsidRDefault="00660173" w:rsidP="00360DD6">
            <w:pPr>
              <w:jc w:val="center"/>
              <w:rPr>
                <w:b/>
                <w:color w:val="000000" w:themeColor="text1"/>
              </w:rPr>
            </w:pPr>
            <w:r w:rsidRPr="00781112">
              <w:rPr>
                <w:color w:val="000000" w:themeColor="text1"/>
              </w:rPr>
              <w:t>402</w:t>
            </w:r>
          </w:p>
        </w:tc>
      </w:tr>
      <w:tr w:rsidR="00660173" w:rsidRPr="00781112" w14:paraId="7E58498F" w14:textId="77777777" w:rsidTr="00E95FBF">
        <w:tc>
          <w:tcPr>
            <w:tcW w:w="2695" w:type="dxa"/>
            <w:shd w:val="clear" w:color="auto" w:fill="auto"/>
          </w:tcPr>
          <w:p w14:paraId="4F32E0BC" w14:textId="3249207F" w:rsidR="00660173" w:rsidRPr="00781112" w:rsidRDefault="00660173" w:rsidP="00660173">
            <w:pPr>
              <w:rPr>
                <w:b/>
                <w:color w:val="000000" w:themeColor="text1"/>
              </w:rPr>
            </w:pPr>
            <w:r w:rsidRPr="00781112">
              <w:rPr>
                <w:rFonts w:cs="Arial"/>
                <w:szCs w:val="16"/>
                <w:shd w:val="clear" w:color="auto" w:fill="FFFFFF"/>
              </w:rPr>
              <w:lastRenderedPageBreak/>
              <w:t>b. Children with IEPs in alternate assessment against alternate standards scored at or above proficient</w:t>
            </w:r>
          </w:p>
        </w:tc>
        <w:tc>
          <w:tcPr>
            <w:tcW w:w="2700" w:type="dxa"/>
            <w:shd w:val="clear" w:color="auto" w:fill="auto"/>
            <w:vAlign w:val="center"/>
          </w:tcPr>
          <w:p w14:paraId="6DE46D54" w14:textId="09C11F4A" w:rsidR="00660173" w:rsidRPr="00781112" w:rsidRDefault="00660173" w:rsidP="00360DD6">
            <w:pPr>
              <w:jc w:val="center"/>
              <w:rPr>
                <w:b/>
                <w:color w:val="000000" w:themeColor="text1"/>
              </w:rPr>
            </w:pPr>
            <w:r w:rsidRPr="00781112">
              <w:rPr>
                <w:color w:val="000000" w:themeColor="text1"/>
              </w:rPr>
              <w:t>172</w:t>
            </w:r>
          </w:p>
        </w:tc>
        <w:tc>
          <w:tcPr>
            <w:tcW w:w="2700" w:type="dxa"/>
            <w:shd w:val="clear" w:color="auto" w:fill="auto"/>
            <w:vAlign w:val="center"/>
          </w:tcPr>
          <w:p w14:paraId="6F4311F8" w14:textId="57481F37" w:rsidR="00660173" w:rsidRPr="00781112" w:rsidRDefault="00660173" w:rsidP="00360DD6">
            <w:pPr>
              <w:jc w:val="center"/>
              <w:rPr>
                <w:b/>
                <w:color w:val="000000" w:themeColor="text1"/>
              </w:rPr>
            </w:pPr>
            <w:r w:rsidRPr="00781112">
              <w:rPr>
                <w:color w:val="000000" w:themeColor="text1"/>
              </w:rPr>
              <w:t>33</w:t>
            </w:r>
          </w:p>
        </w:tc>
        <w:tc>
          <w:tcPr>
            <w:tcW w:w="2700" w:type="dxa"/>
            <w:shd w:val="clear" w:color="auto" w:fill="auto"/>
            <w:vAlign w:val="center"/>
          </w:tcPr>
          <w:p w14:paraId="7B154B01" w14:textId="7C106CF5" w:rsidR="00660173" w:rsidRPr="00781112" w:rsidRDefault="00660173" w:rsidP="00360DD6">
            <w:pPr>
              <w:jc w:val="center"/>
              <w:rPr>
                <w:b/>
                <w:color w:val="000000" w:themeColor="text1"/>
              </w:rPr>
            </w:pPr>
            <w:r w:rsidRPr="00781112">
              <w:rPr>
                <w:color w:val="000000" w:themeColor="text1"/>
              </w:rPr>
              <w:t>83</w:t>
            </w:r>
          </w:p>
        </w:tc>
      </w:tr>
    </w:tbl>
    <w:p w14:paraId="56C37F05" w14:textId="77777777" w:rsidR="00241BD0" w:rsidRPr="00781112" w:rsidRDefault="00241BD0" w:rsidP="004369B2">
      <w:pPr>
        <w:rPr>
          <w:color w:val="000000" w:themeColor="text1"/>
        </w:rPr>
      </w:pPr>
    </w:p>
    <w:p w14:paraId="0E0A129D" w14:textId="71D3CA00" w:rsidR="00BD7229" w:rsidRPr="00781112" w:rsidRDefault="0047313F" w:rsidP="004369B2">
      <w:pPr>
        <w:rPr>
          <w:b/>
          <w:color w:val="000000" w:themeColor="text1"/>
        </w:rPr>
      </w:pPr>
      <w:r>
        <w:rPr>
          <w:b/>
          <w:color w:val="000000" w:themeColor="text1"/>
        </w:rPr>
        <w:t>FFY 2022 SPP/APR Data: Reading Assessment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B03CFFYAPRDATARLA"/>
      </w:tblPr>
      <w:tblGrid>
        <w:gridCol w:w="696"/>
        <w:gridCol w:w="1178"/>
        <w:gridCol w:w="1245"/>
        <w:gridCol w:w="1373"/>
        <w:gridCol w:w="1140"/>
        <w:gridCol w:w="1600"/>
        <w:gridCol w:w="1050"/>
        <w:gridCol w:w="1270"/>
        <w:gridCol w:w="1238"/>
      </w:tblGrid>
      <w:tr w:rsidR="00FA33C9" w:rsidRPr="00781112" w14:paraId="73241F59" w14:textId="77777777" w:rsidTr="00140972">
        <w:trPr>
          <w:tblHeader/>
        </w:trPr>
        <w:tc>
          <w:tcPr>
            <w:tcW w:w="221" w:type="pct"/>
            <w:shd w:val="clear" w:color="auto" w:fill="auto"/>
            <w:vAlign w:val="bottom"/>
          </w:tcPr>
          <w:p w14:paraId="3378C689" w14:textId="77777777" w:rsidR="00FA33C9" w:rsidRPr="00781112" w:rsidRDefault="00FA33C9" w:rsidP="00FA33C9">
            <w:pPr>
              <w:jc w:val="center"/>
              <w:rPr>
                <w:b/>
                <w:color w:val="000000" w:themeColor="text1"/>
              </w:rPr>
            </w:pPr>
            <w:r w:rsidRPr="00781112">
              <w:rPr>
                <w:b/>
                <w:color w:val="000000" w:themeColor="text1"/>
              </w:rPr>
              <w:t>Group</w:t>
            </w:r>
          </w:p>
        </w:tc>
        <w:tc>
          <w:tcPr>
            <w:tcW w:w="559" w:type="pct"/>
            <w:shd w:val="clear" w:color="auto" w:fill="auto"/>
            <w:vAlign w:val="bottom"/>
          </w:tcPr>
          <w:p w14:paraId="34B96D6C" w14:textId="2E1BB354" w:rsidR="00FA33C9" w:rsidRPr="00781112" w:rsidRDefault="00FA33C9" w:rsidP="00FA33C9">
            <w:pPr>
              <w:jc w:val="center"/>
              <w:rPr>
                <w:b/>
                <w:color w:val="000000" w:themeColor="text1"/>
              </w:rPr>
            </w:pPr>
            <w:r w:rsidRPr="00781112">
              <w:rPr>
                <w:b/>
                <w:color w:val="000000" w:themeColor="text1"/>
              </w:rPr>
              <w:t>Group Name</w:t>
            </w:r>
          </w:p>
        </w:tc>
        <w:tc>
          <w:tcPr>
            <w:tcW w:w="590" w:type="pct"/>
            <w:shd w:val="clear" w:color="auto" w:fill="auto"/>
            <w:vAlign w:val="bottom"/>
          </w:tcPr>
          <w:p w14:paraId="3B6543C5" w14:textId="7737694B" w:rsidR="00FA33C9" w:rsidRPr="00781112" w:rsidRDefault="00FA33C9" w:rsidP="00FA33C9">
            <w:pPr>
              <w:jc w:val="center"/>
              <w:rPr>
                <w:b/>
                <w:color w:val="000000" w:themeColor="text1"/>
              </w:rPr>
            </w:pPr>
            <w:r w:rsidRPr="00781112">
              <w:rPr>
                <w:b/>
                <w:color w:val="000000" w:themeColor="text1"/>
              </w:rPr>
              <w:t xml:space="preserve">Number of Children with IEPs Scoring </w:t>
            </w:r>
            <w:proofErr w:type="gramStart"/>
            <w:r w:rsidRPr="00781112">
              <w:rPr>
                <w:b/>
                <w:color w:val="000000" w:themeColor="text1"/>
              </w:rPr>
              <w:t>At</w:t>
            </w:r>
            <w:proofErr w:type="gramEnd"/>
            <w:r w:rsidRPr="00781112">
              <w:rPr>
                <w:b/>
                <w:color w:val="000000" w:themeColor="text1"/>
              </w:rPr>
              <w:t xml:space="preserve"> or Above Proficient Against Alternate Academic Achievement Standards</w:t>
            </w:r>
          </w:p>
        </w:tc>
        <w:tc>
          <w:tcPr>
            <w:tcW w:w="649" w:type="pct"/>
            <w:shd w:val="clear" w:color="auto" w:fill="auto"/>
            <w:vAlign w:val="bottom"/>
          </w:tcPr>
          <w:p w14:paraId="36E5B9C7" w14:textId="23CF68D2" w:rsidR="00FA33C9" w:rsidRPr="00781112" w:rsidRDefault="00FA33C9" w:rsidP="00FA33C9">
            <w:pPr>
              <w:jc w:val="center"/>
              <w:rPr>
                <w:b/>
                <w:color w:val="000000" w:themeColor="text1"/>
              </w:rPr>
            </w:pPr>
            <w:r w:rsidRPr="00781112">
              <w:rPr>
                <w:b/>
                <w:color w:val="000000" w:themeColor="text1"/>
              </w:rPr>
              <w:t>Number of Children with IEPs who Received a Valid Score and for whom a Proficiency Level was Assigned for the Alternate Assessment</w:t>
            </w:r>
          </w:p>
        </w:tc>
        <w:tc>
          <w:tcPr>
            <w:tcW w:w="541" w:type="pct"/>
            <w:shd w:val="clear" w:color="auto" w:fill="auto"/>
            <w:vAlign w:val="bottom"/>
          </w:tcPr>
          <w:p w14:paraId="2614DFA3" w14:textId="64F96892" w:rsidR="00FA33C9" w:rsidRPr="00073BD7" w:rsidRDefault="00FA33C9" w:rsidP="00FA33C9">
            <w:pPr>
              <w:jc w:val="center"/>
              <w:rPr>
                <w:b/>
                <w:bCs/>
                <w:color w:val="000000" w:themeColor="text1"/>
              </w:rPr>
            </w:pPr>
            <w:r w:rsidRPr="00073BD7">
              <w:rPr>
                <w:b/>
                <w:bCs/>
              </w:rPr>
              <w:t>FFY 2021 Data</w:t>
            </w:r>
          </w:p>
        </w:tc>
        <w:tc>
          <w:tcPr>
            <w:tcW w:w="754" w:type="pct"/>
            <w:shd w:val="clear" w:color="auto" w:fill="auto"/>
            <w:vAlign w:val="bottom"/>
          </w:tcPr>
          <w:p w14:paraId="09D4299D" w14:textId="4F2D8B92" w:rsidR="00FA33C9" w:rsidRPr="00073BD7" w:rsidRDefault="00FA33C9" w:rsidP="00FA33C9">
            <w:pPr>
              <w:jc w:val="center"/>
              <w:rPr>
                <w:b/>
                <w:bCs/>
                <w:color w:val="000000" w:themeColor="text1"/>
              </w:rPr>
            </w:pPr>
            <w:r w:rsidRPr="00073BD7">
              <w:rPr>
                <w:b/>
                <w:bCs/>
              </w:rPr>
              <w:t>FFY 2022 Target</w:t>
            </w:r>
          </w:p>
        </w:tc>
        <w:tc>
          <w:tcPr>
            <w:tcW w:w="499" w:type="pct"/>
            <w:shd w:val="clear" w:color="auto" w:fill="auto"/>
            <w:vAlign w:val="bottom"/>
          </w:tcPr>
          <w:p w14:paraId="2B4D24C2" w14:textId="21503469" w:rsidR="00FA33C9" w:rsidRPr="00073BD7" w:rsidRDefault="00FA33C9" w:rsidP="00FA33C9">
            <w:pPr>
              <w:jc w:val="center"/>
              <w:rPr>
                <w:b/>
                <w:bCs/>
                <w:color w:val="000000" w:themeColor="text1"/>
              </w:rPr>
            </w:pPr>
            <w:r w:rsidRPr="00073BD7">
              <w:rPr>
                <w:b/>
                <w:bCs/>
              </w:rPr>
              <w:t>FFY 2022 Data</w:t>
            </w:r>
          </w:p>
        </w:tc>
        <w:tc>
          <w:tcPr>
            <w:tcW w:w="601" w:type="pct"/>
            <w:shd w:val="clear" w:color="auto" w:fill="auto"/>
            <w:vAlign w:val="bottom"/>
          </w:tcPr>
          <w:p w14:paraId="4987ED35" w14:textId="77777777" w:rsidR="00FA33C9" w:rsidRPr="00781112" w:rsidRDefault="00FA33C9" w:rsidP="00FA33C9">
            <w:pPr>
              <w:jc w:val="center"/>
              <w:rPr>
                <w:b/>
                <w:color w:val="000000" w:themeColor="text1"/>
              </w:rPr>
            </w:pPr>
            <w:r w:rsidRPr="00781112">
              <w:rPr>
                <w:b/>
                <w:color w:val="000000" w:themeColor="text1"/>
              </w:rPr>
              <w:t>Status</w:t>
            </w:r>
          </w:p>
        </w:tc>
        <w:tc>
          <w:tcPr>
            <w:tcW w:w="586" w:type="pct"/>
            <w:shd w:val="clear" w:color="auto" w:fill="auto"/>
            <w:vAlign w:val="bottom"/>
          </w:tcPr>
          <w:p w14:paraId="7EA3F612" w14:textId="77777777" w:rsidR="00FA33C9" w:rsidRPr="00781112" w:rsidRDefault="00FA33C9" w:rsidP="00FA33C9">
            <w:pPr>
              <w:jc w:val="center"/>
              <w:rPr>
                <w:b/>
                <w:color w:val="000000" w:themeColor="text1"/>
              </w:rPr>
            </w:pPr>
            <w:r w:rsidRPr="00781112">
              <w:rPr>
                <w:b/>
                <w:color w:val="000000" w:themeColor="text1"/>
              </w:rPr>
              <w:t>Slippage</w:t>
            </w:r>
          </w:p>
        </w:tc>
      </w:tr>
      <w:tr w:rsidR="00566725" w:rsidRPr="00781112" w14:paraId="318B8AAD" w14:textId="77777777" w:rsidTr="00140972">
        <w:tc>
          <w:tcPr>
            <w:tcW w:w="221" w:type="pct"/>
            <w:shd w:val="clear" w:color="auto" w:fill="auto"/>
            <w:vAlign w:val="center"/>
          </w:tcPr>
          <w:p w14:paraId="4BD3A1A0" w14:textId="77777777" w:rsidR="00566725" w:rsidRPr="00781112" w:rsidRDefault="00566725" w:rsidP="00566725">
            <w:pPr>
              <w:pStyle w:val="Default"/>
              <w:jc w:val="center"/>
              <w:rPr>
                <w:rFonts w:eastAsiaTheme="minorHAnsi"/>
                <w:color w:val="000000" w:themeColor="text1"/>
                <w:sz w:val="16"/>
                <w:szCs w:val="16"/>
              </w:rPr>
            </w:pPr>
            <w:r w:rsidRPr="00781112">
              <w:rPr>
                <w:b/>
                <w:color w:val="000000" w:themeColor="text1"/>
                <w:sz w:val="16"/>
                <w:szCs w:val="16"/>
              </w:rPr>
              <w:t>A</w:t>
            </w:r>
          </w:p>
        </w:tc>
        <w:tc>
          <w:tcPr>
            <w:tcW w:w="559" w:type="pct"/>
            <w:shd w:val="clear" w:color="auto" w:fill="auto"/>
          </w:tcPr>
          <w:p w14:paraId="2D59B69E" w14:textId="71850FD0" w:rsidR="00566725" w:rsidRPr="00781112" w:rsidDel="00DE5045" w:rsidRDefault="00566725" w:rsidP="00566725">
            <w:pPr>
              <w:jc w:val="center"/>
              <w:rPr>
                <w:rFonts w:cs="Arial"/>
                <w:color w:val="000000" w:themeColor="text1"/>
                <w:szCs w:val="16"/>
              </w:rPr>
            </w:pPr>
            <w:r w:rsidRPr="00781112">
              <w:rPr>
                <w:rFonts w:cs="Arial"/>
                <w:color w:val="000000" w:themeColor="text1"/>
                <w:szCs w:val="16"/>
              </w:rPr>
              <w:t>Grade 4</w:t>
            </w:r>
          </w:p>
        </w:tc>
        <w:tc>
          <w:tcPr>
            <w:tcW w:w="590" w:type="pct"/>
            <w:shd w:val="clear" w:color="auto" w:fill="auto"/>
          </w:tcPr>
          <w:p w14:paraId="10EC608D" w14:textId="576E5156" w:rsidR="00566725" w:rsidRPr="00781112" w:rsidRDefault="00566725" w:rsidP="00566725">
            <w:pPr>
              <w:jc w:val="center"/>
              <w:rPr>
                <w:rFonts w:cs="Arial"/>
                <w:color w:val="000000" w:themeColor="text1"/>
                <w:szCs w:val="16"/>
              </w:rPr>
            </w:pPr>
            <w:r w:rsidRPr="00781112">
              <w:rPr>
                <w:rFonts w:cs="Arial"/>
                <w:color w:val="000000" w:themeColor="text1"/>
                <w:szCs w:val="16"/>
              </w:rPr>
              <w:t>72</w:t>
            </w:r>
          </w:p>
        </w:tc>
        <w:tc>
          <w:tcPr>
            <w:tcW w:w="649" w:type="pct"/>
            <w:shd w:val="clear" w:color="auto" w:fill="auto"/>
          </w:tcPr>
          <w:p w14:paraId="5740CA80" w14:textId="7FBF02A9" w:rsidR="00566725" w:rsidRPr="00781112" w:rsidRDefault="00566725" w:rsidP="00566725">
            <w:pPr>
              <w:jc w:val="center"/>
              <w:rPr>
                <w:rFonts w:cs="Arial"/>
                <w:color w:val="000000" w:themeColor="text1"/>
                <w:szCs w:val="16"/>
              </w:rPr>
            </w:pPr>
            <w:r>
              <w:rPr>
                <w:rFonts w:cs="Arial"/>
                <w:color w:val="000000"/>
                <w:szCs w:val="16"/>
              </w:rPr>
              <w:t>475</w:t>
            </w:r>
          </w:p>
        </w:tc>
        <w:tc>
          <w:tcPr>
            <w:tcW w:w="541" w:type="pct"/>
            <w:shd w:val="clear" w:color="auto" w:fill="auto"/>
          </w:tcPr>
          <w:p w14:paraId="6BA58310" w14:textId="391F367C" w:rsidR="00566725" w:rsidRPr="00781112" w:rsidRDefault="00566725" w:rsidP="00566725">
            <w:pPr>
              <w:jc w:val="center"/>
              <w:rPr>
                <w:rFonts w:cs="Arial"/>
                <w:color w:val="000000" w:themeColor="text1"/>
                <w:szCs w:val="16"/>
              </w:rPr>
            </w:pPr>
            <w:r w:rsidRPr="00781112">
              <w:rPr>
                <w:rFonts w:cs="Arial"/>
                <w:color w:val="000000" w:themeColor="text1"/>
                <w:szCs w:val="16"/>
              </w:rPr>
              <w:t>17.49%</w:t>
            </w:r>
          </w:p>
        </w:tc>
        <w:tc>
          <w:tcPr>
            <w:tcW w:w="754" w:type="pct"/>
            <w:shd w:val="clear" w:color="auto" w:fill="auto"/>
          </w:tcPr>
          <w:p w14:paraId="47A1F29A" w14:textId="0E923F64" w:rsidR="00566725" w:rsidRPr="00781112" w:rsidRDefault="00566725" w:rsidP="00566725">
            <w:pPr>
              <w:jc w:val="center"/>
              <w:rPr>
                <w:rFonts w:cs="Arial"/>
                <w:color w:val="000000" w:themeColor="text1"/>
                <w:szCs w:val="16"/>
              </w:rPr>
            </w:pPr>
            <w:r w:rsidRPr="00781112">
              <w:rPr>
                <w:rFonts w:cs="Arial"/>
                <w:color w:val="000000" w:themeColor="text1"/>
                <w:szCs w:val="16"/>
              </w:rPr>
              <w:t>21.93%</w:t>
            </w:r>
          </w:p>
        </w:tc>
        <w:tc>
          <w:tcPr>
            <w:tcW w:w="499" w:type="pct"/>
            <w:shd w:val="clear" w:color="auto" w:fill="auto"/>
          </w:tcPr>
          <w:p w14:paraId="2AE4C61A" w14:textId="12BE6FDD" w:rsidR="00566725" w:rsidRPr="00781112" w:rsidRDefault="00566725" w:rsidP="00566725">
            <w:pPr>
              <w:jc w:val="center"/>
              <w:rPr>
                <w:rFonts w:cs="Arial"/>
                <w:color w:val="000000" w:themeColor="text1"/>
                <w:szCs w:val="16"/>
              </w:rPr>
            </w:pPr>
            <w:r w:rsidRPr="00781112">
              <w:rPr>
                <w:rFonts w:cs="Arial"/>
                <w:color w:val="000000" w:themeColor="text1"/>
                <w:szCs w:val="16"/>
              </w:rPr>
              <w:t>15.16%</w:t>
            </w:r>
          </w:p>
        </w:tc>
        <w:tc>
          <w:tcPr>
            <w:tcW w:w="601" w:type="pct"/>
            <w:shd w:val="clear" w:color="auto" w:fill="auto"/>
          </w:tcPr>
          <w:p w14:paraId="2590AA37" w14:textId="2B2E3DAE" w:rsidR="00566725" w:rsidRPr="00781112" w:rsidRDefault="00566725" w:rsidP="00566725">
            <w:pPr>
              <w:jc w:val="center"/>
              <w:rPr>
                <w:rFonts w:cs="Arial"/>
                <w:color w:val="000000" w:themeColor="text1"/>
                <w:szCs w:val="16"/>
              </w:rPr>
            </w:pPr>
            <w:r w:rsidRPr="00781112">
              <w:rPr>
                <w:rFonts w:cs="Arial"/>
                <w:color w:val="000000" w:themeColor="text1"/>
                <w:szCs w:val="16"/>
              </w:rPr>
              <w:t>Did not meet target</w:t>
            </w:r>
          </w:p>
        </w:tc>
        <w:tc>
          <w:tcPr>
            <w:tcW w:w="586" w:type="pct"/>
            <w:shd w:val="clear" w:color="auto" w:fill="auto"/>
          </w:tcPr>
          <w:p w14:paraId="39DEC07F" w14:textId="70B28667" w:rsidR="00566725" w:rsidRPr="00781112" w:rsidRDefault="00566725" w:rsidP="00566725">
            <w:pPr>
              <w:jc w:val="center"/>
              <w:rPr>
                <w:rFonts w:cs="Arial"/>
                <w:color w:val="000000" w:themeColor="text1"/>
                <w:szCs w:val="16"/>
              </w:rPr>
            </w:pPr>
            <w:r w:rsidRPr="00781112">
              <w:rPr>
                <w:rFonts w:cs="Arial"/>
                <w:color w:val="000000" w:themeColor="text1"/>
                <w:szCs w:val="16"/>
              </w:rPr>
              <w:t>Slippage</w:t>
            </w:r>
          </w:p>
        </w:tc>
      </w:tr>
      <w:tr w:rsidR="00566725" w:rsidRPr="00781112" w14:paraId="52B173E5" w14:textId="77777777" w:rsidTr="00140972">
        <w:tc>
          <w:tcPr>
            <w:tcW w:w="221" w:type="pct"/>
            <w:shd w:val="clear" w:color="auto" w:fill="auto"/>
            <w:vAlign w:val="center"/>
          </w:tcPr>
          <w:p w14:paraId="5153CDB6" w14:textId="77777777" w:rsidR="00566725" w:rsidRPr="00781112" w:rsidRDefault="00566725" w:rsidP="00566725">
            <w:pPr>
              <w:pStyle w:val="Default"/>
              <w:jc w:val="center"/>
              <w:rPr>
                <w:rFonts w:eastAsiaTheme="minorHAnsi"/>
                <w:color w:val="000000" w:themeColor="text1"/>
                <w:sz w:val="16"/>
                <w:szCs w:val="16"/>
              </w:rPr>
            </w:pPr>
            <w:r w:rsidRPr="00781112">
              <w:rPr>
                <w:b/>
                <w:color w:val="000000" w:themeColor="text1"/>
                <w:sz w:val="16"/>
                <w:szCs w:val="16"/>
              </w:rPr>
              <w:t>B</w:t>
            </w:r>
          </w:p>
        </w:tc>
        <w:tc>
          <w:tcPr>
            <w:tcW w:w="559" w:type="pct"/>
            <w:shd w:val="clear" w:color="auto" w:fill="auto"/>
          </w:tcPr>
          <w:p w14:paraId="137CEDF6" w14:textId="15D625F4" w:rsidR="00566725" w:rsidRPr="00781112" w:rsidDel="00DE5045" w:rsidRDefault="00566725" w:rsidP="00566725">
            <w:pPr>
              <w:jc w:val="center"/>
              <w:rPr>
                <w:rFonts w:cs="Arial"/>
                <w:color w:val="000000" w:themeColor="text1"/>
                <w:szCs w:val="16"/>
              </w:rPr>
            </w:pPr>
            <w:r w:rsidRPr="00781112">
              <w:rPr>
                <w:rFonts w:cs="Arial"/>
                <w:color w:val="000000" w:themeColor="text1"/>
                <w:szCs w:val="16"/>
              </w:rPr>
              <w:t>Grade 8</w:t>
            </w:r>
          </w:p>
        </w:tc>
        <w:tc>
          <w:tcPr>
            <w:tcW w:w="590" w:type="pct"/>
            <w:shd w:val="clear" w:color="auto" w:fill="auto"/>
          </w:tcPr>
          <w:p w14:paraId="1707A82B" w14:textId="3E333A0B" w:rsidR="00566725" w:rsidRPr="00781112" w:rsidRDefault="00566725" w:rsidP="00566725">
            <w:pPr>
              <w:jc w:val="center"/>
              <w:rPr>
                <w:rFonts w:cs="Arial"/>
                <w:color w:val="000000" w:themeColor="text1"/>
                <w:szCs w:val="16"/>
              </w:rPr>
            </w:pPr>
            <w:r w:rsidRPr="00781112">
              <w:rPr>
                <w:rFonts w:cs="Arial"/>
                <w:color w:val="000000" w:themeColor="text1"/>
                <w:szCs w:val="16"/>
              </w:rPr>
              <w:t>140</w:t>
            </w:r>
          </w:p>
        </w:tc>
        <w:tc>
          <w:tcPr>
            <w:tcW w:w="649" w:type="pct"/>
            <w:shd w:val="clear" w:color="auto" w:fill="auto"/>
          </w:tcPr>
          <w:p w14:paraId="1BCB466D" w14:textId="5DD60E0B" w:rsidR="00566725" w:rsidRPr="00781112" w:rsidRDefault="00566725" w:rsidP="00566725">
            <w:pPr>
              <w:jc w:val="center"/>
              <w:rPr>
                <w:rFonts w:cs="Arial"/>
                <w:color w:val="000000" w:themeColor="text1"/>
                <w:szCs w:val="16"/>
              </w:rPr>
            </w:pPr>
            <w:r>
              <w:rPr>
                <w:rFonts w:cs="Arial"/>
                <w:color w:val="000000"/>
                <w:szCs w:val="16"/>
              </w:rPr>
              <w:t>497</w:t>
            </w:r>
          </w:p>
        </w:tc>
        <w:tc>
          <w:tcPr>
            <w:tcW w:w="541" w:type="pct"/>
            <w:shd w:val="clear" w:color="auto" w:fill="auto"/>
          </w:tcPr>
          <w:p w14:paraId="60597E0A" w14:textId="4D673C7B" w:rsidR="00566725" w:rsidRPr="00781112" w:rsidRDefault="00566725" w:rsidP="00566725">
            <w:pPr>
              <w:jc w:val="center"/>
              <w:rPr>
                <w:rFonts w:cs="Arial"/>
                <w:color w:val="000000" w:themeColor="text1"/>
                <w:szCs w:val="16"/>
              </w:rPr>
            </w:pPr>
            <w:r w:rsidRPr="00781112">
              <w:rPr>
                <w:rFonts w:cs="Arial"/>
                <w:color w:val="000000" w:themeColor="text1"/>
                <w:szCs w:val="16"/>
              </w:rPr>
              <w:t>32.31%</w:t>
            </w:r>
          </w:p>
        </w:tc>
        <w:tc>
          <w:tcPr>
            <w:tcW w:w="754" w:type="pct"/>
            <w:shd w:val="clear" w:color="auto" w:fill="auto"/>
          </w:tcPr>
          <w:p w14:paraId="6445398C" w14:textId="393A6DFD" w:rsidR="00566725" w:rsidRPr="00781112" w:rsidRDefault="00566725" w:rsidP="00566725">
            <w:pPr>
              <w:jc w:val="center"/>
              <w:rPr>
                <w:rFonts w:cs="Arial"/>
                <w:color w:val="000000" w:themeColor="text1"/>
                <w:szCs w:val="16"/>
              </w:rPr>
            </w:pPr>
            <w:r w:rsidRPr="00781112">
              <w:rPr>
                <w:rFonts w:cs="Arial"/>
                <w:color w:val="000000" w:themeColor="text1"/>
                <w:szCs w:val="16"/>
              </w:rPr>
              <w:t>39.23%</w:t>
            </w:r>
          </w:p>
        </w:tc>
        <w:tc>
          <w:tcPr>
            <w:tcW w:w="499" w:type="pct"/>
            <w:shd w:val="clear" w:color="auto" w:fill="auto"/>
          </w:tcPr>
          <w:p w14:paraId="4EBD899F" w14:textId="57918237" w:rsidR="00566725" w:rsidRPr="00781112" w:rsidRDefault="00566725" w:rsidP="00566725">
            <w:pPr>
              <w:jc w:val="center"/>
              <w:rPr>
                <w:rFonts w:cs="Arial"/>
                <w:color w:val="000000" w:themeColor="text1"/>
                <w:szCs w:val="16"/>
              </w:rPr>
            </w:pPr>
            <w:r w:rsidRPr="00781112">
              <w:rPr>
                <w:rFonts w:cs="Arial"/>
                <w:color w:val="000000" w:themeColor="text1"/>
                <w:szCs w:val="16"/>
              </w:rPr>
              <w:t>28.17%</w:t>
            </w:r>
          </w:p>
        </w:tc>
        <w:tc>
          <w:tcPr>
            <w:tcW w:w="601" w:type="pct"/>
            <w:shd w:val="clear" w:color="auto" w:fill="auto"/>
          </w:tcPr>
          <w:p w14:paraId="585589D4" w14:textId="6C3ED8A0" w:rsidR="00566725" w:rsidRPr="00781112" w:rsidRDefault="00566725" w:rsidP="00566725">
            <w:pPr>
              <w:jc w:val="center"/>
              <w:rPr>
                <w:rFonts w:cs="Arial"/>
                <w:color w:val="000000" w:themeColor="text1"/>
                <w:szCs w:val="16"/>
              </w:rPr>
            </w:pPr>
            <w:r w:rsidRPr="00781112">
              <w:rPr>
                <w:rFonts w:cs="Arial"/>
                <w:color w:val="000000" w:themeColor="text1"/>
                <w:szCs w:val="16"/>
              </w:rPr>
              <w:t>Did not meet target</w:t>
            </w:r>
          </w:p>
        </w:tc>
        <w:tc>
          <w:tcPr>
            <w:tcW w:w="586" w:type="pct"/>
            <w:shd w:val="clear" w:color="auto" w:fill="auto"/>
          </w:tcPr>
          <w:p w14:paraId="64956786" w14:textId="4047CECE" w:rsidR="00566725" w:rsidRPr="00781112" w:rsidRDefault="00566725" w:rsidP="00566725">
            <w:pPr>
              <w:jc w:val="center"/>
              <w:rPr>
                <w:rFonts w:cs="Arial"/>
                <w:color w:val="000000" w:themeColor="text1"/>
                <w:szCs w:val="16"/>
              </w:rPr>
            </w:pPr>
            <w:r w:rsidRPr="00781112">
              <w:rPr>
                <w:rFonts w:cs="Arial"/>
                <w:color w:val="000000" w:themeColor="text1"/>
                <w:szCs w:val="16"/>
              </w:rPr>
              <w:t>Slippage</w:t>
            </w:r>
          </w:p>
        </w:tc>
      </w:tr>
      <w:tr w:rsidR="00566725" w:rsidRPr="00781112" w14:paraId="3EA2EA1E" w14:textId="77777777" w:rsidTr="00140972">
        <w:tc>
          <w:tcPr>
            <w:tcW w:w="221" w:type="pct"/>
            <w:shd w:val="clear" w:color="auto" w:fill="auto"/>
            <w:vAlign w:val="center"/>
          </w:tcPr>
          <w:p w14:paraId="7CB7E776" w14:textId="77777777" w:rsidR="00566725" w:rsidRPr="00781112" w:rsidRDefault="00566725" w:rsidP="00566725">
            <w:pPr>
              <w:pStyle w:val="Default"/>
              <w:jc w:val="center"/>
              <w:rPr>
                <w:rFonts w:eastAsiaTheme="minorHAnsi"/>
                <w:color w:val="000000" w:themeColor="text1"/>
                <w:sz w:val="16"/>
                <w:szCs w:val="16"/>
              </w:rPr>
            </w:pPr>
            <w:r w:rsidRPr="00781112">
              <w:rPr>
                <w:b/>
                <w:color w:val="000000" w:themeColor="text1"/>
                <w:sz w:val="16"/>
                <w:szCs w:val="16"/>
              </w:rPr>
              <w:t>C</w:t>
            </w:r>
          </w:p>
        </w:tc>
        <w:tc>
          <w:tcPr>
            <w:tcW w:w="559" w:type="pct"/>
            <w:shd w:val="clear" w:color="auto" w:fill="auto"/>
          </w:tcPr>
          <w:p w14:paraId="260DAFBC" w14:textId="292387CD" w:rsidR="00566725" w:rsidRPr="00781112" w:rsidDel="00DE5045" w:rsidRDefault="00566725" w:rsidP="00566725">
            <w:pPr>
              <w:jc w:val="center"/>
              <w:rPr>
                <w:rFonts w:cs="Arial"/>
                <w:color w:val="000000" w:themeColor="text1"/>
                <w:szCs w:val="16"/>
              </w:rPr>
            </w:pPr>
            <w:r w:rsidRPr="00781112">
              <w:rPr>
                <w:rFonts w:cs="Arial"/>
                <w:color w:val="000000" w:themeColor="text1"/>
                <w:szCs w:val="16"/>
              </w:rPr>
              <w:t>Grade HS</w:t>
            </w:r>
          </w:p>
        </w:tc>
        <w:tc>
          <w:tcPr>
            <w:tcW w:w="590" w:type="pct"/>
            <w:shd w:val="clear" w:color="auto" w:fill="auto"/>
          </w:tcPr>
          <w:p w14:paraId="3637A0D0" w14:textId="4E467DC1" w:rsidR="00566725" w:rsidRPr="00781112" w:rsidRDefault="00566725" w:rsidP="00566725">
            <w:pPr>
              <w:jc w:val="center"/>
              <w:rPr>
                <w:rFonts w:cs="Arial"/>
                <w:color w:val="000000" w:themeColor="text1"/>
                <w:szCs w:val="16"/>
              </w:rPr>
            </w:pPr>
            <w:r w:rsidRPr="00781112">
              <w:rPr>
                <w:rFonts w:cs="Arial"/>
                <w:color w:val="000000" w:themeColor="text1"/>
                <w:szCs w:val="16"/>
              </w:rPr>
              <w:t>141</w:t>
            </w:r>
          </w:p>
        </w:tc>
        <w:tc>
          <w:tcPr>
            <w:tcW w:w="649" w:type="pct"/>
            <w:shd w:val="clear" w:color="auto" w:fill="auto"/>
          </w:tcPr>
          <w:p w14:paraId="0F212AA6" w14:textId="77E5B78D" w:rsidR="00566725" w:rsidRPr="00781112" w:rsidRDefault="00566725" w:rsidP="00566725">
            <w:pPr>
              <w:jc w:val="center"/>
              <w:rPr>
                <w:rFonts w:cs="Arial"/>
                <w:color w:val="000000" w:themeColor="text1"/>
                <w:szCs w:val="16"/>
              </w:rPr>
            </w:pPr>
            <w:r>
              <w:rPr>
                <w:rFonts w:cs="Arial"/>
                <w:color w:val="000000"/>
                <w:szCs w:val="16"/>
              </w:rPr>
              <w:t>402</w:t>
            </w:r>
          </w:p>
        </w:tc>
        <w:tc>
          <w:tcPr>
            <w:tcW w:w="541" w:type="pct"/>
            <w:shd w:val="clear" w:color="auto" w:fill="auto"/>
          </w:tcPr>
          <w:p w14:paraId="066DE90A" w14:textId="5EE6838D" w:rsidR="00566725" w:rsidRPr="00781112" w:rsidRDefault="00566725" w:rsidP="00566725">
            <w:pPr>
              <w:jc w:val="center"/>
              <w:rPr>
                <w:rFonts w:cs="Arial"/>
                <w:color w:val="000000" w:themeColor="text1"/>
                <w:szCs w:val="16"/>
              </w:rPr>
            </w:pPr>
            <w:r w:rsidRPr="00781112">
              <w:rPr>
                <w:rFonts w:cs="Arial"/>
                <w:color w:val="000000" w:themeColor="text1"/>
                <w:szCs w:val="16"/>
              </w:rPr>
              <w:t>27.70%</w:t>
            </w:r>
          </w:p>
        </w:tc>
        <w:tc>
          <w:tcPr>
            <w:tcW w:w="754" w:type="pct"/>
            <w:shd w:val="clear" w:color="auto" w:fill="auto"/>
          </w:tcPr>
          <w:p w14:paraId="4191EA17" w14:textId="17F82057" w:rsidR="00566725" w:rsidRPr="00781112" w:rsidRDefault="00566725" w:rsidP="00566725">
            <w:pPr>
              <w:jc w:val="center"/>
              <w:rPr>
                <w:rFonts w:cs="Arial"/>
                <w:color w:val="000000" w:themeColor="text1"/>
                <w:szCs w:val="16"/>
              </w:rPr>
            </w:pPr>
            <w:r w:rsidRPr="00781112">
              <w:rPr>
                <w:rFonts w:cs="Arial"/>
                <w:color w:val="000000" w:themeColor="text1"/>
                <w:szCs w:val="16"/>
              </w:rPr>
              <w:t>37.01%</w:t>
            </w:r>
          </w:p>
        </w:tc>
        <w:tc>
          <w:tcPr>
            <w:tcW w:w="499" w:type="pct"/>
            <w:shd w:val="clear" w:color="auto" w:fill="auto"/>
          </w:tcPr>
          <w:p w14:paraId="15CE5CCF" w14:textId="00F68E62" w:rsidR="00566725" w:rsidRPr="00781112" w:rsidRDefault="00566725" w:rsidP="00566725">
            <w:pPr>
              <w:jc w:val="center"/>
              <w:rPr>
                <w:rFonts w:cs="Arial"/>
                <w:color w:val="000000" w:themeColor="text1"/>
                <w:szCs w:val="16"/>
              </w:rPr>
            </w:pPr>
            <w:r w:rsidRPr="00781112">
              <w:rPr>
                <w:rFonts w:cs="Arial"/>
                <w:color w:val="000000" w:themeColor="text1"/>
                <w:szCs w:val="16"/>
              </w:rPr>
              <w:t>35.07%</w:t>
            </w:r>
          </w:p>
        </w:tc>
        <w:tc>
          <w:tcPr>
            <w:tcW w:w="601" w:type="pct"/>
            <w:shd w:val="clear" w:color="auto" w:fill="auto"/>
          </w:tcPr>
          <w:p w14:paraId="28CB2C9E" w14:textId="4F0EF91A" w:rsidR="00566725" w:rsidRPr="00781112" w:rsidRDefault="00566725" w:rsidP="00566725">
            <w:pPr>
              <w:jc w:val="center"/>
              <w:rPr>
                <w:rFonts w:cs="Arial"/>
                <w:color w:val="000000" w:themeColor="text1"/>
                <w:szCs w:val="16"/>
              </w:rPr>
            </w:pPr>
            <w:r w:rsidRPr="00781112">
              <w:rPr>
                <w:rFonts w:cs="Arial"/>
                <w:color w:val="000000" w:themeColor="text1"/>
                <w:szCs w:val="16"/>
              </w:rPr>
              <w:t>Did not meet target</w:t>
            </w:r>
          </w:p>
        </w:tc>
        <w:tc>
          <w:tcPr>
            <w:tcW w:w="586" w:type="pct"/>
            <w:shd w:val="clear" w:color="auto" w:fill="auto"/>
          </w:tcPr>
          <w:p w14:paraId="157B84D0" w14:textId="0B58E631" w:rsidR="00566725" w:rsidRPr="00781112" w:rsidRDefault="00566725" w:rsidP="00566725">
            <w:pPr>
              <w:jc w:val="center"/>
              <w:rPr>
                <w:rFonts w:cs="Arial"/>
                <w:color w:val="000000" w:themeColor="text1"/>
                <w:szCs w:val="16"/>
              </w:rPr>
            </w:pPr>
            <w:r w:rsidRPr="00781112">
              <w:rPr>
                <w:rFonts w:cs="Arial"/>
                <w:color w:val="000000" w:themeColor="text1"/>
                <w:szCs w:val="16"/>
              </w:rPr>
              <w:t>No Slippage</w:t>
            </w:r>
          </w:p>
        </w:tc>
      </w:tr>
    </w:tbl>
    <w:p w14:paraId="59662641" w14:textId="77777777" w:rsidR="00445640" w:rsidRPr="00781112" w:rsidRDefault="00445640" w:rsidP="00445640">
      <w:pPr>
        <w:rPr>
          <w:b/>
          <w:color w:val="000000" w:themeColor="text1"/>
        </w:rPr>
      </w:pPr>
      <w:r w:rsidRPr="00781112">
        <w:rPr>
          <w:b/>
          <w:color w:val="000000" w:themeColor="text1"/>
        </w:rPr>
        <w:t>Provide reasons for slippage for Group A, if applicable</w:t>
      </w:r>
    </w:p>
    <w:p w14:paraId="3ED6788F" w14:textId="77777777" w:rsidR="00445640" w:rsidRPr="00781112" w:rsidRDefault="00445640" w:rsidP="00445640">
      <w:pPr>
        <w:rPr>
          <w:rFonts w:cs="Arial"/>
          <w:color w:val="000000" w:themeColor="text1"/>
          <w:szCs w:val="16"/>
        </w:rPr>
      </w:pPr>
      <w:r w:rsidRPr="00781112">
        <w:rPr>
          <w:rFonts w:cs="Arial"/>
          <w:color w:val="000000" w:themeColor="text1"/>
          <w:szCs w:val="16"/>
        </w:rPr>
        <w:t xml:space="preserve">The number of eligible for the alternate assessment increased from past assessment periods. The grade 4 class is a larger cohort than other grade-level cohorts. The higher participation rate may have impacted performance as the assessment process was relatively new to more students.  The ongoing significant recovery rates post-COVID have been slower for students with disabilities, especially for the population of students with the most significant disabilities and in most cases their participation and instruction were limited.  This includes access to specialized instruction, access to materials, and support.   These have also been impacted by the absenteeism rates and parent-opt. </w:t>
      </w:r>
    </w:p>
    <w:p w14:paraId="42C05312" w14:textId="77777777" w:rsidR="00445640" w:rsidRPr="00781112" w:rsidRDefault="00445640" w:rsidP="00445640">
      <w:pPr>
        <w:rPr>
          <w:b/>
          <w:color w:val="000000" w:themeColor="text1"/>
        </w:rPr>
      </w:pPr>
      <w:r w:rsidRPr="00781112">
        <w:rPr>
          <w:b/>
          <w:color w:val="000000" w:themeColor="text1"/>
        </w:rPr>
        <w:t>Provide reasons for slippage for Group B, if applicable</w:t>
      </w:r>
    </w:p>
    <w:p w14:paraId="673FBA92" w14:textId="77777777" w:rsidR="00445640" w:rsidRPr="00781112" w:rsidRDefault="00445640" w:rsidP="00445640">
      <w:pPr>
        <w:rPr>
          <w:rFonts w:cs="Arial"/>
          <w:color w:val="000000" w:themeColor="text1"/>
          <w:szCs w:val="16"/>
        </w:rPr>
      </w:pPr>
      <w:r w:rsidRPr="00781112">
        <w:rPr>
          <w:rFonts w:cs="Arial"/>
          <w:color w:val="000000" w:themeColor="text1"/>
          <w:szCs w:val="16"/>
        </w:rPr>
        <w:t xml:space="preserve">More students from the past participated in the 8th grade ELA assessment, where parental opt is more prevalent. The higher participation rate may have impacted performance as the assessment process was new to students who had previously opted out.   The ongoing significant recovery rates post-COVID have been slower for students with disabilities, especially for the population of students with the most significant disabilities and in most cases their participation and instruction were limited.  This includes access to specialized instruction, access to materials, and support.  Teachers in middle school do not typically teach reading, so as kids come in already behind, the gap tends to increase as the content becomes more rigorous.   These have also been impacted by the absenteeism rates and parent-opt. </w:t>
      </w:r>
    </w:p>
    <w:p w14:paraId="493A373E" w14:textId="77777777" w:rsidR="00445640" w:rsidRPr="00781112" w:rsidRDefault="00445640" w:rsidP="000C3A20">
      <w:pPr>
        <w:rPr>
          <w:color w:val="000000" w:themeColor="text1"/>
        </w:rPr>
      </w:pPr>
    </w:p>
    <w:p w14:paraId="73E73F7F" w14:textId="1CF767DA" w:rsidR="00BD7229" w:rsidRPr="00781112" w:rsidRDefault="0047313F" w:rsidP="004369B2">
      <w:pPr>
        <w:rPr>
          <w:b/>
          <w:color w:val="000000" w:themeColor="text1"/>
        </w:rPr>
      </w:pPr>
      <w:r>
        <w:rPr>
          <w:b/>
          <w:color w:val="000000" w:themeColor="text1"/>
        </w:rPr>
        <w:t>FFY 2022 SPP/APR Data: Math Assessment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B03CFFYAPRDATAMATHASS"/>
      </w:tblPr>
      <w:tblGrid>
        <w:gridCol w:w="696"/>
        <w:gridCol w:w="1187"/>
        <w:gridCol w:w="1245"/>
        <w:gridCol w:w="1370"/>
        <w:gridCol w:w="1139"/>
        <w:gridCol w:w="1595"/>
        <w:gridCol w:w="1050"/>
        <w:gridCol w:w="1270"/>
        <w:gridCol w:w="1238"/>
      </w:tblGrid>
      <w:tr w:rsidR="00FA33C9" w:rsidRPr="00781112" w14:paraId="2361B602" w14:textId="77777777" w:rsidTr="00140972">
        <w:trPr>
          <w:tblHeader/>
        </w:trPr>
        <w:tc>
          <w:tcPr>
            <w:tcW w:w="220" w:type="pct"/>
            <w:shd w:val="clear" w:color="auto" w:fill="auto"/>
            <w:vAlign w:val="bottom"/>
          </w:tcPr>
          <w:p w14:paraId="097BD4DD" w14:textId="77777777" w:rsidR="00FA33C9" w:rsidRPr="00781112" w:rsidRDefault="00FA33C9" w:rsidP="00FA33C9">
            <w:pPr>
              <w:jc w:val="center"/>
              <w:rPr>
                <w:b/>
                <w:color w:val="000000" w:themeColor="text1"/>
              </w:rPr>
            </w:pPr>
            <w:r w:rsidRPr="00781112">
              <w:rPr>
                <w:b/>
                <w:color w:val="000000" w:themeColor="text1"/>
              </w:rPr>
              <w:t>Group</w:t>
            </w:r>
          </w:p>
        </w:tc>
        <w:tc>
          <w:tcPr>
            <w:tcW w:w="563" w:type="pct"/>
            <w:shd w:val="clear" w:color="auto" w:fill="auto"/>
            <w:vAlign w:val="bottom"/>
          </w:tcPr>
          <w:p w14:paraId="221D62AE" w14:textId="46B1DC14" w:rsidR="00FA33C9" w:rsidRPr="00781112" w:rsidRDefault="00FA33C9" w:rsidP="00FA33C9">
            <w:pPr>
              <w:jc w:val="center"/>
              <w:rPr>
                <w:b/>
                <w:color w:val="000000" w:themeColor="text1"/>
              </w:rPr>
            </w:pPr>
            <w:r w:rsidRPr="00781112">
              <w:rPr>
                <w:b/>
                <w:color w:val="000000" w:themeColor="text1"/>
              </w:rPr>
              <w:t>Group Name</w:t>
            </w:r>
          </w:p>
        </w:tc>
        <w:tc>
          <w:tcPr>
            <w:tcW w:w="590" w:type="pct"/>
            <w:shd w:val="clear" w:color="auto" w:fill="auto"/>
            <w:vAlign w:val="bottom"/>
          </w:tcPr>
          <w:p w14:paraId="6EA1E126" w14:textId="66F4FC74" w:rsidR="00FA33C9" w:rsidRPr="00781112" w:rsidRDefault="00FA33C9" w:rsidP="00FA33C9">
            <w:pPr>
              <w:jc w:val="center"/>
              <w:rPr>
                <w:b/>
                <w:color w:val="000000" w:themeColor="text1"/>
              </w:rPr>
            </w:pPr>
            <w:r w:rsidRPr="00781112">
              <w:rPr>
                <w:b/>
                <w:color w:val="000000" w:themeColor="text1"/>
              </w:rPr>
              <w:t xml:space="preserve">Number of Children with IEPs Scoring </w:t>
            </w:r>
            <w:proofErr w:type="gramStart"/>
            <w:r w:rsidRPr="00781112">
              <w:rPr>
                <w:b/>
                <w:color w:val="000000" w:themeColor="text1"/>
              </w:rPr>
              <w:t>At</w:t>
            </w:r>
            <w:proofErr w:type="gramEnd"/>
            <w:r w:rsidRPr="00781112">
              <w:rPr>
                <w:b/>
                <w:color w:val="000000" w:themeColor="text1"/>
              </w:rPr>
              <w:t xml:space="preserve"> or Above Proficient Against Alternate Academic Achievement Standards</w:t>
            </w:r>
          </w:p>
        </w:tc>
        <w:tc>
          <w:tcPr>
            <w:tcW w:w="648" w:type="pct"/>
            <w:shd w:val="clear" w:color="auto" w:fill="auto"/>
            <w:vAlign w:val="bottom"/>
          </w:tcPr>
          <w:p w14:paraId="534757DA" w14:textId="5F85E8DF" w:rsidR="00FA33C9" w:rsidRPr="00781112" w:rsidRDefault="00FA33C9" w:rsidP="00FA33C9">
            <w:pPr>
              <w:jc w:val="center"/>
              <w:rPr>
                <w:b/>
                <w:color w:val="000000" w:themeColor="text1"/>
              </w:rPr>
            </w:pPr>
            <w:r w:rsidRPr="00781112">
              <w:rPr>
                <w:b/>
                <w:color w:val="000000" w:themeColor="text1"/>
              </w:rPr>
              <w:t>Number of Children with IEPs who Received a Valid Score and for whom a Proficiency Level was Assigned for the Alternate Assessment</w:t>
            </w:r>
          </w:p>
        </w:tc>
        <w:tc>
          <w:tcPr>
            <w:tcW w:w="541" w:type="pct"/>
            <w:shd w:val="clear" w:color="auto" w:fill="auto"/>
            <w:vAlign w:val="bottom"/>
          </w:tcPr>
          <w:p w14:paraId="73023982" w14:textId="5A57E984" w:rsidR="00FA33C9" w:rsidRPr="00073BD7" w:rsidRDefault="00FA33C9" w:rsidP="00FA33C9">
            <w:pPr>
              <w:jc w:val="center"/>
              <w:rPr>
                <w:b/>
                <w:bCs/>
                <w:color w:val="000000" w:themeColor="text1"/>
              </w:rPr>
            </w:pPr>
            <w:r w:rsidRPr="00073BD7">
              <w:rPr>
                <w:b/>
                <w:bCs/>
              </w:rPr>
              <w:t>FFY 2021 Data</w:t>
            </w:r>
          </w:p>
        </w:tc>
        <w:tc>
          <w:tcPr>
            <w:tcW w:w="752" w:type="pct"/>
            <w:shd w:val="clear" w:color="auto" w:fill="auto"/>
            <w:vAlign w:val="bottom"/>
          </w:tcPr>
          <w:p w14:paraId="37651EF9" w14:textId="79A64631" w:rsidR="00FA33C9" w:rsidRPr="00073BD7" w:rsidRDefault="00FA33C9" w:rsidP="00FA33C9">
            <w:pPr>
              <w:jc w:val="center"/>
              <w:rPr>
                <w:b/>
                <w:bCs/>
                <w:color w:val="000000" w:themeColor="text1"/>
              </w:rPr>
            </w:pPr>
            <w:r w:rsidRPr="00073BD7">
              <w:rPr>
                <w:b/>
                <w:bCs/>
              </w:rPr>
              <w:t>FFY 2022 Target</w:t>
            </w:r>
          </w:p>
        </w:tc>
        <w:tc>
          <w:tcPr>
            <w:tcW w:w="499" w:type="pct"/>
            <w:shd w:val="clear" w:color="auto" w:fill="auto"/>
            <w:vAlign w:val="bottom"/>
          </w:tcPr>
          <w:p w14:paraId="3D61FBEB" w14:textId="7ADFAC73" w:rsidR="00FA33C9" w:rsidRPr="00073BD7" w:rsidRDefault="00FA33C9" w:rsidP="00FA33C9">
            <w:pPr>
              <w:jc w:val="center"/>
              <w:rPr>
                <w:b/>
                <w:bCs/>
                <w:color w:val="000000" w:themeColor="text1"/>
              </w:rPr>
            </w:pPr>
            <w:r w:rsidRPr="00073BD7">
              <w:rPr>
                <w:b/>
                <w:bCs/>
              </w:rPr>
              <w:t>FFY 2022 Data</w:t>
            </w:r>
          </w:p>
        </w:tc>
        <w:tc>
          <w:tcPr>
            <w:tcW w:w="601" w:type="pct"/>
            <w:shd w:val="clear" w:color="auto" w:fill="auto"/>
            <w:vAlign w:val="bottom"/>
          </w:tcPr>
          <w:p w14:paraId="730A2874" w14:textId="77777777" w:rsidR="00FA33C9" w:rsidRPr="00781112" w:rsidRDefault="00FA33C9" w:rsidP="00FA33C9">
            <w:pPr>
              <w:jc w:val="center"/>
              <w:rPr>
                <w:b/>
                <w:color w:val="000000" w:themeColor="text1"/>
              </w:rPr>
            </w:pPr>
            <w:r w:rsidRPr="00781112">
              <w:rPr>
                <w:b/>
                <w:color w:val="000000" w:themeColor="text1"/>
              </w:rPr>
              <w:t>Status</w:t>
            </w:r>
          </w:p>
        </w:tc>
        <w:tc>
          <w:tcPr>
            <w:tcW w:w="586" w:type="pct"/>
            <w:shd w:val="clear" w:color="auto" w:fill="auto"/>
            <w:vAlign w:val="bottom"/>
          </w:tcPr>
          <w:p w14:paraId="67BEF249" w14:textId="77777777" w:rsidR="00FA33C9" w:rsidRPr="00781112" w:rsidRDefault="00FA33C9" w:rsidP="00FA33C9">
            <w:pPr>
              <w:jc w:val="center"/>
              <w:rPr>
                <w:b/>
                <w:color w:val="000000" w:themeColor="text1"/>
              </w:rPr>
            </w:pPr>
            <w:r w:rsidRPr="00781112">
              <w:rPr>
                <w:b/>
                <w:color w:val="000000" w:themeColor="text1"/>
              </w:rPr>
              <w:t>Slippage</w:t>
            </w:r>
          </w:p>
        </w:tc>
      </w:tr>
      <w:tr w:rsidR="00A31E8A" w:rsidRPr="00781112" w14:paraId="08D65837" w14:textId="77777777" w:rsidTr="00140972">
        <w:tc>
          <w:tcPr>
            <w:tcW w:w="220" w:type="pct"/>
            <w:shd w:val="clear" w:color="auto" w:fill="auto"/>
            <w:vAlign w:val="center"/>
          </w:tcPr>
          <w:p w14:paraId="76903C3F" w14:textId="77777777" w:rsidR="00A31E8A" w:rsidRPr="00781112" w:rsidRDefault="00A31E8A" w:rsidP="00A31E8A">
            <w:pPr>
              <w:pStyle w:val="Default"/>
              <w:jc w:val="center"/>
              <w:rPr>
                <w:b/>
                <w:color w:val="000000" w:themeColor="text1"/>
                <w:sz w:val="16"/>
                <w:szCs w:val="16"/>
              </w:rPr>
            </w:pPr>
            <w:r w:rsidRPr="00781112">
              <w:rPr>
                <w:rFonts w:eastAsiaTheme="minorHAnsi"/>
                <w:b/>
                <w:color w:val="000000" w:themeColor="text1"/>
                <w:sz w:val="16"/>
                <w:szCs w:val="16"/>
              </w:rPr>
              <w:t>A</w:t>
            </w:r>
          </w:p>
        </w:tc>
        <w:tc>
          <w:tcPr>
            <w:tcW w:w="563" w:type="pct"/>
            <w:shd w:val="clear" w:color="auto" w:fill="auto"/>
            <w:vAlign w:val="center"/>
          </w:tcPr>
          <w:p w14:paraId="02026CDE" w14:textId="2E1566AE" w:rsidR="00A31E8A" w:rsidRPr="00781112" w:rsidDel="00DE5045" w:rsidRDefault="00A31E8A" w:rsidP="00A31E8A">
            <w:pPr>
              <w:jc w:val="center"/>
              <w:rPr>
                <w:rFonts w:cs="Arial"/>
                <w:color w:val="000000" w:themeColor="text1"/>
                <w:szCs w:val="16"/>
              </w:rPr>
            </w:pPr>
            <w:r w:rsidRPr="00781112">
              <w:rPr>
                <w:rFonts w:cs="Arial"/>
                <w:color w:val="000000" w:themeColor="text1"/>
                <w:szCs w:val="16"/>
              </w:rPr>
              <w:t>Grade 4</w:t>
            </w:r>
          </w:p>
        </w:tc>
        <w:tc>
          <w:tcPr>
            <w:tcW w:w="590" w:type="pct"/>
            <w:shd w:val="clear" w:color="auto" w:fill="auto"/>
            <w:vAlign w:val="center"/>
          </w:tcPr>
          <w:p w14:paraId="16642EB5" w14:textId="2F43A115" w:rsidR="00A31E8A" w:rsidRPr="00781112" w:rsidRDefault="00A31E8A" w:rsidP="00A31E8A">
            <w:pPr>
              <w:jc w:val="center"/>
              <w:rPr>
                <w:rFonts w:cs="Arial"/>
                <w:color w:val="000000" w:themeColor="text1"/>
                <w:szCs w:val="16"/>
              </w:rPr>
            </w:pPr>
            <w:r w:rsidRPr="00781112">
              <w:rPr>
                <w:rFonts w:cs="Arial"/>
                <w:color w:val="000000" w:themeColor="text1"/>
                <w:szCs w:val="16"/>
              </w:rPr>
              <w:t>172</w:t>
            </w:r>
          </w:p>
        </w:tc>
        <w:tc>
          <w:tcPr>
            <w:tcW w:w="648" w:type="pct"/>
            <w:shd w:val="clear" w:color="auto" w:fill="auto"/>
          </w:tcPr>
          <w:p w14:paraId="1C6085EF" w14:textId="508775F3" w:rsidR="00A31E8A" w:rsidRPr="00781112" w:rsidRDefault="00A31E8A" w:rsidP="00A31E8A">
            <w:pPr>
              <w:jc w:val="center"/>
              <w:rPr>
                <w:rFonts w:cs="Arial"/>
                <w:color w:val="000000" w:themeColor="text1"/>
                <w:szCs w:val="16"/>
              </w:rPr>
            </w:pPr>
            <w:r>
              <w:rPr>
                <w:rFonts w:cs="Arial"/>
                <w:color w:val="000000"/>
                <w:szCs w:val="16"/>
              </w:rPr>
              <w:t>474</w:t>
            </w:r>
          </w:p>
        </w:tc>
        <w:tc>
          <w:tcPr>
            <w:tcW w:w="541" w:type="pct"/>
            <w:shd w:val="clear" w:color="auto" w:fill="auto"/>
            <w:vAlign w:val="center"/>
          </w:tcPr>
          <w:p w14:paraId="3DFEF3CC" w14:textId="273D8D28" w:rsidR="00A31E8A" w:rsidRPr="00781112" w:rsidRDefault="00A31E8A" w:rsidP="00A31E8A">
            <w:pPr>
              <w:jc w:val="center"/>
              <w:rPr>
                <w:rFonts w:cs="Arial"/>
                <w:color w:val="000000" w:themeColor="text1"/>
                <w:szCs w:val="16"/>
              </w:rPr>
            </w:pPr>
            <w:r w:rsidRPr="00781112">
              <w:rPr>
                <w:rFonts w:cs="Arial"/>
                <w:color w:val="000000" w:themeColor="text1"/>
                <w:szCs w:val="16"/>
              </w:rPr>
              <w:t>35.32%</w:t>
            </w:r>
          </w:p>
        </w:tc>
        <w:tc>
          <w:tcPr>
            <w:tcW w:w="752" w:type="pct"/>
            <w:shd w:val="clear" w:color="auto" w:fill="auto"/>
            <w:vAlign w:val="center"/>
          </w:tcPr>
          <w:p w14:paraId="78DBA801" w14:textId="0BA3B321" w:rsidR="00A31E8A" w:rsidRPr="00781112" w:rsidRDefault="00A31E8A" w:rsidP="00A31E8A">
            <w:pPr>
              <w:jc w:val="center"/>
              <w:rPr>
                <w:rFonts w:cs="Arial"/>
                <w:color w:val="000000" w:themeColor="text1"/>
                <w:szCs w:val="16"/>
              </w:rPr>
            </w:pPr>
            <w:r w:rsidRPr="00781112">
              <w:rPr>
                <w:rFonts w:cs="Arial"/>
                <w:color w:val="000000" w:themeColor="text1"/>
                <w:szCs w:val="16"/>
              </w:rPr>
              <w:t>27.69%</w:t>
            </w:r>
          </w:p>
        </w:tc>
        <w:tc>
          <w:tcPr>
            <w:tcW w:w="499" w:type="pct"/>
            <w:shd w:val="clear" w:color="auto" w:fill="auto"/>
            <w:vAlign w:val="center"/>
          </w:tcPr>
          <w:p w14:paraId="1DC938D5" w14:textId="450CB901" w:rsidR="00A31E8A" w:rsidRPr="00781112" w:rsidRDefault="00A31E8A" w:rsidP="00A31E8A">
            <w:pPr>
              <w:jc w:val="center"/>
              <w:rPr>
                <w:rFonts w:cs="Arial"/>
                <w:color w:val="000000" w:themeColor="text1"/>
                <w:szCs w:val="16"/>
              </w:rPr>
            </w:pPr>
            <w:r w:rsidRPr="00781112">
              <w:rPr>
                <w:rFonts w:cs="Arial"/>
                <w:color w:val="000000" w:themeColor="text1"/>
                <w:szCs w:val="16"/>
              </w:rPr>
              <w:t>36.29%</w:t>
            </w:r>
          </w:p>
        </w:tc>
        <w:tc>
          <w:tcPr>
            <w:tcW w:w="601" w:type="pct"/>
            <w:shd w:val="clear" w:color="auto" w:fill="auto"/>
            <w:vAlign w:val="center"/>
          </w:tcPr>
          <w:p w14:paraId="4B9610A1" w14:textId="71C9791E" w:rsidR="00A31E8A" w:rsidRPr="00781112" w:rsidRDefault="00A31E8A" w:rsidP="00A31E8A">
            <w:pPr>
              <w:jc w:val="center"/>
              <w:rPr>
                <w:rFonts w:cs="Arial"/>
                <w:color w:val="000000" w:themeColor="text1"/>
                <w:szCs w:val="16"/>
              </w:rPr>
            </w:pPr>
            <w:r w:rsidRPr="00781112">
              <w:rPr>
                <w:rFonts w:cs="Arial"/>
                <w:color w:val="000000" w:themeColor="text1"/>
                <w:szCs w:val="16"/>
              </w:rPr>
              <w:t>Met target</w:t>
            </w:r>
          </w:p>
        </w:tc>
        <w:tc>
          <w:tcPr>
            <w:tcW w:w="586" w:type="pct"/>
            <w:shd w:val="clear" w:color="auto" w:fill="auto"/>
            <w:vAlign w:val="center"/>
          </w:tcPr>
          <w:p w14:paraId="5708D4BE" w14:textId="328B6097" w:rsidR="00A31E8A" w:rsidRPr="00781112" w:rsidRDefault="00A31E8A" w:rsidP="00A31E8A">
            <w:pPr>
              <w:jc w:val="center"/>
              <w:rPr>
                <w:rFonts w:cs="Arial"/>
                <w:color w:val="000000" w:themeColor="text1"/>
                <w:szCs w:val="16"/>
              </w:rPr>
            </w:pPr>
            <w:r w:rsidRPr="00781112">
              <w:rPr>
                <w:rFonts w:cs="Arial"/>
                <w:color w:val="000000" w:themeColor="text1"/>
                <w:szCs w:val="16"/>
              </w:rPr>
              <w:t>No Slippage</w:t>
            </w:r>
          </w:p>
        </w:tc>
      </w:tr>
      <w:tr w:rsidR="00A31E8A" w:rsidRPr="00781112" w14:paraId="5E0D5724" w14:textId="77777777" w:rsidTr="00140972">
        <w:tc>
          <w:tcPr>
            <w:tcW w:w="220" w:type="pct"/>
            <w:shd w:val="clear" w:color="auto" w:fill="auto"/>
            <w:vAlign w:val="center"/>
          </w:tcPr>
          <w:p w14:paraId="2202EBA2" w14:textId="77777777" w:rsidR="00A31E8A" w:rsidRPr="00781112" w:rsidRDefault="00A31E8A" w:rsidP="00A31E8A">
            <w:pPr>
              <w:pStyle w:val="Default"/>
              <w:jc w:val="center"/>
              <w:rPr>
                <w:b/>
                <w:color w:val="000000" w:themeColor="text1"/>
                <w:sz w:val="16"/>
                <w:szCs w:val="16"/>
              </w:rPr>
            </w:pPr>
            <w:r w:rsidRPr="00781112">
              <w:rPr>
                <w:b/>
                <w:color w:val="000000" w:themeColor="text1"/>
                <w:sz w:val="16"/>
                <w:szCs w:val="16"/>
              </w:rPr>
              <w:t>B</w:t>
            </w:r>
          </w:p>
        </w:tc>
        <w:tc>
          <w:tcPr>
            <w:tcW w:w="563" w:type="pct"/>
            <w:shd w:val="clear" w:color="auto" w:fill="auto"/>
            <w:vAlign w:val="center"/>
          </w:tcPr>
          <w:p w14:paraId="2BE28CC3" w14:textId="5462148F" w:rsidR="00A31E8A" w:rsidRPr="00781112" w:rsidDel="00DE5045" w:rsidRDefault="00A31E8A" w:rsidP="00A31E8A">
            <w:pPr>
              <w:jc w:val="center"/>
              <w:rPr>
                <w:rFonts w:cs="Arial"/>
                <w:color w:val="000000" w:themeColor="text1"/>
                <w:szCs w:val="16"/>
              </w:rPr>
            </w:pPr>
            <w:r w:rsidRPr="00781112">
              <w:rPr>
                <w:rFonts w:cs="Arial"/>
                <w:color w:val="000000" w:themeColor="text1"/>
                <w:szCs w:val="16"/>
              </w:rPr>
              <w:t>Grade 8</w:t>
            </w:r>
          </w:p>
        </w:tc>
        <w:tc>
          <w:tcPr>
            <w:tcW w:w="590" w:type="pct"/>
            <w:shd w:val="clear" w:color="auto" w:fill="auto"/>
            <w:vAlign w:val="center"/>
          </w:tcPr>
          <w:p w14:paraId="65165B6C" w14:textId="77C4C484" w:rsidR="00A31E8A" w:rsidRPr="00781112" w:rsidRDefault="00A31E8A" w:rsidP="00A31E8A">
            <w:pPr>
              <w:jc w:val="center"/>
              <w:rPr>
                <w:rFonts w:cs="Arial"/>
                <w:color w:val="000000" w:themeColor="text1"/>
                <w:szCs w:val="16"/>
              </w:rPr>
            </w:pPr>
            <w:r w:rsidRPr="00781112">
              <w:rPr>
                <w:rFonts w:cs="Arial"/>
                <w:color w:val="000000" w:themeColor="text1"/>
                <w:szCs w:val="16"/>
              </w:rPr>
              <w:t>33</w:t>
            </w:r>
          </w:p>
        </w:tc>
        <w:tc>
          <w:tcPr>
            <w:tcW w:w="648" w:type="pct"/>
            <w:shd w:val="clear" w:color="auto" w:fill="auto"/>
          </w:tcPr>
          <w:p w14:paraId="25BE3991" w14:textId="52B3E29B" w:rsidR="00A31E8A" w:rsidRPr="00781112" w:rsidRDefault="00A31E8A" w:rsidP="00A31E8A">
            <w:pPr>
              <w:jc w:val="center"/>
              <w:rPr>
                <w:rFonts w:cs="Arial"/>
                <w:color w:val="000000" w:themeColor="text1"/>
                <w:szCs w:val="16"/>
              </w:rPr>
            </w:pPr>
            <w:r>
              <w:rPr>
                <w:rFonts w:cs="Arial"/>
                <w:color w:val="000000"/>
                <w:szCs w:val="16"/>
              </w:rPr>
              <w:t>497</w:t>
            </w:r>
          </w:p>
        </w:tc>
        <w:tc>
          <w:tcPr>
            <w:tcW w:w="541" w:type="pct"/>
            <w:shd w:val="clear" w:color="auto" w:fill="auto"/>
            <w:vAlign w:val="center"/>
          </w:tcPr>
          <w:p w14:paraId="0DB348C5" w14:textId="2F8A4588" w:rsidR="00A31E8A" w:rsidRPr="00781112" w:rsidRDefault="00A31E8A" w:rsidP="00A31E8A">
            <w:pPr>
              <w:jc w:val="center"/>
              <w:rPr>
                <w:rFonts w:cs="Arial"/>
                <w:color w:val="000000" w:themeColor="text1"/>
                <w:szCs w:val="16"/>
              </w:rPr>
            </w:pPr>
            <w:r w:rsidRPr="00781112">
              <w:rPr>
                <w:rFonts w:cs="Arial"/>
                <w:color w:val="000000" w:themeColor="text1"/>
                <w:szCs w:val="16"/>
              </w:rPr>
              <w:t>8.95%</w:t>
            </w:r>
          </w:p>
        </w:tc>
        <w:tc>
          <w:tcPr>
            <w:tcW w:w="752" w:type="pct"/>
            <w:shd w:val="clear" w:color="auto" w:fill="auto"/>
            <w:vAlign w:val="center"/>
          </w:tcPr>
          <w:p w14:paraId="31FB5FEB" w14:textId="4BF20A90" w:rsidR="00A31E8A" w:rsidRPr="00781112" w:rsidRDefault="00A31E8A" w:rsidP="00A31E8A">
            <w:pPr>
              <w:jc w:val="center"/>
              <w:rPr>
                <w:rFonts w:cs="Arial"/>
                <w:color w:val="000000" w:themeColor="text1"/>
                <w:szCs w:val="16"/>
              </w:rPr>
            </w:pPr>
            <w:r w:rsidRPr="00781112">
              <w:rPr>
                <w:rFonts w:cs="Arial"/>
                <w:color w:val="000000" w:themeColor="text1"/>
                <w:szCs w:val="16"/>
              </w:rPr>
              <w:t>11.77%</w:t>
            </w:r>
          </w:p>
        </w:tc>
        <w:tc>
          <w:tcPr>
            <w:tcW w:w="499" w:type="pct"/>
            <w:shd w:val="clear" w:color="auto" w:fill="auto"/>
            <w:vAlign w:val="center"/>
          </w:tcPr>
          <w:p w14:paraId="139B969C" w14:textId="619F4507" w:rsidR="00A31E8A" w:rsidRPr="00781112" w:rsidRDefault="00A31E8A" w:rsidP="00A31E8A">
            <w:pPr>
              <w:jc w:val="center"/>
              <w:rPr>
                <w:rFonts w:cs="Arial"/>
                <w:color w:val="000000" w:themeColor="text1"/>
                <w:szCs w:val="16"/>
              </w:rPr>
            </w:pPr>
            <w:r w:rsidRPr="00781112">
              <w:rPr>
                <w:rFonts w:cs="Arial"/>
                <w:color w:val="000000" w:themeColor="text1"/>
                <w:szCs w:val="16"/>
              </w:rPr>
              <w:t>6.64%</w:t>
            </w:r>
          </w:p>
        </w:tc>
        <w:tc>
          <w:tcPr>
            <w:tcW w:w="601" w:type="pct"/>
            <w:shd w:val="clear" w:color="auto" w:fill="auto"/>
            <w:vAlign w:val="center"/>
          </w:tcPr>
          <w:p w14:paraId="52EDA926" w14:textId="7B797DBA" w:rsidR="00A31E8A" w:rsidRPr="00781112" w:rsidRDefault="00A31E8A" w:rsidP="00A31E8A">
            <w:pPr>
              <w:jc w:val="center"/>
              <w:rPr>
                <w:rFonts w:cs="Arial"/>
                <w:color w:val="000000" w:themeColor="text1"/>
                <w:szCs w:val="16"/>
              </w:rPr>
            </w:pPr>
            <w:r w:rsidRPr="00781112">
              <w:rPr>
                <w:rFonts w:cs="Arial"/>
                <w:color w:val="000000" w:themeColor="text1"/>
                <w:szCs w:val="16"/>
              </w:rPr>
              <w:t>Did not meet target</w:t>
            </w:r>
          </w:p>
        </w:tc>
        <w:tc>
          <w:tcPr>
            <w:tcW w:w="586" w:type="pct"/>
            <w:shd w:val="clear" w:color="auto" w:fill="auto"/>
            <w:vAlign w:val="center"/>
          </w:tcPr>
          <w:p w14:paraId="027F05C7" w14:textId="42C60C06" w:rsidR="00A31E8A" w:rsidRPr="00781112" w:rsidRDefault="00A31E8A" w:rsidP="00A31E8A">
            <w:pPr>
              <w:jc w:val="center"/>
              <w:rPr>
                <w:rFonts w:cs="Arial"/>
                <w:color w:val="000000" w:themeColor="text1"/>
                <w:szCs w:val="16"/>
              </w:rPr>
            </w:pPr>
            <w:r w:rsidRPr="00781112">
              <w:rPr>
                <w:rFonts w:cs="Arial"/>
                <w:color w:val="000000" w:themeColor="text1"/>
                <w:szCs w:val="16"/>
              </w:rPr>
              <w:t>Slippage</w:t>
            </w:r>
          </w:p>
        </w:tc>
      </w:tr>
      <w:tr w:rsidR="00A31E8A" w:rsidRPr="00781112" w14:paraId="6F15E001" w14:textId="77777777" w:rsidTr="00140972">
        <w:tc>
          <w:tcPr>
            <w:tcW w:w="220" w:type="pct"/>
            <w:shd w:val="clear" w:color="auto" w:fill="auto"/>
            <w:vAlign w:val="center"/>
          </w:tcPr>
          <w:p w14:paraId="40D4F498" w14:textId="77777777" w:rsidR="00A31E8A" w:rsidRPr="00781112" w:rsidRDefault="00A31E8A" w:rsidP="00A31E8A">
            <w:pPr>
              <w:pStyle w:val="Default"/>
              <w:jc w:val="center"/>
              <w:rPr>
                <w:rFonts w:eastAsiaTheme="minorHAnsi"/>
                <w:color w:val="000000" w:themeColor="text1"/>
                <w:sz w:val="16"/>
                <w:szCs w:val="16"/>
              </w:rPr>
            </w:pPr>
            <w:r w:rsidRPr="00781112">
              <w:rPr>
                <w:b/>
                <w:color w:val="000000" w:themeColor="text1"/>
                <w:sz w:val="16"/>
                <w:szCs w:val="16"/>
              </w:rPr>
              <w:t>C</w:t>
            </w:r>
          </w:p>
        </w:tc>
        <w:tc>
          <w:tcPr>
            <w:tcW w:w="563" w:type="pct"/>
            <w:shd w:val="clear" w:color="auto" w:fill="auto"/>
            <w:vAlign w:val="center"/>
          </w:tcPr>
          <w:p w14:paraId="200262C5" w14:textId="22AC7908" w:rsidR="00A31E8A" w:rsidRPr="00781112" w:rsidDel="00DE5045" w:rsidRDefault="00A31E8A" w:rsidP="00A31E8A">
            <w:pPr>
              <w:jc w:val="center"/>
              <w:rPr>
                <w:rFonts w:cs="Arial"/>
                <w:color w:val="000000" w:themeColor="text1"/>
                <w:szCs w:val="16"/>
              </w:rPr>
            </w:pPr>
            <w:r w:rsidRPr="00781112">
              <w:rPr>
                <w:rFonts w:cs="Arial"/>
                <w:color w:val="000000" w:themeColor="text1"/>
                <w:szCs w:val="16"/>
              </w:rPr>
              <w:t>Grade HS</w:t>
            </w:r>
          </w:p>
        </w:tc>
        <w:tc>
          <w:tcPr>
            <w:tcW w:w="590" w:type="pct"/>
            <w:shd w:val="clear" w:color="auto" w:fill="auto"/>
            <w:vAlign w:val="center"/>
          </w:tcPr>
          <w:p w14:paraId="44B84702" w14:textId="5A092874" w:rsidR="00A31E8A" w:rsidRPr="00781112" w:rsidRDefault="00A31E8A" w:rsidP="00A31E8A">
            <w:pPr>
              <w:jc w:val="center"/>
              <w:rPr>
                <w:rFonts w:cs="Arial"/>
                <w:color w:val="000000" w:themeColor="text1"/>
                <w:szCs w:val="16"/>
              </w:rPr>
            </w:pPr>
            <w:r w:rsidRPr="00781112">
              <w:rPr>
                <w:rFonts w:cs="Arial"/>
                <w:color w:val="000000" w:themeColor="text1"/>
                <w:szCs w:val="16"/>
              </w:rPr>
              <w:t>83</w:t>
            </w:r>
          </w:p>
        </w:tc>
        <w:tc>
          <w:tcPr>
            <w:tcW w:w="648" w:type="pct"/>
            <w:shd w:val="clear" w:color="auto" w:fill="auto"/>
          </w:tcPr>
          <w:p w14:paraId="6C88DEC2" w14:textId="2C61C34F" w:rsidR="00A31E8A" w:rsidRPr="00781112" w:rsidRDefault="00A31E8A" w:rsidP="00A31E8A">
            <w:pPr>
              <w:jc w:val="center"/>
              <w:rPr>
                <w:rFonts w:cs="Arial"/>
                <w:color w:val="000000" w:themeColor="text1"/>
                <w:szCs w:val="16"/>
              </w:rPr>
            </w:pPr>
            <w:r>
              <w:rPr>
                <w:rFonts w:cs="Arial"/>
                <w:color w:val="000000"/>
                <w:szCs w:val="16"/>
              </w:rPr>
              <w:t>402</w:t>
            </w:r>
          </w:p>
        </w:tc>
        <w:tc>
          <w:tcPr>
            <w:tcW w:w="541" w:type="pct"/>
            <w:shd w:val="clear" w:color="auto" w:fill="auto"/>
            <w:vAlign w:val="center"/>
          </w:tcPr>
          <w:p w14:paraId="59D699CF" w14:textId="460A79FA" w:rsidR="00A31E8A" w:rsidRPr="00781112" w:rsidRDefault="00A31E8A" w:rsidP="00A31E8A">
            <w:pPr>
              <w:jc w:val="center"/>
              <w:rPr>
                <w:rFonts w:cs="Arial"/>
                <w:color w:val="000000" w:themeColor="text1"/>
                <w:szCs w:val="16"/>
              </w:rPr>
            </w:pPr>
            <w:r w:rsidRPr="00781112">
              <w:rPr>
                <w:rFonts w:cs="Arial"/>
                <w:color w:val="000000" w:themeColor="text1"/>
                <w:szCs w:val="16"/>
              </w:rPr>
              <w:t>21.76%</w:t>
            </w:r>
          </w:p>
        </w:tc>
        <w:tc>
          <w:tcPr>
            <w:tcW w:w="752" w:type="pct"/>
            <w:shd w:val="clear" w:color="auto" w:fill="auto"/>
            <w:vAlign w:val="center"/>
          </w:tcPr>
          <w:p w14:paraId="18D7723E" w14:textId="7A443B62" w:rsidR="00A31E8A" w:rsidRPr="00781112" w:rsidRDefault="00A31E8A" w:rsidP="00A31E8A">
            <w:pPr>
              <w:jc w:val="center"/>
              <w:rPr>
                <w:rFonts w:cs="Arial"/>
                <w:color w:val="000000" w:themeColor="text1"/>
                <w:szCs w:val="16"/>
              </w:rPr>
            </w:pPr>
            <w:r w:rsidRPr="00781112">
              <w:rPr>
                <w:rFonts w:cs="Arial"/>
                <w:color w:val="000000" w:themeColor="text1"/>
                <w:szCs w:val="16"/>
              </w:rPr>
              <w:t>6.29%</w:t>
            </w:r>
          </w:p>
        </w:tc>
        <w:tc>
          <w:tcPr>
            <w:tcW w:w="499" w:type="pct"/>
            <w:shd w:val="clear" w:color="auto" w:fill="auto"/>
            <w:vAlign w:val="center"/>
          </w:tcPr>
          <w:p w14:paraId="1C467869" w14:textId="36566B3C" w:rsidR="00A31E8A" w:rsidRPr="00781112" w:rsidRDefault="00A31E8A" w:rsidP="00A31E8A">
            <w:pPr>
              <w:jc w:val="center"/>
              <w:rPr>
                <w:rFonts w:cs="Arial"/>
                <w:color w:val="000000" w:themeColor="text1"/>
                <w:szCs w:val="16"/>
              </w:rPr>
            </w:pPr>
            <w:r w:rsidRPr="00781112">
              <w:rPr>
                <w:rFonts w:cs="Arial"/>
                <w:color w:val="000000" w:themeColor="text1"/>
                <w:szCs w:val="16"/>
              </w:rPr>
              <w:t>20.65%</w:t>
            </w:r>
          </w:p>
        </w:tc>
        <w:tc>
          <w:tcPr>
            <w:tcW w:w="601" w:type="pct"/>
            <w:shd w:val="clear" w:color="auto" w:fill="auto"/>
            <w:vAlign w:val="center"/>
          </w:tcPr>
          <w:p w14:paraId="56861D59" w14:textId="0856E80D" w:rsidR="00A31E8A" w:rsidRPr="00781112" w:rsidRDefault="00A31E8A" w:rsidP="00A31E8A">
            <w:pPr>
              <w:jc w:val="center"/>
              <w:rPr>
                <w:rFonts w:cs="Arial"/>
                <w:color w:val="000000" w:themeColor="text1"/>
                <w:szCs w:val="16"/>
              </w:rPr>
            </w:pPr>
            <w:r w:rsidRPr="00781112">
              <w:rPr>
                <w:rFonts w:cs="Arial"/>
                <w:color w:val="000000" w:themeColor="text1"/>
                <w:szCs w:val="16"/>
              </w:rPr>
              <w:t>Met target</w:t>
            </w:r>
          </w:p>
        </w:tc>
        <w:tc>
          <w:tcPr>
            <w:tcW w:w="586" w:type="pct"/>
            <w:shd w:val="clear" w:color="auto" w:fill="auto"/>
            <w:vAlign w:val="center"/>
          </w:tcPr>
          <w:p w14:paraId="7220CAED" w14:textId="6484F1AC" w:rsidR="00A31E8A" w:rsidRPr="00781112" w:rsidRDefault="00A31E8A" w:rsidP="00A31E8A">
            <w:pPr>
              <w:jc w:val="center"/>
              <w:rPr>
                <w:rFonts w:cs="Arial"/>
                <w:color w:val="000000" w:themeColor="text1"/>
                <w:szCs w:val="16"/>
              </w:rPr>
            </w:pPr>
            <w:r w:rsidRPr="00781112">
              <w:rPr>
                <w:rFonts w:cs="Arial"/>
                <w:color w:val="000000" w:themeColor="text1"/>
                <w:szCs w:val="16"/>
              </w:rPr>
              <w:t>No Slippage</w:t>
            </w:r>
          </w:p>
        </w:tc>
      </w:tr>
    </w:tbl>
    <w:p w14:paraId="5AEEFFF3" w14:textId="77777777" w:rsidR="00BC545C" w:rsidRPr="00781112" w:rsidRDefault="00BC545C" w:rsidP="00BC545C">
      <w:pPr>
        <w:rPr>
          <w:b/>
          <w:color w:val="000000" w:themeColor="text1"/>
        </w:rPr>
      </w:pPr>
      <w:r w:rsidRPr="00781112">
        <w:rPr>
          <w:b/>
          <w:color w:val="000000" w:themeColor="text1"/>
        </w:rPr>
        <w:t>Provide reasons for slippage for Group A, if applicable</w:t>
      </w:r>
    </w:p>
    <w:p w14:paraId="1DDE00F8" w14:textId="3D8E6705" w:rsidR="00BC545C" w:rsidRPr="00781112" w:rsidRDefault="00BC545C" w:rsidP="00BC545C">
      <w:pPr>
        <w:rPr>
          <w:rFonts w:cs="Arial"/>
          <w:color w:val="000000" w:themeColor="text1"/>
          <w:szCs w:val="16"/>
        </w:rPr>
      </w:pPr>
    </w:p>
    <w:p w14:paraId="3EF6DDB5" w14:textId="77777777" w:rsidR="00BC545C" w:rsidRPr="00781112" w:rsidRDefault="00BC545C" w:rsidP="00BC545C">
      <w:pPr>
        <w:rPr>
          <w:b/>
          <w:color w:val="000000" w:themeColor="text1"/>
        </w:rPr>
      </w:pPr>
      <w:r w:rsidRPr="00781112">
        <w:rPr>
          <w:b/>
          <w:color w:val="000000" w:themeColor="text1"/>
        </w:rPr>
        <w:t>Provide reasons for slippage for Group B, if applicable</w:t>
      </w:r>
    </w:p>
    <w:p w14:paraId="1FA44525" w14:textId="1B1302EF" w:rsidR="00BC545C" w:rsidRPr="00781112" w:rsidRDefault="00BC545C" w:rsidP="00BC545C">
      <w:pPr>
        <w:rPr>
          <w:rFonts w:cs="Arial"/>
          <w:color w:val="000000" w:themeColor="text1"/>
          <w:szCs w:val="16"/>
        </w:rPr>
      </w:pPr>
      <w:r w:rsidRPr="00781112">
        <w:rPr>
          <w:rFonts w:cs="Arial"/>
          <w:color w:val="000000" w:themeColor="text1"/>
          <w:szCs w:val="16"/>
        </w:rPr>
        <w:t>More students participated this year than in past 8th-grade assessments, where parental opt had been more prevalent. The higher participation rate may have impacted performance as the assessment process was new to more students who had not previously participated.  The ongoing significant recovery rates post-COVID have been slower for students with disabilities, especially for the 1% population and specifically in math, which has requisite skills needed from one grade to the next.  There is not a specialized or adaptive curriculum in math for this population like there is for reading.  Although the curriculum should be the same, teachers seem to need extra support to provide instruction, the gap continues to increase as content becomes more rigorous.  These have also been impacted by absenteeism and parent-</w:t>
      </w:r>
      <w:proofErr w:type="gramStart"/>
      <w:r w:rsidRPr="00781112">
        <w:rPr>
          <w:rFonts w:cs="Arial"/>
          <w:color w:val="000000" w:themeColor="text1"/>
          <w:szCs w:val="16"/>
        </w:rPr>
        <w:t>opt</w:t>
      </w:r>
      <w:proofErr w:type="gramEnd"/>
      <w:r w:rsidRPr="00781112">
        <w:rPr>
          <w:rFonts w:cs="Arial"/>
          <w:color w:val="000000" w:themeColor="text1"/>
          <w:szCs w:val="16"/>
        </w:rPr>
        <w:t xml:space="preserve">.  Further, there is still a belief by educators and some families that these students should be focused on functional/adaptive skills and not on academics.  </w:t>
      </w:r>
    </w:p>
    <w:p w14:paraId="5EB0A206" w14:textId="77777777" w:rsidR="00445640" w:rsidRPr="00781112" w:rsidRDefault="00445640" w:rsidP="000C3A20">
      <w:pPr>
        <w:rPr>
          <w:color w:val="000000" w:themeColor="text1"/>
        </w:rPr>
      </w:pPr>
    </w:p>
    <w:p w14:paraId="4F8B3B70" w14:textId="05453045" w:rsidR="000A5A2E" w:rsidRPr="00781112" w:rsidRDefault="000A5A2E" w:rsidP="004369B2">
      <w:pPr>
        <w:rPr>
          <w:color w:val="000000" w:themeColor="text1"/>
        </w:rPr>
      </w:pPr>
      <w:r w:rsidRPr="00781112">
        <w:rPr>
          <w:b/>
          <w:color w:val="000000" w:themeColor="text1"/>
        </w:rPr>
        <w:t>Regulatory Information</w:t>
      </w:r>
    </w:p>
    <w:p w14:paraId="2B741846" w14:textId="30EBAA23" w:rsidR="000A5A2E" w:rsidRPr="00781112" w:rsidRDefault="00A14B5D" w:rsidP="00286BDF">
      <w:pPr>
        <w:rPr>
          <w:rFonts w:cs="Arial"/>
          <w:b/>
          <w:color w:val="000000" w:themeColor="text1"/>
          <w:szCs w:val="16"/>
          <w:shd w:val="clear" w:color="auto" w:fill="FFFFFF"/>
        </w:rPr>
      </w:pPr>
      <w:r w:rsidRPr="00781112">
        <w:rPr>
          <w:rFonts w:cs="Arial"/>
          <w:b/>
          <w:color w:val="000000" w:themeColor="text1"/>
          <w:szCs w:val="16"/>
        </w:rPr>
        <w:lastRenderedPageBreak/>
        <w:t>The SEA, (or, in the case of a district-wide assessment, LEA) must make available to the public, and report to the public with the same frequency and in the same detail as it reports on the assessment of nondisabled children: (1) the number of children with disabilities participating in: (a) regular assessments, and the number of those children who were provided accommodations in order to participate in those assessments; and (b) alternate assessments aligned with alternate achievement standards; and (2) the performance of children with disabilities on regular assessments and on alternate assessments, compared with the achievement of all children, including children with disabilities, on those assessments. [20 U.S.C. 1412 (a)(16)(D); 34 CFR §300.160(f)]</w:t>
      </w:r>
    </w:p>
    <w:p w14:paraId="7C3B3355" w14:textId="77777777" w:rsidR="00241BD0" w:rsidRPr="00781112" w:rsidRDefault="00241BD0" w:rsidP="004369B2">
      <w:pPr>
        <w:rPr>
          <w:color w:val="000000" w:themeColor="text1"/>
        </w:rPr>
      </w:pPr>
    </w:p>
    <w:p w14:paraId="1FD3EE14" w14:textId="6446691C" w:rsidR="000A5A2E" w:rsidRPr="00781112" w:rsidRDefault="000A5A2E" w:rsidP="004369B2">
      <w:pPr>
        <w:rPr>
          <w:color w:val="000000" w:themeColor="text1"/>
        </w:rPr>
      </w:pPr>
      <w:r w:rsidRPr="00781112">
        <w:rPr>
          <w:b/>
          <w:color w:val="000000" w:themeColor="text1"/>
        </w:rPr>
        <w:t>Public Reporting Information</w:t>
      </w:r>
    </w:p>
    <w:p w14:paraId="20613508" w14:textId="77777777" w:rsidR="000A5A2E" w:rsidRPr="00781112" w:rsidRDefault="000A5A2E" w:rsidP="000A5A2E">
      <w:pPr>
        <w:rPr>
          <w:rFonts w:cs="Arial"/>
          <w:b/>
          <w:color w:val="000000" w:themeColor="text1"/>
          <w:szCs w:val="16"/>
        </w:rPr>
      </w:pPr>
      <w:r w:rsidRPr="00781112">
        <w:rPr>
          <w:rFonts w:cs="Arial"/>
          <w:b/>
          <w:color w:val="000000" w:themeColor="text1"/>
          <w:szCs w:val="16"/>
        </w:rPr>
        <w:t xml:space="preserve">Provide links to the page(s) where you provide public reports of assessment results. </w:t>
      </w:r>
    </w:p>
    <w:p w14:paraId="1F0C4C7F" w14:textId="52384A95" w:rsidR="00A869E9" w:rsidRPr="00781112" w:rsidRDefault="00DD3719" w:rsidP="009C613A">
      <w:pPr>
        <w:rPr>
          <w:rFonts w:cs="Arial"/>
          <w:color w:val="000000" w:themeColor="text1"/>
          <w:szCs w:val="16"/>
        </w:rPr>
      </w:pPr>
      <w:r w:rsidRPr="00781112">
        <w:rPr>
          <w:rFonts w:cs="Arial"/>
          <w:color w:val="000000" w:themeColor="text1"/>
          <w:szCs w:val="16"/>
          <w:shd w:val="clear" w:color="auto" w:fill="FFFFFF"/>
        </w:rPr>
        <w:t>Public reporting is available in a spreadsheet in the section "Participation and Achievement in the State Assessments" on this web page: http://www.cde.state.co.us/cdesped/sped_data</w:t>
      </w:r>
      <w:r w:rsidRPr="00781112">
        <w:rPr>
          <w:rFonts w:cs="Arial"/>
          <w:color w:val="000000" w:themeColor="text1"/>
          <w:szCs w:val="16"/>
          <w:shd w:val="clear" w:color="auto" w:fill="FFFFFF"/>
        </w:rPr>
        <w:br/>
      </w:r>
      <w:r w:rsidRPr="00781112">
        <w:rPr>
          <w:rFonts w:cs="Arial"/>
          <w:color w:val="000000" w:themeColor="text1"/>
          <w:szCs w:val="16"/>
          <w:shd w:val="clear" w:color="auto" w:fill="FFFFFF"/>
        </w:rPr>
        <w:br/>
        <w:t>Reporting of the Colorado Measures of Academic Success data in accordance with 34 CFR §300.160(f) can be found at:</w:t>
      </w:r>
      <w:r w:rsidRPr="00781112">
        <w:rPr>
          <w:rFonts w:cs="Arial"/>
          <w:color w:val="000000" w:themeColor="text1"/>
          <w:szCs w:val="16"/>
          <w:shd w:val="clear" w:color="auto" w:fill="FFFFFF"/>
        </w:rPr>
        <w:br/>
        <w:t>http://www.cde.state.co.us/assessment/cmas-dataandresults</w:t>
      </w:r>
      <w:r w:rsidRPr="00781112">
        <w:rPr>
          <w:rFonts w:cs="Arial"/>
          <w:color w:val="000000" w:themeColor="text1"/>
          <w:szCs w:val="16"/>
          <w:shd w:val="clear" w:color="auto" w:fill="FFFFFF"/>
        </w:rPr>
        <w:br/>
        <w:t xml:space="preserve"> </w:t>
      </w:r>
      <w:r w:rsidRPr="00781112">
        <w:rPr>
          <w:rFonts w:cs="Arial"/>
          <w:color w:val="000000" w:themeColor="text1"/>
          <w:szCs w:val="16"/>
          <w:shd w:val="clear" w:color="auto" w:fill="FFFFFF"/>
        </w:rPr>
        <w:br/>
        <w:t>Performance results for Colorado’s Alternate Assessment (CoAlt), based on alternate standards can be found on the CDE’s website at:</w:t>
      </w:r>
      <w:r w:rsidRPr="00781112">
        <w:rPr>
          <w:rFonts w:cs="Arial"/>
          <w:color w:val="000000" w:themeColor="text1"/>
          <w:szCs w:val="16"/>
          <w:shd w:val="clear" w:color="auto" w:fill="FFFFFF"/>
        </w:rPr>
        <w:br/>
        <w:t>http://www.cde.state.co.us/assessment/newassess-coaltelam</w:t>
      </w:r>
      <w:r w:rsidRPr="00781112">
        <w:rPr>
          <w:rFonts w:cs="Arial"/>
          <w:color w:val="000000" w:themeColor="text1"/>
          <w:szCs w:val="16"/>
          <w:shd w:val="clear" w:color="auto" w:fill="FFFFFF"/>
        </w:rPr>
        <w:br/>
        <w:t xml:space="preserve">http://www.cde.state.co.us/assessment/newassess-coaltsss </w:t>
      </w:r>
      <w:r w:rsidRPr="00781112">
        <w:rPr>
          <w:rFonts w:cs="Arial"/>
          <w:color w:val="000000" w:themeColor="text1"/>
          <w:szCs w:val="16"/>
          <w:shd w:val="clear" w:color="auto" w:fill="FFFFFF"/>
        </w:rPr>
        <w:br/>
      </w:r>
      <w:r w:rsidRPr="00781112">
        <w:rPr>
          <w:rFonts w:cs="Arial"/>
          <w:color w:val="000000" w:themeColor="text1"/>
          <w:szCs w:val="16"/>
          <w:shd w:val="clear" w:color="auto" w:fill="FFFFFF"/>
        </w:rPr>
        <w:br/>
        <w:t xml:space="preserve">Additional district or individual school information can be found at </w:t>
      </w:r>
      <w:r w:rsidRPr="00781112">
        <w:rPr>
          <w:rFonts w:cs="Arial"/>
          <w:color w:val="000000" w:themeColor="text1"/>
          <w:szCs w:val="16"/>
          <w:shd w:val="clear" w:color="auto" w:fill="FFFFFF"/>
        </w:rPr>
        <w:br/>
        <w:t>http://www.cde.state.co.us/schoolview</w:t>
      </w:r>
    </w:p>
    <w:p w14:paraId="32BCE51B" w14:textId="77777777" w:rsidR="00796DC0" w:rsidRPr="00781112" w:rsidRDefault="00796DC0" w:rsidP="004369B2">
      <w:pPr>
        <w:rPr>
          <w:b/>
          <w:color w:val="000000" w:themeColor="text1"/>
        </w:rPr>
      </w:pPr>
      <w:r w:rsidRPr="00781112">
        <w:rPr>
          <w:b/>
          <w:color w:val="000000" w:themeColor="text1"/>
        </w:rPr>
        <w:t>Provide additional information about this indicator (optional)</w:t>
      </w:r>
    </w:p>
    <w:p w14:paraId="19728EE3" w14:textId="7FE6C853" w:rsidR="00A869E9" w:rsidRPr="00781112" w:rsidRDefault="00A869E9" w:rsidP="000E33D0">
      <w:pPr>
        <w:rPr>
          <w:rFonts w:cs="Arial"/>
          <w:color w:val="000000" w:themeColor="text1"/>
          <w:szCs w:val="16"/>
        </w:rPr>
      </w:pPr>
    </w:p>
    <w:p w14:paraId="1C326C48" w14:textId="1B3ADE94" w:rsidR="000A2C83" w:rsidRPr="00781112" w:rsidRDefault="00573F6C" w:rsidP="008645AD">
      <w:pPr>
        <w:pStyle w:val="Heading2"/>
      </w:pPr>
      <w:r w:rsidRPr="00781112">
        <w:t>3C</w:t>
      </w:r>
      <w:r w:rsidR="00BB4FD7" w:rsidRPr="00781112">
        <w:t xml:space="preserve"> </w:t>
      </w:r>
      <w:r w:rsidRPr="00781112">
        <w:t xml:space="preserve">- </w:t>
      </w:r>
      <w:r w:rsidR="000A2C83" w:rsidRPr="00781112">
        <w:t>Prior FFY Required Actions</w:t>
      </w:r>
    </w:p>
    <w:p w14:paraId="5570C94B" w14:textId="51EF4ED4" w:rsidR="000A2C83" w:rsidRPr="00781112" w:rsidRDefault="002B7490" w:rsidP="000A2C83">
      <w:pPr>
        <w:rPr>
          <w:rFonts w:cs="Arial"/>
          <w:color w:val="000000" w:themeColor="text1"/>
          <w:szCs w:val="16"/>
        </w:rPr>
      </w:pPr>
      <w:r w:rsidRPr="00781112">
        <w:rPr>
          <w:rFonts w:cs="Arial"/>
          <w:color w:val="000000" w:themeColor="text1"/>
          <w:szCs w:val="16"/>
        </w:rPr>
        <w:t>None</w:t>
      </w:r>
    </w:p>
    <w:p w14:paraId="0EFAA7F7" w14:textId="77777777" w:rsidR="00247959" w:rsidRPr="00781112" w:rsidRDefault="00247959" w:rsidP="000A2C83">
      <w:pPr>
        <w:rPr>
          <w:rFonts w:cs="Arial"/>
          <w:color w:val="000000" w:themeColor="text1"/>
          <w:szCs w:val="16"/>
        </w:rPr>
      </w:pPr>
    </w:p>
    <w:p w14:paraId="1E98E6A2" w14:textId="3C798D76" w:rsidR="00796DC0" w:rsidRPr="00781112" w:rsidRDefault="00573F6C" w:rsidP="008645AD">
      <w:pPr>
        <w:pStyle w:val="Heading2"/>
      </w:pPr>
      <w:r w:rsidRPr="00781112">
        <w:t>3C - OSEP Response</w:t>
      </w:r>
    </w:p>
    <w:p w14:paraId="742F0548" w14:textId="6CBFA0D3" w:rsidR="00A869E9" w:rsidRPr="00781112" w:rsidRDefault="00A869E9" w:rsidP="001F692C">
      <w:pPr>
        <w:rPr>
          <w:rFonts w:cs="Arial"/>
          <w:color w:val="000000" w:themeColor="text1"/>
          <w:szCs w:val="16"/>
          <w:shd w:val="clear" w:color="auto" w:fill="FFFFFF"/>
        </w:rPr>
      </w:pPr>
    </w:p>
    <w:p w14:paraId="0774F476" w14:textId="1E34BC77" w:rsidR="00796DC0" w:rsidRPr="00781112" w:rsidRDefault="00573F6C" w:rsidP="008645AD">
      <w:pPr>
        <w:pStyle w:val="Heading2"/>
      </w:pPr>
      <w:r w:rsidRPr="00781112">
        <w:t>3C - Required Actions</w:t>
      </w:r>
    </w:p>
    <w:p w14:paraId="5E46A453" w14:textId="5260AC47" w:rsidR="00A869E9" w:rsidRPr="00781112" w:rsidRDefault="00A869E9" w:rsidP="001F692C">
      <w:pPr>
        <w:rPr>
          <w:rFonts w:cs="Arial"/>
          <w:color w:val="000000" w:themeColor="text1"/>
          <w:szCs w:val="16"/>
          <w:shd w:val="clear" w:color="auto" w:fill="FFFFFF"/>
        </w:rPr>
      </w:pPr>
    </w:p>
    <w:p w14:paraId="5933CC1B" w14:textId="40F9F685" w:rsidR="00A63347" w:rsidRPr="00781112" w:rsidRDefault="00A63347">
      <w:pPr>
        <w:spacing w:before="0" w:after="200" w:line="276" w:lineRule="auto"/>
        <w:rPr>
          <w:rFonts w:cs="Arial"/>
          <w:color w:val="000000" w:themeColor="text1"/>
          <w:szCs w:val="16"/>
          <w:shd w:val="clear" w:color="auto" w:fill="FFFFFF"/>
        </w:rPr>
      </w:pPr>
      <w:r w:rsidRPr="00781112">
        <w:rPr>
          <w:rFonts w:cs="Arial"/>
          <w:color w:val="000000" w:themeColor="text1"/>
          <w:szCs w:val="16"/>
          <w:shd w:val="clear" w:color="auto" w:fill="FFFFFF"/>
        </w:rPr>
        <w:br w:type="page"/>
      </w:r>
    </w:p>
    <w:p w14:paraId="04EE5889" w14:textId="73DDCB24" w:rsidR="00764DDE" w:rsidRPr="00781112" w:rsidRDefault="00764DDE" w:rsidP="00764DDE">
      <w:pPr>
        <w:pStyle w:val="Heading1"/>
        <w:rPr>
          <w:color w:val="000000" w:themeColor="text1"/>
          <w:sz w:val="22"/>
        </w:rPr>
      </w:pPr>
      <w:r w:rsidRPr="00781112">
        <w:rPr>
          <w:color w:val="000000" w:themeColor="text1"/>
          <w:sz w:val="22"/>
        </w:rPr>
        <w:lastRenderedPageBreak/>
        <w:t>Indicator 3D: Gap in Proficiency Rates (Grade Level Academic Achievement Standards)</w:t>
      </w:r>
    </w:p>
    <w:p w14:paraId="46C730FF" w14:textId="77777777" w:rsidR="00764DDE" w:rsidRPr="00781112" w:rsidRDefault="00764DDE" w:rsidP="00764DDE">
      <w:pPr>
        <w:rPr>
          <w:color w:val="000000" w:themeColor="text1"/>
          <w:szCs w:val="20"/>
        </w:rPr>
      </w:pPr>
      <w:r w:rsidRPr="00781112">
        <w:rPr>
          <w:b/>
          <w:color w:val="000000" w:themeColor="text1"/>
          <w:sz w:val="20"/>
          <w:szCs w:val="20"/>
        </w:rPr>
        <w:t>Instructions and Measurement</w:t>
      </w:r>
    </w:p>
    <w:p w14:paraId="62AF8D70" w14:textId="77777777" w:rsidR="00764DDE" w:rsidRPr="00781112" w:rsidRDefault="00764DDE" w:rsidP="00764DDE">
      <w:pPr>
        <w:rPr>
          <w:color w:val="000000" w:themeColor="text1"/>
        </w:rPr>
      </w:pPr>
      <w:r w:rsidRPr="00781112">
        <w:rPr>
          <w:b/>
          <w:color w:val="000000" w:themeColor="text1"/>
        </w:rPr>
        <w:t>Monitoring Priority:</w:t>
      </w:r>
      <w:r w:rsidRPr="00781112">
        <w:rPr>
          <w:color w:val="000000" w:themeColor="text1"/>
        </w:rPr>
        <w:t xml:space="preserve"> FAPE in the LRE</w:t>
      </w:r>
    </w:p>
    <w:p w14:paraId="03D1E39F" w14:textId="77777777" w:rsidR="00764DDE" w:rsidRPr="00781112" w:rsidRDefault="00764DDE" w:rsidP="00764DDE">
      <w:pPr>
        <w:rPr>
          <w:rFonts w:cs="Arial"/>
          <w:color w:val="000000" w:themeColor="text1"/>
          <w:szCs w:val="16"/>
        </w:rPr>
      </w:pPr>
      <w:r w:rsidRPr="00781112">
        <w:rPr>
          <w:rFonts w:cs="Arial"/>
          <w:b/>
          <w:color w:val="000000" w:themeColor="text1"/>
          <w:szCs w:val="16"/>
        </w:rPr>
        <w:t>Results indicator</w:t>
      </w:r>
      <w:r w:rsidRPr="00781112">
        <w:rPr>
          <w:rFonts w:cs="Arial"/>
          <w:color w:val="000000" w:themeColor="text1"/>
          <w:szCs w:val="16"/>
        </w:rPr>
        <w:t>: Participation and performance of children with IEPs on statewide assessments:</w:t>
      </w:r>
    </w:p>
    <w:p w14:paraId="39C0DF3F" w14:textId="77777777" w:rsidR="00876D2A" w:rsidRPr="00781112" w:rsidRDefault="00876D2A" w:rsidP="00876D2A">
      <w:pPr>
        <w:ind w:firstLine="720"/>
        <w:rPr>
          <w:rFonts w:cs="Arial"/>
          <w:color w:val="000000" w:themeColor="text1"/>
          <w:szCs w:val="16"/>
        </w:rPr>
      </w:pPr>
      <w:r w:rsidRPr="00781112">
        <w:rPr>
          <w:rFonts w:cs="Arial"/>
          <w:color w:val="000000" w:themeColor="text1"/>
          <w:szCs w:val="16"/>
        </w:rPr>
        <w:t>A. Participation rate for children with IEPs.</w:t>
      </w:r>
    </w:p>
    <w:p w14:paraId="37414902" w14:textId="77777777" w:rsidR="00876D2A" w:rsidRPr="00781112" w:rsidRDefault="00876D2A" w:rsidP="00876D2A">
      <w:pPr>
        <w:ind w:firstLine="720"/>
        <w:rPr>
          <w:rFonts w:cs="Arial"/>
          <w:color w:val="000000" w:themeColor="text1"/>
          <w:szCs w:val="16"/>
        </w:rPr>
      </w:pPr>
      <w:r w:rsidRPr="00781112">
        <w:rPr>
          <w:rFonts w:cs="Arial"/>
          <w:color w:val="000000" w:themeColor="text1"/>
          <w:szCs w:val="16"/>
        </w:rPr>
        <w:t xml:space="preserve">B. </w:t>
      </w:r>
      <w:r w:rsidRPr="00781112">
        <w:rPr>
          <w:rFonts w:cs="Arial"/>
          <w:szCs w:val="16"/>
        </w:rPr>
        <w:t>Proficiency rate for children with IEPs against grade level academic achievement standards.</w:t>
      </w:r>
    </w:p>
    <w:p w14:paraId="5E9A9263" w14:textId="77777777" w:rsidR="00876D2A" w:rsidRPr="00781112" w:rsidRDefault="00876D2A" w:rsidP="00876D2A">
      <w:pPr>
        <w:ind w:firstLine="720"/>
        <w:rPr>
          <w:rFonts w:cs="Arial"/>
          <w:color w:val="000000" w:themeColor="text1"/>
          <w:szCs w:val="16"/>
        </w:rPr>
      </w:pPr>
      <w:r w:rsidRPr="00781112">
        <w:rPr>
          <w:rFonts w:cs="Arial"/>
          <w:color w:val="000000" w:themeColor="text1"/>
          <w:szCs w:val="16"/>
        </w:rPr>
        <w:t>C. Proficiency rate for children with IEPs against alternate academic achievement standards.</w:t>
      </w:r>
    </w:p>
    <w:p w14:paraId="6AEED6CC" w14:textId="77777777" w:rsidR="00876D2A" w:rsidRPr="00781112" w:rsidRDefault="00876D2A" w:rsidP="00876D2A">
      <w:pPr>
        <w:ind w:firstLine="720"/>
        <w:rPr>
          <w:rFonts w:cs="Arial"/>
          <w:color w:val="000000" w:themeColor="text1"/>
          <w:szCs w:val="16"/>
        </w:rPr>
      </w:pPr>
      <w:r w:rsidRPr="00781112">
        <w:rPr>
          <w:rFonts w:cs="Arial"/>
          <w:color w:val="000000" w:themeColor="text1"/>
          <w:szCs w:val="16"/>
        </w:rPr>
        <w:t>D.</w:t>
      </w:r>
      <w:r w:rsidRPr="00781112">
        <w:rPr>
          <w:rFonts w:cs="Arial"/>
          <w:szCs w:val="16"/>
        </w:rPr>
        <w:t xml:space="preserve"> Gap in proficiency rates for children with IEPs and all students against grade level academic achievement standards.</w:t>
      </w:r>
    </w:p>
    <w:p w14:paraId="67B35375" w14:textId="77777777" w:rsidR="00876D2A" w:rsidRPr="00781112" w:rsidRDefault="00876D2A" w:rsidP="00876D2A">
      <w:pPr>
        <w:rPr>
          <w:rFonts w:cs="Arial"/>
          <w:color w:val="000000" w:themeColor="text1"/>
          <w:szCs w:val="16"/>
        </w:rPr>
      </w:pPr>
      <w:r w:rsidRPr="00781112">
        <w:rPr>
          <w:rFonts w:cs="Arial"/>
          <w:color w:val="000000" w:themeColor="text1"/>
          <w:szCs w:val="16"/>
        </w:rPr>
        <w:t>(20 U.S.C. 1416 (a)(3)(A))</w:t>
      </w:r>
    </w:p>
    <w:p w14:paraId="0BC18EE2" w14:textId="77777777" w:rsidR="00764DDE" w:rsidRPr="00781112" w:rsidRDefault="00764DDE" w:rsidP="00764DDE">
      <w:pPr>
        <w:rPr>
          <w:color w:val="000000" w:themeColor="text1"/>
        </w:rPr>
      </w:pPr>
      <w:r w:rsidRPr="00781112">
        <w:rPr>
          <w:b/>
          <w:color w:val="000000" w:themeColor="text1"/>
        </w:rPr>
        <w:t>Data Source</w:t>
      </w:r>
    </w:p>
    <w:p w14:paraId="3AB8B5B6" w14:textId="77777777" w:rsidR="00876D2A" w:rsidRPr="00781112" w:rsidRDefault="00876D2A" w:rsidP="00876D2A">
      <w:pPr>
        <w:rPr>
          <w:rFonts w:cs="Arial"/>
          <w:szCs w:val="16"/>
        </w:rPr>
      </w:pPr>
      <w:r w:rsidRPr="00781112">
        <w:rPr>
          <w:rFonts w:cs="Arial"/>
          <w:szCs w:val="16"/>
        </w:rPr>
        <w:t>3D. Same data as used for reporting to the Department under Title I of the ESEA, using ED</w:t>
      </w:r>
      <w:r w:rsidRPr="00BA3DBE">
        <w:rPr>
          <w:rFonts w:cs="Arial"/>
          <w:i/>
          <w:iCs/>
          <w:szCs w:val="16"/>
        </w:rPr>
        <w:t>Facts</w:t>
      </w:r>
      <w:r w:rsidRPr="00781112">
        <w:rPr>
          <w:rFonts w:cs="Arial"/>
          <w:szCs w:val="16"/>
        </w:rPr>
        <w:t xml:space="preserve"> file specifications FS175 and 178.</w:t>
      </w:r>
    </w:p>
    <w:p w14:paraId="7A02CC2C" w14:textId="77777777" w:rsidR="00764DDE" w:rsidRPr="00781112" w:rsidRDefault="00764DDE" w:rsidP="00764DDE">
      <w:pPr>
        <w:rPr>
          <w:color w:val="000000" w:themeColor="text1"/>
        </w:rPr>
      </w:pPr>
      <w:r w:rsidRPr="00781112">
        <w:rPr>
          <w:b/>
          <w:color w:val="000000" w:themeColor="text1"/>
        </w:rPr>
        <w:t>Measurement</w:t>
      </w:r>
    </w:p>
    <w:p w14:paraId="4FEF37F2" w14:textId="583A49AA" w:rsidR="00876D2A" w:rsidRPr="00781112" w:rsidRDefault="00876D2A" w:rsidP="00876D2A">
      <w:pPr>
        <w:rPr>
          <w:rFonts w:cs="Arial"/>
          <w:szCs w:val="16"/>
        </w:rPr>
      </w:pPr>
      <w:r w:rsidRPr="00781112">
        <w:rPr>
          <w:rFonts w:cs="Arial"/>
          <w:szCs w:val="16"/>
        </w:rPr>
        <w:t>D. Proficiency rate gap = [(proficiency rate for children with IEPs scoring at or above proficient against grade level academic achievement standards for the 2022-2023 school year) subtracted from the (proficiency rate for all students scoring at or above proficient against grade level academic achievement standards for the 2022-2023 school year)]. Calculate separately for reading and math. Calculate separately for grades 4, 8, and high school. The proficiency rate includes all children enrolled for a full academic year and those not enrolled for a full academic year.</w:t>
      </w:r>
    </w:p>
    <w:p w14:paraId="69B5F103" w14:textId="77777777" w:rsidR="00764DDE" w:rsidRPr="00781112" w:rsidRDefault="00764DDE" w:rsidP="00764DDE">
      <w:pPr>
        <w:rPr>
          <w:color w:val="000000" w:themeColor="text1"/>
        </w:rPr>
      </w:pPr>
      <w:r w:rsidRPr="00781112">
        <w:rPr>
          <w:b/>
          <w:color w:val="000000" w:themeColor="text1"/>
        </w:rPr>
        <w:t>Instructions</w:t>
      </w:r>
    </w:p>
    <w:p w14:paraId="06ED299B" w14:textId="77777777" w:rsidR="00876D2A" w:rsidRPr="00781112" w:rsidRDefault="00876D2A" w:rsidP="00876D2A">
      <w:pPr>
        <w:pStyle w:val="Subhed"/>
        <w:rPr>
          <w:b w:val="0"/>
          <w:bCs/>
        </w:rPr>
      </w:pPr>
      <w:r w:rsidRPr="00781112">
        <w:rPr>
          <w:b w:val="0"/>
          <w:bCs/>
        </w:rPr>
        <w:t>Describe the results of the calculations and compare the results to the targets.  Provide the actual numbers used in the calculation.</w:t>
      </w:r>
    </w:p>
    <w:p w14:paraId="5361E418" w14:textId="77777777" w:rsidR="00876D2A" w:rsidRPr="00781112" w:rsidRDefault="00876D2A" w:rsidP="00876D2A">
      <w:pPr>
        <w:pStyle w:val="Subhed"/>
        <w:rPr>
          <w:b w:val="0"/>
          <w:bCs/>
        </w:rPr>
      </w:pPr>
      <w:r w:rsidRPr="00781112">
        <w:rPr>
          <w:b w:val="0"/>
          <w:bCs/>
        </w:rPr>
        <w:t xml:space="preserve">Include information regarding where to find public reports of assessment participation and performance results, as required by 34 CFR §300.160(f), </w:t>
      </w:r>
      <w:r w:rsidRPr="00BA3DBE">
        <w:rPr>
          <w:b w:val="0"/>
          <w:bCs/>
          <w:iCs/>
        </w:rPr>
        <w:t>i.e.</w:t>
      </w:r>
      <w:r w:rsidRPr="006F6E8E">
        <w:rPr>
          <w:b w:val="0"/>
          <w:bCs/>
          <w:iCs/>
        </w:rPr>
        <w:t>,</w:t>
      </w:r>
      <w:r w:rsidRPr="00781112">
        <w:rPr>
          <w:b w:val="0"/>
          <w:bCs/>
        </w:rPr>
        <w:t xml:space="preserve"> a link to the Web site where these data are reported.</w:t>
      </w:r>
    </w:p>
    <w:p w14:paraId="6D783CD1" w14:textId="7D20C5FF" w:rsidR="00876D2A" w:rsidRPr="00781112" w:rsidRDefault="00876D2A" w:rsidP="00876D2A">
      <w:pPr>
        <w:pStyle w:val="Subhed"/>
      </w:pPr>
      <w:r w:rsidRPr="00781112">
        <w:rPr>
          <w:b w:val="0"/>
          <w:bCs/>
        </w:rPr>
        <w:t>Indicator 3D: Gap calculations in this SPP/APR must result in the proficiency rate for children with IEPs were proficient against grade level academic achievement standards for the 2022-2023 school year compared to the proficiency rate for all students who were proficient against grade level academic achievement standards for the 2022-2023 school year. Calculate separately for reading/language arts and math in each of the following grades: 4, 8, and high school, including both children enrolled for a full academic year and those not enrolled for a full academic year. Only include children with disabilities who had an IEP at the time of testing.</w:t>
      </w:r>
    </w:p>
    <w:p w14:paraId="272DFFEC" w14:textId="493A26BE" w:rsidR="00764DDE" w:rsidRPr="00781112" w:rsidRDefault="00764DDE" w:rsidP="00764DDE">
      <w:pPr>
        <w:pStyle w:val="Heading2"/>
      </w:pPr>
      <w:r w:rsidRPr="00781112">
        <w:t>3D - Indicator Data</w:t>
      </w:r>
    </w:p>
    <w:p w14:paraId="7CC64996" w14:textId="77777777" w:rsidR="00DD5B7A" w:rsidRPr="00781112" w:rsidRDefault="00DD5B7A" w:rsidP="00DD5B7A"/>
    <w:p w14:paraId="5E01F354" w14:textId="77777777" w:rsidR="00DD5B7A" w:rsidRPr="00781112" w:rsidRDefault="00DD5B7A" w:rsidP="00DD5B7A">
      <w:pPr>
        <w:rPr>
          <w:b/>
          <w:color w:val="000000" w:themeColor="text1"/>
        </w:rPr>
      </w:pPr>
      <w:r w:rsidRPr="00781112">
        <w:rPr>
          <w:b/>
          <w:color w:val="000000" w:themeColor="text1"/>
        </w:rPr>
        <w:t>Historical Data: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B03DHISTDATA"/>
      </w:tblPr>
      <w:tblGrid>
        <w:gridCol w:w="1588"/>
        <w:gridCol w:w="1588"/>
        <w:gridCol w:w="2538"/>
        <w:gridCol w:w="2538"/>
        <w:gridCol w:w="2538"/>
      </w:tblGrid>
      <w:tr w:rsidR="00DD5B7A" w:rsidRPr="00781112" w14:paraId="65AC4D07" w14:textId="77777777" w:rsidTr="009725F4">
        <w:trPr>
          <w:trHeight w:val="368"/>
          <w:tblHeader/>
        </w:trPr>
        <w:tc>
          <w:tcPr>
            <w:tcW w:w="736" w:type="pct"/>
            <w:tcBorders>
              <w:top w:val="single" w:sz="4" w:space="0" w:color="auto"/>
            </w:tcBorders>
            <w:vAlign w:val="center"/>
          </w:tcPr>
          <w:p w14:paraId="0BE0D6D4" w14:textId="77777777" w:rsidR="00DD5B7A" w:rsidRPr="00781112" w:rsidRDefault="00DD5B7A" w:rsidP="00827FF4">
            <w:pPr>
              <w:jc w:val="center"/>
              <w:rPr>
                <w:rFonts w:cs="Arial"/>
                <w:b/>
                <w:color w:val="000000" w:themeColor="text1"/>
                <w:szCs w:val="16"/>
              </w:rPr>
            </w:pPr>
            <w:r w:rsidRPr="00781112">
              <w:rPr>
                <w:rFonts w:cs="Arial"/>
                <w:b/>
                <w:color w:val="000000" w:themeColor="text1"/>
                <w:szCs w:val="16"/>
              </w:rPr>
              <w:t>Subject</w:t>
            </w:r>
          </w:p>
        </w:tc>
        <w:tc>
          <w:tcPr>
            <w:tcW w:w="736" w:type="pct"/>
            <w:tcBorders>
              <w:top w:val="single" w:sz="4" w:space="0" w:color="auto"/>
            </w:tcBorders>
            <w:shd w:val="clear" w:color="auto" w:fill="auto"/>
            <w:vAlign w:val="center"/>
          </w:tcPr>
          <w:p w14:paraId="4B9E396A" w14:textId="77777777" w:rsidR="00DD5B7A" w:rsidRPr="00781112" w:rsidRDefault="00DD5B7A" w:rsidP="00827FF4">
            <w:pPr>
              <w:jc w:val="center"/>
              <w:rPr>
                <w:rFonts w:cs="Arial"/>
                <w:b/>
                <w:color w:val="000000" w:themeColor="text1"/>
                <w:szCs w:val="16"/>
              </w:rPr>
            </w:pPr>
            <w:r w:rsidRPr="00781112">
              <w:rPr>
                <w:rFonts w:cs="Arial"/>
                <w:b/>
                <w:color w:val="000000" w:themeColor="text1"/>
                <w:szCs w:val="16"/>
              </w:rPr>
              <w:t xml:space="preserve">Group </w:t>
            </w:r>
          </w:p>
        </w:tc>
        <w:tc>
          <w:tcPr>
            <w:tcW w:w="1176" w:type="pct"/>
            <w:tcBorders>
              <w:top w:val="single" w:sz="4" w:space="0" w:color="auto"/>
            </w:tcBorders>
            <w:shd w:val="clear" w:color="auto" w:fill="auto"/>
            <w:vAlign w:val="center"/>
          </w:tcPr>
          <w:p w14:paraId="100D6C68" w14:textId="77777777" w:rsidR="00DD5B7A" w:rsidRPr="00781112" w:rsidRDefault="00DD5B7A" w:rsidP="00827FF4">
            <w:pPr>
              <w:jc w:val="center"/>
              <w:rPr>
                <w:rFonts w:cs="Arial"/>
                <w:b/>
                <w:color w:val="000000" w:themeColor="text1"/>
                <w:szCs w:val="16"/>
              </w:rPr>
            </w:pPr>
            <w:r w:rsidRPr="00781112">
              <w:rPr>
                <w:rFonts w:cs="Arial"/>
                <w:b/>
                <w:color w:val="000000" w:themeColor="text1"/>
                <w:szCs w:val="16"/>
              </w:rPr>
              <w:t xml:space="preserve">Group Name </w:t>
            </w:r>
          </w:p>
        </w:tc>
        <w:tc>
          <w:tcPr>
            <w:tcW w:w="1176" w:type="pct"/>
            <w:tcBorders>
              <w:top w:val="single" w:sz="4" w:space="0" w:color="auto"/>
            </w:tcBorders>
            <w:shd w:val="clear" w:color="auto" w:fill="auto"/>
            <w:vAlign w:val="center"/>
          </w:tcPr>
          <w:p w14:paraId="6E047D89" w14:textId="77777777" w:rsidR="00DD5B7A" w:rsidRPr="00781112" w:rsidRDefault="00DD5B7A" w:rsidP="00827FF4">
            <w:pPr>
              <w:jc w:val="center"/>
              <w:rPr>
                <w:rFonts w:cs="Arial"/>
                <w:b/>
                <w:color w:val="000000" w:themeColor="text1"/>
                <w:szCs w:val="16"/>
              </w:rPr>
            </w:pPr>
            <w:r w:rsidRPr="00781112">
              <w:rPr>
                <w:rFonts w:cs="Arial"/>
                <w:b/>
                <w:color w:val="000000" w:themeColor="text1"/>
                <w:szCs w:val="16"/>
              </w:rPr>
              <w:t xml:space="preserve">Baseline Year </w:t>
            </w:r>
          </w:p>
        </w:tc>
        <w:tc>
          <w:tcPr>
            <w:tcW w:w="1176" w:type="pct"/>
            <w:tcBorders>
              <w:top w:val="single" w:sz="4" w:space="0" w:color="auto"/>
            </w:tcBorders>
            <w:vAlign w:val="center"/>
          </w:tcPr>
          <w:p w14:paraId="3D50F3F8" w14:textId="77777777" w:rsidR="00DD5B7A" w:rsidRPr="00781112" w:rsidRDefault="00DD5B7A" w:rsidP="00827FF4">
            <w:pPr>
              <w:jc w:val="center"/>
              <w:rPr>
                <w:rFonts w:cs="Arial"/>
                <w:b/>
                <w:color w:val="000000" w:themeColor="text1"/>
                <w:szCs w:val="16"/>
              </w:rPr>
            </w:pPr>
            <w:r w:rsidRPr="00781112">
              <w:rPr>
                <w:rFonts w:cs="Arial"/>
                <w:b/>
                <w:color w:val="000000" w:themeColor="text1"/>
                <w:szCs w:val="16"/>
              </w:rPr>
              <w:t>Baseline Data</w:t>
            </w:r>
          </w:p>
        </w:tc>
      </w:tr>
      <w:tr w:rsidR="00DD5B7A" w:rsidRPr="00781112" w14:paraId="70B05A32" w14:textId="77777777" w:rsidTr="00360DD6">
        <w:trPr>
          <w:trHeight w:val="368"/>
        </w:trPr>
        <w:tc>
          <w:tcPr>
            <w:tcW w:w="736" w:type="pct"/>
            <w:vAlign w:val="center"/>
          </w:tcPr>
          <w:p w14:paraId="1E1400E1" w14:textId="77777777" w:rsidR="00DD5B7A" w:rsidRPr="00781112" w:rsidRDefault="00DD5B7A" w:rsidP="00827FF4">
            <w:pPr>
              <w:spacing w:before="0" w:after="0"/>
              <w:jc w:val="center"/>
              <w:rPr>
                <w:rFonts w:cs="Arial"/>
                <w:b/>
                <w:bCs/>
                <w:color w:val="000000" w:themeColor="text1"/>
                <w:szCs w:val="16"/>
              </w:rPr>
            </w:pPr>
            <w:r w:rsidRPr="00781112">
              <w:rPr>
                <w:rFonts w:cs="Arial"/>
                <w:szCs w:val="16"/>
              </w:rPr>
              <w:t>Reading</w:t>
            </w:r>
          </w:p>
        </w:tc>
        <w:tc>
          <w:tcPr>
            <w:tcW w:w="736" w:type="pct"/>
            <w:shd w:val="clear" w:color="auto" w:fill="auto"/>
            <w:vAlign w:val="center"/>
          </w:tcPr>
          <w:p w14:paraId="00726A78" w14:textId="77777777" w:rsidR="00DD5B7A" w:rsidRPr="00781112" w:rsidRDefault="00DD5B7A" w:rsidP="00827FF4">
            <w:pPr>
              <w:spacing w:before="0" w:after="0"/>
              <w:jc w:val="center"/>
              <w:rPr>
                <w:rFonts w:cs="Arial"/>
                <w:color w:val="000000" w:themeColor="text1"/>
                <w:szCs w:val="16"/>
              </w:rPr>
            </w:pPr>
            <w:r w:rsidRPr="00781112">
              <w:rPr>
                <w:rFonts w:cs="Arial"/>
                <w:color w:val="000000" w:themeColor="text1"/>
                <w:szCs w:val="16"/>
              </w:rPr>
              <w:t>A</w:t>
            </w:r>
          </w:p>
        </w:tc>
        <w:tc>
          <w:tcPr>
            <w:tcW w:w="1176" w:type="pct"/>
            <w:shd w:val="clear" w:color="auto" w:fill="auto"/>
            <w:vAlign w:val="center"/>
          </w:tcPr>
          <w:p w14:paraId="406B2FF2" w14:textId="0257EDF0" w:rsidR="00DD5B7A" w:rsidRPr="00781112" w:rsidRDefault="00DD5B7A" w:rsidP="00827FF4">
            <w:pPr>
              <w:jc w:val="center"/>
              <w:rPr>
                <w:rFonts w:cs="Arial"/>
                <w:color w:val="000000" w:themeColor="text1"/>
                <w:szCs w:val="16"/>
              </w:rPr>
            </w:pPr>
            <w:r w:rsidRPr="00781112">
              <w:rPr>
                <w:rFonts w:cs="Arial"/>
                <w:color w:val="000000" w:themeColor="text1"/>
                <w:szCs w:val="16"/>
              </w:rPr>
              <w:t>Grade 4</w:t>
            </w:r>
          </w:p>
        </w:tc>
        <w:tc>
          <w:tcPr>
            <w:tcW w:w="1176" w:type="pct"/>
            <w:shd w:val="clear" w:color="auto" w:fill="auto"/>
            <w:vAlign w:val="center"/>
          </w:tcPr>
          <w:p w14:paraId="6B1B3326" w14:textId="475D3617" w:rsidR="00DD5B7A" w:rsidRPr="00781112" w:rsidRDefault="00DD5B7A" w:rsidP="00827FF4">
            <w:pPr>
              <w:jc w:val="center"/>
              <w:rPr>
                <w:rFonts w:cs="Arial"/>
                <w:color w:val="000000" w:themeColor="text1"/>
                <w:szCs w:val="16"/>
              </w:rPr>
            </w:pPr>
            <w:r w:rsidRPr="00781112">
              <w:rPr>
                <w:rFonts w:cs="Arial"/>
                <w:color w:val="000000" w:themeColor="text1"/>
                <w:szCs w:val="16"/>
              </w:rPr>
              <w:t>2018</w:t>
            </w:r>
          </w:p>
        </w:tc>
        <w:tc>
          <w:tcPr>
            <w:tcW w:w="1176" w:type="pct"/>
            <w:vAlign w:val="center"/>
          </w:tcPr>
          <w:p w14:paraId="0D86351D" w14:textId="7DD98963" w:rsidR="00DD5B7A" w:rsidRPr="00781112" w:rsidRDefault="00DD5B7A" w:rsidP="00827FF4">
            <w:pPr>
              <w:spacing w:before="0" w:after="0"/>
              <w:jc w:val="center"/>
              <w:rPr>
                <w:color w:val="000000" w:themeColor="text1"/>
              </w:rPr>
            </w:pPr>
            <w:r w:rsidRPr="00781112">
              <w:rPr>
                <w:rFonts w:cs="Arial"/>
                <w:color w:val="000000" w:themeColor="text1"/>
                <w:szCs w:val="16"/>
              </w:rPr>
              <w:t>37.11</w:t>
            </w:r>
          </w:p>
        </w:tc>
      </w:tr>
      <w:tr w:rsidR="00DD5B7A" w:rsidRPr="00781112" w14:paraId="7DB1C775" w14:textId="77777777" w:rsidTr="00360DD6">
        <w:trPr>
          <w:trHeight w:val="368"/>
        </w:trPr>
        <w:tc>
          <w:tcPr>
            <w:tcW w:w="736" w:type="pct"/>
            <w:vAlign w:val="center"/>
          </w:tcPr>
          <w:p w14:paraId="38812700" w14:textId="77777777" w:rsidR="00DD5B7A" w:rsidRPr="00781112" w:rsidRDefault="00DD5B7A" w:rsidP="00827FF4">
            <w:pPr>
              <w:spacing w:before="0" w:after="0"/>
              <w:jc w:val="center"/>
              <w:rPr>
                <w:rFonts w:cs="Arial"/>
                <w:b/>
                <w:bCs/>
                <w:color w:val="000000" w:themeColor="text1"/>
                <w:szCs w:val="16"/>
              </w:rPr>
            </w:pPr>
            <w:r w:rsidRPr="00781112">
              <w:rPr>
                <w:rFonts w:cs="Arial"/>
                <w:szCs w:val="16"/>
              </w:rPr>
              <w:t>Reading</w:t>
            </w:r>
          </w:p>
        </w:tc>
        <w:tc>
          <w:tcPr>
            <w:tcW w:w="736" w:type="pct"/>
            <w:shd w:val="clear" w:color="auto" w:fill="auto"/>
            <w:vAlign w:val="center"/>
          </w:tcPr>
          <w:p w14:paraId="4DC20823" w14:textId="77777777" w:rsidR="00DD5B7A" w:rsidRPr="00781112" w:rsidRDefault="00DD5B7A" w:rsidP="00827FF4">
            <w:pPr>
              <w:spacing w:before="0" w:after="0"/>
              <w:jc w:val="center"/>
              <w:rPr>
                <w:rFonts w:cs="Arial"/>
                <w:color w:val="000000" w:themeColor="text1"/>
                <w:szCs w:val="16"/>
              </w:rPr>
            </w:pPr>
            <w:r w:rsidRPr="00781112">
              <w:rPr>
                <w:rFonts w:cs="Arial"/>
                <w:color w:val="000000" w:themeColor="text1"/>
                <w:szCs w:val="16"/>
              </w:rPr>
              <w:t>B</w:t>
            </w:r>
          </w:p>
        </w:tc>
        <w:tc>
          <w:tcPr>
            <w:tcW w:w="1176" w:type="pct"/>
            <w:shd w:val="clear" w:color="auto" w:fill="auto"/>
            <w:vAlign w:val="center"/>
          </w:tcPr>
          <w:p w14:paraId="27BEF817" w14:textId="375B6CFE" w:rsidR="00DD5B7A" w:rsidRPr="00781112" w:rsidRDefault="00DD5B7A" w:rsidP="00827FF4">
            <w:pPr>
              <w:spacing w:before="0" w:after="0"/>
              <w:jc w:val="center"/>
              <w:rPr>
                <w:rFonts w:cs="Arial"/>
                <w:color w:val="000000" w:themeColor="text1"/>
                <w:szCs w:val="16"/>
              </w:rPr>
            </w:pPr>
            <w:r w:rsidRPr="00781112">
              <w:rPr>
                <w:rFonts w:cs="Arial"/>
                <w:color w:val="000000" w:themeColor="text1"/>
                <w:szCs w:val="16"/>
              </w:rPr>
              <w:t>Grade 8</w:t>
            </w:r>
          </w:p>
        </w:tc>
        <w:tc>
          <w:tcPr>
            <w:tcW w:w="1176" w:type="pct"/>
            <w:shd w:val="clear" w:color="auto" w:fill="auto"/>
            <w:vAlign w:val="center"/>
          </w:tcPr>
          <w:p w14:paraId="644047DF" w14:textId="126BB3C2" w:rsidR="00DD5B7A" w:rsidRPr="00781112" w:rsidRDefault="00DD5B7A" w:rsidP="00827FF4">
            <w:pPr>
              <w:jc w:val="center"/>
              <w:rPr>
                <w:rFonts w:cs="Arial"/>
                <w:color w:val="000000" w:themeColor="text1"/>
                <w:szCs w:val="16"/>
              </w:rPr>
            </w:pPr>
            <w:r w:rsidRPr="00781112">
              <w:rPr>
                <w:rFonts w:cs="Arial"/>
                <w:color w:val="000000" w:themeColor="text1"/>
                <w:szCs w:val="16"/>
              </w:rPr>
              <w:t>2018</w:t>
            </w:r>
          </w:p>
        </w:tc>
        <w:tc>
          <w:tcPr>
            <w:tcW w:w="1176" w:type="pct"/>
            <w:vAlign w:val="center"/>
          </w:tcPr>
          <w:p w14:paraId="111214B9" w14:textId="3291E6FA" w:rsidR="00DD5B7A" w:rsidRPr="00781112" w:rsidRDefault="00DD5B7A" w:rsidP="00827FF4">
            <w:pPr>
              <w:spacing w:before="0" w:after="0"/>
              <w:jc w:val="center"/>
              <w:rPr>
                <w:rFonts w:cs="Arial"/>
                <w:color w:val="000000" w:themeColor="text1"/>
                <w:szCs w:val="16"/>
              </w:rPr>
            </w:pPr>
            <w:r w:rsidRPr="00781112">
              <w:rPr>
                <w:rFonts w:cs="Arial"/>
                <w:color w:val="000000" w:themeColor="text1"/>
                <w:szCs w:val="16"/>
              </w:rPr>
              <w:t>39.74</w:t>
            </w:r>
          </w:p>
        </w:tc>
      </w:tr>
      <w:tr w:rsidR="00DD5B7A" w:rsidRPr="00781112" w14:paraId="468C5707" w14:textId="77777777" w:rsidTr="00360DD6">
        <w:trPr>
          <w:trHeight w:val="368"/>
        </w:trPr>
        <w:tc>
          <w:tcPr>
            <w:tcW w:w="736" w:type="pct"/>
            <w:vAlign w:val="center"/>
          </w:tcPr>
          <w:p w14:paraId="283DD3EF" w14:textId="77777777" w:rsidR="00DD5B7A" w:rsidRPr="00781112" w:rsidRDefault="00DD5B7A" w:rsidP="00827FF4">
            <w:pPr>
              <w:spacing w:before="0" w:after="0"/>
              <w:jc w:val="center"/>
              <w:rPr>
                <w:rFonts w:cs="Arial"/>
                <w:b/>
                <w:bCs/>
                <w:color w:val="000000" w:themeColor="text1"/>
                <w:szCs w:val="16"/>
              </w:rPr>
            </w:pPr>
            <w:r w:rsidRPr="00781112">
              <w:rPr>
                <w:rFonts w:cs="Arial"/>
                <w:szCs w:val="16"/>
              </w:rPr>
              <w:t>Reading</w:t>
            </w:r>
          </w:p>
        </w:tc>
        <w:tc>
          <w:tcPr>
            <w:tcW w:w="736" w:type="pct"/>
            <w:shd w:val="clear" w:color="auto" w:fill="auto"/>
            <w:vAlign w:val="center"/>
          </w:tcPr>
          <w:p w14:paraId="66F83830" w14:textId="77777777" w:rsidR="00DD5B7A" w:rsidRPr="00781112" w:rsidRDefault="00DD5B7A" w:rsidP="00827FF4">
            <w:pPr>
              <w:spacing w:before="0" w:after="0"/>
              <w:jc w:val="center"/>
              <w:rPr>
                <w:rFonts w:cs="Arial"/>
                <w:color w:val="000000" w:themeColor="text1"/>
                <w:szCs w:val="16"/>
              </w:rPr>
            </w:pPr>
            <w:r w:rsidRPr="00781112">
              <w:rPr>
                <w:rFonts w:cs="Arial"/>
                <w:color w:val="000000" w:themeColor="text1"/>
                <w:szCs w:val="16"/>
              </w:rPr>
              <w:t>C</w:t>
            </w:r>
          </w:p>
        </w:tc>
        <w:tc>
          <w:tcPr>
            <w:tcW w:w="1176" w:type="pct"/>
            <w:shd w:val="clear" w:color="auto" w:fill="auto"/>
            <w:vAlign w:val="center"/>
          </w:tcPr>
          <w:p w14:paraId="5B906466" w14:textId="7AB9DEC7" w:rsidR="00DD5B7A" w:rsidRPr="00781112" w:rsidRDefault="00DD5B7A" w:rsidP="00827FF4">
            <w:pPr>
              <w:jc w:val="center"/>
              <w:rPr>
                <w:rFonts w:cs="Arial"/>
                <w:color w:val="000000" w:themeColor="text1"/>
                <w:szCs w:val="16"/>
              </w:rPr>
            </w:pPr>
            <w:r w:rsidRPr="00781112">
              <w:rPr>
                <w:rFonts w:cs="Arial"/>
                <w:color w:val="000000" w:themeColor="text1"/>
                <w:szCs w:val="16"/>
              </w:rPr>
              <w:t>Grade HS</w:t>
            </w:r>
          </w:p>
        </w:tc>
        <w:tc>
          <w:tcPr>
            <w:tcW w:w="1176" w:type="pct"/>
            <w:shd w:val="clear" w:color="auto" w:fill="auto"/>
            <w:vAlign w:val="center"/>
          </w:tcPr>
          <w:p w14:paraId="4D688A86" w14:textId="0A70602B" w:rsidR="00DD5B7A" w:rsidRPr="00781112" w:rsidRDefault="00DD5B7A" w:rsidP="00827FF4">
            <w:pPr>
              <w:jc w:val="center"/>
              <w:rPr>
                <w:rFonts w:cs="Arial"/>
                <w:color w:val="000000" w:themeColor="text1"/>
                <w:szCs w:val="16"/>
              </w:rPr>
            </w:pPr>
            <w:r w:rsidRPr="00781112">
              <w:rPr>
                <w:rFonts w:cs="Arial"/>
                <w:color w:val="000000" w:themeColor="text1"/>
                <w:szCs w:val="16"/>
              </w:rPr>
              <w:t>2020</w:t>
            </w:r>
          </w:p>
        </w:tc>
        <w:tc>
          <w:tcPr>
            <w:tcW w:w="1176" w:type="pct"/>
            <w:vAlign w:val="center"/>
          </w:tcPr>
          <w:p w14:paraId="3E971EFB" w14:textId="111D0794" w:rsidR="00DD5B7A" w:rsidRPr="00781112" w:rsidRDefault="00DD5B7A" w:rsidP="00827FF4">
            <w:pPr>
              <w:spacing w:before="0" w:after="0"/>
              <w:jc w:val="center"/>
              <w:rPr>
                <w:rFonts w:cs="Arial"/>
                <w:color w:val="000000" w:themeColor="text1"/>
                <w:szCs w:val="16"/>
              </w:rPr>
            </w:pPr>
            <w:r w:rsidRPr="00781112">
              <w:rPr>
                <w:rFonts w:cs="Arial"/>
                <w:color w:val="000000" w:themeColor="text1"/>
                <w:szCs w:val="16"/>
              </w:rPr>
              <w:t>42.88</w:t>
            </w:r>
          </w:p>
        </w:tc>
      </w:tr>
      <w:tr w:rsidR="00DD5B7A" w:rsidRPr="00781112" w14:paraId="40BEF17A" w14:textId="77777777" w:rsidTr="00360DD6">
        <w:trPr>
          <w:trHeight w:val="368"/>
        </w:trPr>
        <w:tc>
          <w:tcPr>
            <w:tcW w:w="736" w:type="pct"/>
            <w:vAlign w:val="center"/>
          </w:tcPr>
          <w:p w14:paraId="10F38B33" w14:textId="77777777" w:rsidR="00DD5B7A" w:rsidRPr="00781112" w:rsidRDefault="00DD5B7A" w:rsidP="00827FF4">
            <w:pPr>
              <w:spacing w:before="0" w:after="0"/>
              <w:jc w:val="center"/>
              <w:rPr>
                <w:rFonts w:cs="Arial"/>
                <w:b/>
                <w:bCs/>
                <w:color w:val="000000" w:themeColor="text1"/>
                <w:szCs w:val="16"/>
              </w:rPr>
            </w:pPr>
            <w:r w:rsidRPr="00781112">
              <w:rPr>
                <w:rFonts w:cs="Arial"/>
                <w:szCs w:val="16"/>
              </w:rPr>
              <w:t>Math</w:t>
            </w:r>
          </w:p>
        </w:tc>
        <w:tc>
          <w:tcPr>
            <w:tcW w:w="736" w:type="pct"/>
            <w:shd w:val="clear" w:color="auto" w:fill="auto"/>
            <w:vAlign w:val="center"/>
          </w:tcPr>
          <w:p w14:paraId="6A2FED54" w14:textId="77777777" w:rsidR="00DD5B7A" w:rsidRPr="00781112" w:rsidRDefault="00DD5B7A" w:rsidP="00827FF4">
            <w:pPr>
              <w:spacing w:before="0" w:after="0"/>
              <w:jc w:val="center"/>
              <w:rPr>
                <w:rFonts w:cs="Arial"/>
                <w:color w:val="000000" w:themeColor="text1"/>
                <w:szCs w:val="16"/>
              </w:rPr>
            </w:pPr>
            <w:r w:rsidRPr="00781112">
              <w:rPr>
                <w:rFonts w:cs="Arial"/>
                <w:color w:val="000000" w:themeColor="text1"/>
                <w:szCs w:val="16"/>
              </w:rPr>
              <w:t>A</w:t>
            </w:r>
          </w:p>
        </w:tc>
        <w:tc>
          <w:tcPr>
            <w:tcW w:w="1176" w:type="pct"/>
            <w:shd w:val="clear" w:color="auto" w:fill="auto"/>
            <w:vAlign w:val="center"/>
          </w:tcPr>
          <w:p w14:paraId="4BB0AC7F" w14:textId="3CC5AB81" w:rsidR="00DD5B7A" w:rsidRPr="00781112" w:rsidRDefault="00DD5B7A" w:rsidP="00827FF4">
            <w:pPr>
              <w:spacing w:before="0" w:after="0"/>
              <w:jc w:val="center"/>
              <w:rPr>
                <w:rFonts w:cs="Arial"/>
                <w:color w:val="000000" w:themeColor="text1"/>
                <w:szCs w:val="16"/>
              </w:rPr>
            </w:pPr>
            <w:r w:rsidRPr="00781112">
              <w:rPr>
                <w:rFonts w:cs="Arial"/>
                <w:color w:val="000000" w:themeColor="text1"/>
                <w:szCs w:val="16"/>
              </w:rPr>
              <w:t>Grade 4</w:t>
            </w:r>
          </w:p>
        </w:tc>
        <w:tc>
          <w:tcPr>
            <w:tcW w:w="1176" w:type="pct"/>
            <w:shd w:val="clear" w:color="auto" w:fill="auto"/>
            <w:vAlign w:val="center"/>
          </w:tcPr>
          <w:p w14:paraId="53D65D13" w14:textId="770510BC" w:rsidR="00DD5B7A" w:rsidRPr="00781112" w:rsidRDefault="00DD5B7A" w:rsidP="00827FF4">
            <w:pPr>
              <w:jc w:val="center"/>
              <w:rPr>
                <w:rFonts w:cs="Arial"/>
                <w:color w:val="000000" w:themeColor="text1"/>
                <w:szCs w:val="16"/>
              </w:rPr>
            </w:pPr>
            <w:r w:rsidRPr="00781112">
              <w:rPr>
                <w:rFonts w:cs="Arial"/>
                <w:color w:val="000000" w:themeColor="text1"/>
                <w:szCs w:val="16"/>
              </w:rPr>
              <w:t>2018</w:t>
            </w:r>
          </w:p>
        </w:tc>
        <w:tc>
          <w:tcPr>
            <w:tcW w:w="1176" w:type="pct"/>
            <w:vAlign w:val="center"/>
          </w:tcPr>
          <w:p w14:paraId="61BD930B" w14:textId="329DAC52" w:rsidR="00DD5B7A" w:rsidRPr="00781112" w:rsidRDefault="00DD5B7A" w:rsidP="00827FF4">
            <w:pPr>
              <w:spacing w:before="0" w:after="0"/>
              <w:jc w:val="center"/>
              <w:rPr>
                <w:rFonts w:cs="Arial"/>
                <w:color w:val="000000" w:themeColor="text1"/>
                <w:szCs w:val="16"/>
              </w:rPr>
            </w:pPr>
            <w:r w:rsidRPr="00781112">
              <w:rPr>
                <w:rFonts w:cs="Arial"/>
                <w:color w:val="000000" w:themeColor="text1"/>
                <w:szCs w:val="16"/>
              </w:rPr>
              <w:t>25.27</w:t>
            </w:r>
          </w:p>
        </w:tc>
      </w:tr>
      <w:tr w:rsidR="00DD5B7A" w:rsidRPr="00781112" w14:paraId="58025947" w14:textId="77777777" w:rsidTr="00360DD6">
        <w:trPr>
          <w:trHeight w:val="368"/>
        </w:trPr>
        <w:tc>
          <w:tcPr>
            <w:tcW w:w="736" w:type="pct"/>
            <w:vAlign w:val="center"/>
          </w:tcPr>
          <w:p w14:paraId="78429F0C" w14:textId="77777777" w:rsidR="00DD5B7A" w:rsidRPr="00781112" w:rsidRDefault="00DD5B7A" w:rsidP="00827FF4">
            <w:pPr>
              <w:spacing w:before="0" w:after="0"/>
              <w:jc w:val="center"/>
              <w:rPr>
                <w:rFonts w:cs="Arial"/>
                <w:b/>
                <w:bCs/>
                <w:color w:val="000000" w:themeColor="text1"/>
                <w:szCs w:val="16"/>
              </w:rPr>
            </w:pPr>
            <w:r w:rsidRPr="00781112">
              <w:rPr>
                <w:rFonts w:cs="Arial"/>
                <w:szCs w:val="16"/>
              </w:rPr>
              <w:t>Math</w:t>
            </w:r>
          </w:p>
        </w:tc>
        <w:tc>
          <w:tcPr>
            <w:tcW w:w="736" w:type="pct"/>
            <w:shd w:val="clear" w:color="auto" w:fill="auto"/>
            <w:vAlign w:val="center"/>
          </w:tcPr>
          <w:p w14:paraId="2EDC855F" w14:textId="77777777" w:rsidR="00DD5B7A" w:rsidRPr="00781112" w:rsidRDefault="00DD5B7A" w:rsidP="00827FF4">
            <w:pPr>
              <w:spacing w:before="0" w:after="0"/>
              <w:jc w:val="center"/>
              <w:rPr>
                <w:rFonts w:cs="Arial"/>
                <w:color w:val="000000" w:themeColor="text1"/>
                <w:szCs w:val="16"/>
              </w:rPr>
            </w:pPr>
            <w:r w:rsidRPr="00781112">
              <w:rPr>
                <w:rFonts w:cs="Arial"/>
                <w:color w:val="000000" w:themeColor="text1"/>
                <w:szCs w:val="16"/>
              </w:rPr>
              <w:t>B</w:t>
            </w:r>
          </w:p>
        </w:tc>
        <w:tc>
          <w:tcPr>
            <w:tcW w:w="1176" w:type="pct"/>
            <w:shd w:val="clear" w:color="auto" w:fill="auto"/>
            <w:vAlign w:val="center"/>
          </w:tcPr>
          <w:p w14:paraId="5CF56AA5" w14:textId="0CC49FE5" w:rsidR="00DD5B7A" w:rsidRPr="00781112" w:rsidRDefault="00DD5B7A" w:rsidP="00827FF4">
            <w:pPr>
              <w:jc w:val="center"/>
              <w:rPr>
                <w:rFonts w:cs="Arial"/>
                <w:color w:val="000000" w:themeColor="text1"/>
                <w:szCs w:val="16"/>
              </w:rPr>
            </w:pPr>
            <w:r w:rsidRPr="00781112">
              <w:rPr>
                <w:rFonts w:cs="Arial"/>
                <w:color w:val="000000" w:themeColor="text1"/>
                <w:szCs w:val="16"/>
              </w:rPr>
              <w:t>Grade 8</w:t>
            </w:r>
          </w:p>
        </w:tc>
        <w:tc>
          <w:tcPr>
            <w:tcW w:w="1176" w:type="pct"/>
            <w:shd w:val="clear" w:color="auto" w:fill="auto"/>
            <w:vAlign w:val="center"/>
          </w:tcPr>
          <w:p w14:paraId="4E0933AD" w14:textId="4526CD59" w:rsidR="00DD5B7A" w:rsidRPr="00781112" w:rsidRDefault="00DD5B7A" w:rsidP="00827FF4">
            <w:pPr>
              <w:jc w:val="center"/>
              <w:rPr>
                <w:rFonts w:cs="Arial"/>
                <w:color w:val="000000" w:themeColor="text1"/>
                <w:szCs w:val="16"/>
              </w:rPr>
            </w:pPr>
            <w:r w:rsidRPr="00781112">
              <w:rPr>
                <w:rFonts w:cs="Arial"/>
                <w:color w:val="000000" w:themeColor="text1"/>
                <w:szCs w:val="16"/>
              </w:rPr>
              <w:t>2018</w:t>
            </w:r>
          </w:p>
        </w:tc>
        <w:tc>
          <w:tcPr>
            <w:tcW w:w="1176" w:type="pct"/>
            <w:vAlign w:val="center"/>
          </w:tcPr>
          <w:p w14:paraId="521057BA" w14:textId="390B5FBA" w:rsidR="00DD5B7A" w:rsidRPr="00781112" w:rsidRDefault="00DD5B7A" w:rsidP="00827FF4">
            <w:pPr>
              <w:spacing w:before="0" w:after="0"/>
              <w:jc w:val="center"/>
              <w:rPr>
                <w:rFonts w:cs="Arial"/>
                <w:color w:val="000000" w:themeColor="text1"/>
                <w:szCs w:val="16"/>
              </w:rPr>
            </w:pPr>
            <w:r w:rsidRPr="00781112">
              <w:rPr>
                <w:rFonts w:cs="Arial"/>
                <w:color w:val="000000" w:themeColor="text1"/>
                <w:szCs w:val="16"/>
              </w:rPr>
              <w:t>31.52</w:t>
            </w:r>
          </w:p>
        </w:tc>
      </w:tr>
      <w:tr w:rsidR="00DD5B7A" w:rsidRPr="00781112" w14:paraId="760D00F1" w14:textId="77777777" w:rsidTr="00360DD6">
        <w:trPr>
          <w:trHeight w:val="368"/>
        </w:trPr>
        <w:tc>
          <w:tcPr>
            <w:tcW w:w="736" w:type="pct"/>
            <w:vAlign w:val="center"/>
          </w:tcPr>
          <w:p w14:paraId="6D27E968" w14:textId="77777777" w:rsidR="00DD5B7A" w:rsidRPr="00781112" w:rsidRDefault="00DD5B7A" w:rsidP="00827FF4">
            <w:pPr>
              <w:spacing w:before="0" w:after="0"/>
              <w:jc w:val="center"/>
              <w:rPr>
                <w:rFonts w:cs="Arial"/>
                <w:b/>
                <w:bCs/>
                <w:color w:val="000000" w:themeColor="text1"/>
                <w:szCs w:val="16"/>
              </w:rPr>
            </w:pPr>
            <w:r w:rsidRPr="00781112">
              <w:rPr>
                <w:rFonts w:cs="Arial"/>
                <w:szCs w:val="16"/>
              </w:rPr>
              <w:t>Math</w:t>
            </w:r>
          </w:p>
        </w:tc>
        <w:tc>
          <w:tcPr>
            <w:tcW w:w="736" w:type="pct"/>
            <w:shd w:val="clear" w:color="auto" w:fill="auto"/>
            <w:vAlign w:val="center"/>
          </w:tcPr>
          <w:p w14:paraId="2F323B36" w14:textId="77777777" w:rsidR="00DD5B7A" w:rsidRPr="00781112" w:rsidRDefault="00DD5B7A" w:rsidP="00827FF4">
            <w:pPr>
              <w:spacing w:before="0" w:after="0"/>
              <w:jc w:val="center"/>
              <w:rPr>
                <w:rFonts w:cs="Arial"/>
                <w:color w:val="000000" w:themeColor="text1"/>
                <w:szCs w:val="16"/>
              </w:rPr>
            </w:pPr>
            <w:r w:rsidRPr="00781112">
              <w:rPr>
                <w:rFonts w:cs="Arial"/>
                <w:color w:val="000000" w:themeColor="text1"/>
                <w:szCs w:val="16"/>
              </w:rPr>
              <w:t>C</w:t>
            </w:r>
          </w:p>
        </w:tc>
        <w:tc>
          <w:tcPr>
            <w:tcW w:w="1176" w:type="pct"/>
            <w:shd w:val="clear" w:color="auto" w:fill="auto"/>
            <w:vAlign w:val="center"/>
          </w:tcPr>
          <w:p w14:paraId="351646FB" w14:textId="156B4E70" w:rsidR="00DD5B7A" w:rsidRPr="00781112" w:rsidRDefault="00DD5B7A" w:rsidP="00827FF4">
            <w:pPr>
              <w:spacing w:before="0" w:after="0"/>
              <w:jc w:val="center"/>
              <w:rPr>
                <w:rFonts w:cs="Arial"/>
                <w:color w:val="000000" w:themeColor="text1"/>
                <w:szCs w:val="16"/>
              </w:rPr>
            </w:pPr>
            <w:r w:rsidRPr="00781112">
              <w:rPr>
                <w:rFonts w:cs="Arial"/>
                <w:color w:val="000000" w:themeColor="text1"/>
                <w:szCs w:val="16"/>
              </w:rPr>
              <w:t>Grade HS</w:t>
            </w:r>
          </w:p>
        </w:tc>
        <w:tc>
          <w:tcPr>
            <w:tcW w:w="1176" w:type="pct"/>
            <w:shd w:val="clear" w:color="auto" w:fill="auto"/>
            <w:vAlign w:val="center"/>
          </w:tcPr>
          <w:p w14:paraId="32ADE626" w14:textId="141B037F" w:rsidR="00DD5B7A" w:rsidRPr="00781112" w:rsidRDefault="00DD5B7A" w:rsidP="00827FF4">
            <w:pPr>
              <w:jc w:val="center"/>
              <w:rPr>
                <w:rFonts w:cs="Arial"/>
                <w:color w:val="000000" w:themeColor="text1"/>
                <w:szCs w:val="16"/>
              </w:rPr>
            </w:pPr>
            <w:r w:rsidRPr="00781112">
              <w:rPr>
                <w:rFonts w:cs="Arial"/>
                <w:color w:val="000000" w:themeColor="text1"/>
                <w:szCs w:val="16"/>
              </w:rPr>
              <w:t>2020</w:t>
            </w:r>
          </w:p>
        </w:tc>
        <w:tc>
          <w:tcPr>
            <w:tcW w:w="1176" w:type="pct"/>
            <w:vAlign w:val="center"/>
          </w:tcPr>
          <w:p w14:paraId="546306E9" w14:textId="2609FDFB" w:rsidR="00DD5B7A" w:rsidRPr="00781112" w:rsidRDefault="00DD5B7A" w:rsidP="00827FF4">
            <w:pPr>
              <w:spacing w:before="0" w:after="0"/>
              <w:jc w:val="center"/>
              <w:rPr>
                <w:rFonts w:cs="Arial"/>
                <w:color w:val="000000" w:themeColor="text1"/>
                <w:szCs w:val="16"/>
              </w:rPr>
            </w:pPr>
            <w:r w:rsidRPr="00781112">
              <w:rPr>
                <w:rFonts w:cs="Arial"/>
                <w:color w:val="000000" w:themeColor="text1"/>
                <w:szCs w:val="16"/>
              </w:rPr>
              <w:t>30.42</w:t>
            </w:r>
          </w:p>
        </w:tc>
      </w:tr>
    </w:tbl>
    <w:p w14:paraId="6BEA17C2" w14:textId="77777777" w:rsidR="00DD5B7A" w:rsidRPr="00781112" w:rsidRDefault="00DD5B7A" w:rsidP="00DD5B7A">
      <w:pPr>
        <w:spacing w:before="0" w:after="200" w:line="276" w:lineRule="auto"/>
        <w:rPr>
          <w:b/>
          <w:color w:val="000000" w:themeColor="text1"/>
        </w:rPr>
      </w:pPr>
    </w:p>
    <w:p w14:paraId="0E9E5136" w14:textId="77777777" w:rsidR="00DD5B7A" w:rsidRPr="00781112" w:rsidRDefault="00DD5B7A" w:rsidP="00DD5B7A">
      <w:pPr>
        <w:rPr>
          <w:b/>
          <w:color w:val="000000" w:themeColor="text1"/>
        </w:rPr>
      </w:pPr>
      <w:r w:rsidRPr="00781112">
        <w:rPr>
          <w:b/>
          <w:color w:val="000000" w:themeColor="text1"/>
        </w:rPr>
        <w:t>Targets</w:t>
      </w:r>
    </w:p>
    <w:tbl>
      <w:tblPr>
        <w:tblW w:w="376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B03DTARGETS"/>
      </w:tblPr>
      <w:tblGrid>
        <w:gridCol w:w="897"/>
        <w:gridCol w:w="721"/>
        <w:gridCol w:w="1171"/>
        <w:gridCol w:w="1334"/>
        <w:gridCol w:w="1334"/>
        <w:gridCol w:w="1334"/>
        <w:gridCol w:w="1332"/>
      </w:tblGrid>
      <w:tr w:rsidR="00B67FCE" w:rsidRPr="00781112" w14:paraId="32AE1F59" w14:textId="77777777" w:rsidTr="00845B9B">
        <w:tc>
          <w:tcPr>
            <w:tcW w:w="552" w:type="pct"/>
            <w:tcBorders>
              <w:bottom w:val="single" w:sz="4" w:space="0" w:color="auto"/>
            </w:tcBorders>
            <w:shd w:val="clear" w:color="auto" w:fill="auto"/>
            <w:vAlign w:val="center"/>
          </w:tcPr>
          <w:p w14:paraId="6A9E2F19" w14:textId="77777777" w:rsidR="00B67FCE" w:rsidRPr="00781112" w:rsidRDefault="00B67FCE" w:rsidP="00827FF4">
            <w:pPr>
              <w:jc w:val="center"/>
              <w:rPr>
                <w:b/>
                <w:color w:val="000000" w:themeColor="text1"/>
              </w:rPr>
            </w:pPr>
            <w:r w:rsidRPr="00781112">
              <w:rPr>
                <w:b/>
                <w:color w:val="000000" w:themeColor="text1"/>
              </w:rPr>
              <w:t>Subject</w:t>
            </w:r>
          </w:p>
        </w:tc>
        <w:tc>
          <w:tcPr>
            <w:tcW w:w="444" w:type="pct"/>
            <w:tcBorders>
              <w:bottom w:val="single" w:sz="4" w:space="0" w:color="auto"/>
            </w:tcBorders>
            <w:shd w:val="clear" w:color="auto" w:fill="auto"/>
            <w:vAlign w:val="center"/>
          </w:tcPr>
          <w:p w14:paraId="5181D1E9" w14:textId="77777777" w:rsidR="00B67FCE" w:rsidRPr="00781112" w:rsidRDefault="00B67FCE" w:rsidP="00827FF4">
            <w:pPr>
              <w:jc w:val="center"/>
              <w:rPr>
                <w:b/>
                <w:color w:val="000000" w:themeColor="text1"/>
              </w:rPr>
            </w:pPr>
            <w:r w:rsidRPr="00781112">
              <w:rPr>
                <w:b/>
                <w:color w:val="000000" w:themeColor="text1"/>
              </w:rPr>
              <w:t>Group</w:t>
            </w:r>
          </w:p>
        </w:tc>
        <w:tc>
          <w:tcPr>
            <w:tcW w:w="721" w:type="pct"/>
            <w:shd w:val="clear" w:color="auto" w:fill="auto"/>
            <w:vAlign w:val="center"/>
          </w:tcPr>
          <w:p w14:paraId="7C5EACD6" w14:textId="77777777" w:rsidR="00B67FCE" w:rsidRPr="00781112" w:rsidDel="008E7B87" w:rsidRDefault="00B67FCE" w:rsidP="00827FF4">
            <w:pPr>
              <w:jc w:val="center"/>
              <w:rPr>
                <w:b/>
                <w:color w:val="000000" w:themeColor="text1"/>
              </w:rPr>
            </w:pPr>
            <w:r w:rsidRPr="00781112">
              <w:rPr>
                <w:b/>
                <w:color w:val="000000" w:themeColor="text1"/>
              </w:rPr>
              <w:t>Group Name</w:t>
            </w:r>
          </w:p>
        </w:tc>
        <w:tc>
          <w:tcPr>
            <w:tcW w:w="821" w:type="pct"/>
            <w:shd w:val="clear" w:color="auto" w:fill="auto"/>
            <w:vAlign w:val="center"/>
          </w:tcPr>
          <w:p w14:paraId="57197BBC" w14:textId="77777777" w:rsidR="00B67FCE" w:rsidRPr="00781112" w:rsidRDefault="00B67FCE" w:rsidP="00827FF4">
            <w:pPr>
              <w:jc w:val="center"/>
              <w:rPr>
                <w:b/>
                <w:color w:val="000000" w:themeColor="text1"/>
              </w:rPr>
            </w:pPr>
            <w:r w:rsidRPr="00781112">
              <w:rPr>
                <w:b/>
                <w:color w:val="000000" w:themeColor="text1"/>
              </w:rPr>
              <w:t>2022</w:t>
            </w:r>
          </w:p>
        </w:tc>
        <w:tc>
          <w:tcPr>
            <w:tcW w:w="821" w:type="pct"/>
            <w:vAlign w:val="center"/>
          </w:tcPr>
          <w:p w14:paraId="07ACCE04" w14:textId="77777777" w:rsidR="00B67FCE" w:rsidRPr="00781112" w:rsidRDefault="00B67FCE" w:rsidP="00827FF4">
            <w:pPr>
              <w:jc w:val="center"/>
              <w:rPr>
                <w:b/>
                <w:color w:val="000000" w:themeColor="text1"/>
              </w:rPr>
            </w:pPr>
            <w:r w:rsidRPr="00781112">
              <w:rPr>
                <w:rFonts w:cs="Arial"/>
                <w:b/>
                <w:color w:val="000000" w:themeColor="text1"/>
                <w:szCs w:val="16"/>
              </w:rPr>
              <w:t>2023</w:t>
            </w:r>
          </w:p>
        </w:tc>
        <w:tc>
          <w:tcPr>
            <w:tcW w:w="821" w:type="pct"/>
            <w:vAlign w:val="center"/>
          </w:tcPr>
          <w:p w14:paraId="0B682674" w14:textId="77777777" w:rsidR="00B67FCE" w:rsidRPr="00781112" w:rsidRDefault="00B67FCE" w:rsidP="00827FF4">
            <w:pPr>
              <w:jc w:val="center"/>
              <w:rPr>
                <w:b/>
                <w:color w:val="000000" w:themeColor="text1"/>
              </w:rPr>
            </w:pPr>
            <w:r w:rsidRPr="00781112">
              <w:rPr>
                <w:rFonts w:cs="Arial"/>
                <w:b/>
                <w:color w:val="000000" w:themeColor="text1"/>
                <w:szCs w:val="16"/>
              </w:rPr>
              <w:t>2024</w:t>
            </w:r>
          </w:p>
        </w:tc>
        <w:tc>
          <w:tcPr>
            <w:tcW w:w="821" w:type="pct"/>
            <w:vAlign w:val="center"/>
          </w:tcPr>
          <w:p w14:paraId="3597F00E" w14:textId="77777777" w:rsidR="00B67FCE" w:rsidRPr="00781112" w:rsidRDefault="00B67FCE" w:rsidP="00827FF4">
            <w:pPr>
              <w:jc w:val="center"/>
              <w:rPr>
                <w:b/>
                <w:color w:val="000000" w:themeColor="text1"/>
              </w:rPr>
            </w:pPr>
            <w:r w:rsidRPr="00781112">
              <w:rPr>
                <w:rFonts w:cs="Arial"/>
                <w:b/>
                <w:color w:val="000000" w:themeColor="text1"/>
                <w:szCs w:val="16"/>
              </w:rPr>
              <w:t>2025</w:t>
            </w:r>
          </w:p>
        </w:tc>
      </w:tr>
      <w:tr w:rsidR="00B67FCE" w:rsidRPr="00781112" w14:paraId="506F660C" w14:textId="77777777" w:rsidTr="00845B9B">
        <w:tc>
          <w:tcPr>
            <w:tcW w:w="552" w:type="pct"/>
            <w:shd w:val="clear" w:color="auto" w:fill="auto"/>
            <w:vAlign w:val="center"/>
          </w:tcPr>
          <w:p w14:paraId="5CF55C17" w14:textId="77777777" w:rsidR="00B67FCE" w:rsidRPr="00781112" w:rsidRDefault="00B67FCE" w:rsidP="00827FF4">
            <w:pPr>
              <w:spacing w:before="0" w:after="0"/>
              <w:jc w:val="center"/>
              <w:rPr>
                <w:rFonts w:cs="Arial"/>
                <w:color w:val="000000" w:themeColor="text1"/>
                <w:szCs w:val="16"/>
              </w:rPr>
            </w:pPr>
            <w:r w:rsidRPr="00781112">
              <w:rPr>
                <w:rFonts w:cs="Arial"/>
                <w:color w:val="000000" w:themeColor="text1"/>
                <w:szCs w:val="16"/>
              </w:rPr>
              <w:t>Reading</w:t>
            </w:r>
          </w:p>
        </w:tc>
        <w:tc>
          <w:tcPr>
            <w:tcW w:w="444" w:type="pct"/>
            <w:shd w:val="clear" w:color="auto" w:fill="auto"/>
            <w:vAlign w:val="center"/>
          </w:tcPr>
          <w:p w14:paraId="4BDAD87D" w14:textId="77777777" w:rsidR="00B67FCE" w:rsidRPr="00781112" w:rsidRDefault="00B67FCE" w:rsidP="00827FF4">
            <w:pPr>
              <w:spacing w:before="0" w:after="0"/>
              <w:jc w:val="center"/>
              <w:rPr>
                <w:rFonts w:cs="Arial"/>
                <w:color w:val="000000" w:themeColor="text1"/>
                <w:szCs w:val="16"/>
              </w:rPr>
            </w:pPr>
            <w:r w:rsidRPr="00781112">
              <w:rPr>
                <w:rFonts w:cs="Arial"/>
                <w:color w:val="000000" w:themeColor="text1"/>
                <w:szCs w:val="16"/>
              </w:rPr>
              <w:t>A &lt;=</w:t>
            </w:r>
          </w:p>
        </w:tc>
        <w:tc>
          <w:tcPr>
            <w:tcW w:w="721" w:type="pct"/>
            <w:shd w:val="clear" w:color="auto" w:fill="auto"/>
            <w:vAlign w:val="center"/>
          </w:tcPr>
          <w:p w14:paraId="25B01019" w14:textId="68614C3D" w:rsidR="00B67FCE" w:rsidRPr="00781112" w:rsidDel="00DB0A73" w:rsidRDefault="00B67FCE" w:rsidP="00827FF4">
            <w:pPr>
              <w:jc w:val="center"/>
              <w:rPr>
                <w:rFonts w:cs="Arial"/>
                <w:color w:val="000000" w:themeColor="text1"/>
                <w:szCs w:val="16"/>
              </w:rPr>
            </w:pPr>
            <w:r w:rsidRPr="00781112">
              <w:rPr>
                <w:rFonts w:cs="Arial"/>
                <w:color w:val="000000" w:themeColor="text1"/>
                <w:szCs w:val="16"/>
              </w:rPr>
              <w:t>Grade 4</w:t>
            </w:r>
          </w:p>
        </w:tc>
        <w:tc>
          <w:tcPr>
            <w:tcW w:w="821" w:type="pct"/>
            <w:shd w:val="clear" w:color="auto" w:fill="auto"/>
            <w:vAlign w:val="center"/>
          </w:tcPr>
          <w:p w14:paraId="6E665D01" w14:textId="380A2C73" w:rsidR="00B67FCE" w:rsidRPr="00781112" w:rsidRDefault="00B67FCE" w:rsidP="00827FF4">
            <w:pPr>
              <w:jc w:val="center"/>
              <w:rPr>
                <w:rFonts w:cs="Arial"/>
                <w:color w:val="000000" w:themeColor="text1"/>
                <w:szCs w:val="16"/>
              </w:rPr>
            </w:pPr>
            <w:r w:rsidRPr="00781112">
              <w:rPr>
                <w:rFonts w:cs="Arial"/>
                <w:color w:val="000000" w:themeColor="text1"/>
                <w:szCs w:val="16"/>
              </w:rPr>
              <w:t>37.11</w:t>
            </w:r>
          </w:p>
        </w:tc>
        <w:tc>
          <w:tcPr>
            <w:tcW w:w="821" w:type="pct"/>
            <w:vAlign w:val="center"/>
          </w:tcPr>
          <w:p w14:paraId="680AEBF8" w14:textId="435AE40D" w:rsidR="00B67FCE" w:rsidRPr="00781112" w:rsidRDefault="00B67FCE" w:rsidP="00827FF4">
            <w:pPr>
              <w:jc w:val="center"/>
              <w:rPr>
                <w:rFonts w:cs="Arial"/>
                <w:color w:val="000000" w:themeColor="text1"/>
                <w:szCs w:val="16"/>
              </w:rPr>
            </w:pPr>
            <w:r w:rsidRPr="00781112">
              <w:rPr>
                <w:rFonts w:cs="Arial"/>
                <w:color w:val="000000" w:themeColor="text1"/>
                <w:szCs w:val="16"/>
              </w:rPr>
              <w:t>37.11</w:t>
            </w:r>
            <w:r w:rsidRPr="00781112">
              <w:t xml:space="preserve"> </w:t>
            </w:r>
          </w:p>
        </w:tc>
        <w:tc>
          <w:tcPr>
            <w:tcW w:w="821" w:type="pct"/>
            <w:vAlign w:val="center"/>
          </w:tcPr>
          <w:p w14:paraId="060B65A2" w14:textId="3C5E7042" w:rsidR="00B67FCE" w:rsidRPr="00781112" w:rsidRDefault="00B67FCE" w:rsidP="00827FF4">
            <w:pPr>
              <w:jc w:val="center"/>
              <w:rPr>
                <w:rFonts w:cs="Arial"/>
                <w:color w:val="000000" w:themeColor="text1"/>
                <w:szCs w:val="16"/>
              </w:rPr>
            </w:pPr>
            <w:r w:rsidRPr="00781112">
              <w:rPr>
                <w:rFonts w:cs="Arial"/>
                <w:color w:val="000000" w:themeColor="text1"/>
                <w:szCs w:val="16"/>
              </w:rPr>
              <w:t>37.11</w:t>
            </w:r>
          </w:p>
        </w:tc>
        <w:tc>
          <w:tcPr>
            <w:tcW w:w="821" w:type="pct"/>
            <w:vAlign w:val="center"/>
          </w:tcPr>
          <w:p w14:paraId="7E46B7D6" w14:textId="00FC807B" w:rsidR="00B67FCE" w:rsidRPr="00781112" w:rsidRDefault="00B67FCE" w:rsidP="00827FF4">
            <w:pPr>
              <w:jc w:val="center"/>
              <w:rPr>
                <w:rFonts w:cs="Arial"/>
                <w:color w:val="000000" w:themeColor="text1"/>
                <w:szCs w:val="16"/>
              </w:rPr>
            </w:pPr>
            <w:r w:rsidRPr="00781112">
              <w:rPr>
                <w:rFonts w:cs="Arial"/>
                <w:color w:val="000000" w:themeColor="text1"/>
                <w:szCs w:val="16"/>
              </w:rPr>
              <w:t>37.10</w:t>
            </w:r>
          </w:p>
        </w:tc>
      </w:tr>
      <w:tr w:rsidR="00B67FCE" w:rsidRPr="00781112" w14:paraId="109FA148" w14:textId="77777777" w:rsidTr="00845B9B">
        <w:tc>
          <w:tcPr>
            <w:tcW w:w="552" w:type="pct"/>
            <w:shd w:val="clear" w:color="auto" w:fill="auto"/>
            <w:vAlign w:val="center"/>
          </w:tcPr>
          <w:p w14:paraId="5CAAC2A8" w14:textId="77777777" w:rsidR="00B67FCE" w:rsidRPr="00781112" w:rsidRDefault="00B67FCE" w:rsidP="00827FF4">
            <w:pPr>
              <w:spacing w:before="0" w:after="0"/>
              <w:jc w:val="center"/>
              <w:rPr>
                <w:rFonts w:cs="Arial"/>
                <w:color w:val="000000" w:themeColor="text1"/>
                <w:szCs w:val="16"/>
              </w:rPr>
            </w:pPr>
            <w:r w:rsidRPr="00781112">
              <w:rPr>
                <w:rFonts w:cs="Arial"/>
                <w:color w:val="000000" w:themeColor="text1"/>
                <w:szCs w:val="16"/>
              </w:rPr>
              <w:t>Reading</w:t>
            </w:r>
          </w:p>
        </w:tc>
        <w:tc>
          <w:tcPr>
            <w:tcW w:w="444" w:type="pct"/>
            <w:shd w:val="clear" w:color="auto" w:fill="auto"/>
            <w:vAlign w:val="center"/>
          </w:tcPr>
          <w:p w14:paraId="1DFAA13E" w14:textId="77777777" w:rsidR="00B67FCE" w:rsidRPr="00781112" w:rsidRDefault="00B67FCE" w:rsidP="00827FF4">
            <w:pPr>
              <w:spacing w:before="0" w:after="0"/>
              <w:jc w:val="center"/>
              <w:rPr>
                <w:rFonts w:cs="Arial"/>
                <w:color w:val="000000" w:themeColor="text1"/>
                <w:szCs w:val="16"/>
              </w:rPr>
            </w:pPr>
            <w:r w:rsidRPr="00781112">
              <w:rPr>
                <w:rFonts w:cs="Arial"/>
                <w:color w:val="000000" w:themeColor="text1"/>
                <w:szCs w:val="16"/>
              </w:rPr>
              <w:t>B &lt;=</w:t>
            </w:r>
          </w:p>
        </w:tc>
        <w:tc>
          <w:tcPr>
            <w:tcW w:w="721" w:type="pct"/>
            <w:shd w:val="clear" w:color="auto" w:fill="auto"/>
            <w:vAlign w:val="center"/>
          </w:tcPr>
          <w:p w14:paraId="330884D1" w14:textId="3ED7AA15" w:rsidR="00B67FCE" w:rsidRPr="00781112" w:rsidDel="00DB0A73" w:rsidRDefault="00B67FCE" w:rsidP="00827FF4">
            <w:pPr>
              <w:jc w:val="center"/>
              <w:rPr>
                <w:rFonts w:cs="Arial"/>
                <w:color w:val="000000" w:themeColor="text1"/>
                <w:szCs w:val="16"/>
              </w:rPr>
            </w:pPr>
            <w:r w:rsidRPr="00781112">
              <w:rPr>
                <w:rFonts w:cs="Arial"/>
                <w:color w:val="000000" w:themeColor="text1"/>
                <w:szCs w:val="16"/>
              </w:rPr>
              <w:t>Grade 8</w:t>
            </w:r>
          </w:p>
        </w:tc>
        <w:tc>
          <w:tcPr>
            <w:tcW w:w="821" w:type="pct"/>
            <w:shd w:val="clear" w:color="auto" w:fill="auto"/>
            <w:vAlign w:val="center"/>
          </w:tcPr>
          <w:p w14:paraId="68DC0FBA" w14:textId="3776550F" w:rsidR="00B67FCE" w:rsidRPr="00781112" w:rsidRDefault="00B67FCE" w:rsidP="00827FF4">
            <w:pPr>
              <w:jc w:val="center"/>
              <w:rPr>
                <w:rFonts w:cs="Arial"/>
                <w:color w:val="000000" w:themeColor="text1"/>
                <w:szCs w:val="16"/>
              </w:rPr>
            </w:pPr>
            <w:r w:rsidRPr="00781112">
              <w:rPr>
                <w:rFonts w:cs="Arial"/>
                <w:color w:val="000000" w:themeColor="text1"/>
                <w:szCs w:val="16"/>
              </w:rPr>
              <w:t>39.74</w:t>
            </w:r>
          </w:p>
        </w:tc>
        <w:tc>
          <w:tcPr>
            <w:tcW w:w="821" w:type="pct"/>
            <w:vAlign w:val="center"/>
          </w:tcPr>
          <w:p w14:paraId="5D544F8D" w14:textId="7D5BE3EF" w:rsidR="00B67FCE" w:rsidRPr="00781112" w:rsidRDefault="00B67FCE" w:rsidP="00827FF4">
            <w:pPr>
              <w:jc w:val="center"/>
              <w:rPr>
                <w:rFonts w:cs="Arial"/>
                <w:color w:val="000000" w:themeColor="text1"/>
                <w:szCs w:val="16"/>
              </w:rPr>
            </w:pPr>
            <w:r w:rsidRPr="00781112">
              <w:rPr>
                <w:rFonts w:cs="Arial"/>
                <w:color w:val="000000" w:themeColor="text1"/>
                <w:szCs w:val="16"/>
              </w:rPr>
              <w:t>39.74</w:t>
            </w:r>
          </w:p>
        </w:tc>
        <w:tc>
          <w:tcPr>
            <w:tcW w:w="821" w:type="pct"/>
            <w:vAlign w:val="center"/>
          </w:tcPr>
          <w:p w14:paraId="067CAD2B" w14:textId="5DA2AE3C" w:rsidR="00B67FCE" w:rsidRPr="00781112" w:rsidRDefault="00B67FCE" w:rsidP="00827FF4">
            <w:pPr>
              <w:jc w:val="center"/>
              <w:rPr>
                <w:rFonts w:cs="Arial"/>
                <w:color w:val="000000" w:themeColor="text1"/>
                <w:szCs w:val="16"/>
              </w:rPr>
            </w:pPr>
            <w:r w:rsidRPr="00781112">
              <w:rPr>
                <w:rFonts w:cs="Arial"/>
                <w:color w:val="000000" w:themeColor="text1"/>
                <w:szCs w:val="16"/>
              </w:rPr>
              <w:t>39.74</w:t>
            </w:r>
          </w:p>
        </w:tc>
        <w:tc>
          <w:tcPr>
            <w:tcW w:w="821" w:type="pct"/>
            <w:vAlign w:val="center"/>
          </w:tcPr>
          <w:p w14:paraId="780BEF08" w14:textId="2245CB58" w:rsidR="00B67FCE" w:rsidRPr="00781112" w:rsidRDefault="00B67FCE" w:rsidP="00827FF4">
            <w:pPr>
              <w:jc w:val="center"/>
              <w:rPr>
                <w:rFonts w:cs="Arial"/>
                <w:color w:val="000000" w:themeColor="text1"/>
                <w:szCs w:val="16"/>
              </w:rPr>
            </w:pPr>
            <w:r w:rsidRPr="00781112">
              <w:rPr>
                <w:rFonts w:cs="Arial"/>
                <w:color w:val="000000" w:themeColor="text1"/>
                <w:szCs w:val="16"/>
              </w:rPr>
              <w:t>39.73</w:t>
            </w:r>
          </w:p>
        </w:tc>
      </w:tr>
      <w:tr w:rsidR="00B67FCE" w:rsidRPr="00781112" w14:paraId="736D24EA" w14:textId="77777777" w:rsidTr="00845B9B">
        <w:tc>
          <w:tcPr>
            <w:tcW w:w="552" w:type="pct"/>
            <w:shd w:val="clear" w:color="auto" w:fill="auto"/>
            <w:vAlign w:val="center"/>
          </w:tcPr>
          <w:p w14:paraId="56FB00C6" w14:textId="77777777" w:rsidR="00B67FCE" w:rsidRPr="00781112" w:rsidRDefault="00B67FCE" w:rsidP="00827FF4">
            <w:pPr>
              <w:spacing w:before="0" w:after="0"/>
              <w:jc w:val="center"/>
              <w:rPr>
                <w:rFonts w:cs="Arial"/>
                <w:color w:val="000000" w:themeColor="text1"/>
                <w:szCs w:val="16"/>
              </w:rPr>
            </w:pPr>
            <w:r w:rsidRPr="00781112">
              <w:rPr>
                <w:rFonts w:cs="Arial"/>
                <w:color w:val="000000" w:themeColor="text1"/>
                <w:szCs w:val="16"/>
              </w:rPr>
              <w:t>Reading</w:t>
            </w:r>
          </w:p>
        </w:tc>
        <w:tc>
          <w:tcPr>
            <w:tcW w:w="444" w:type="pct"/>
            <w:shd w:val="clear" w:color="auto" w:fill="auto"/>
            <w:vAlign w:val="center"/>
          </w:tcPr>
          <w:p w14:paraId="76599FEA" w14:textId="77777777" w:rsidR="00B67FCE" w:rsidRPr="00781112" w:rsidRDefault="00B67FCE" w:rsidP="00827FF4">
            <w:pPr>
              <w:spacing w:before="0" w:after="0"/>
              <w:jc w:val="center"/>
              <w:rPr>
                <w:rFonts w:cs="Arial"/>
                <w:color w:val="000000" w:themeColor="text1"/>
                <w:szCs w:val="16"/>
              </w:rPr>
            </w:pPr>
            <w:r w:rsidRPr="00781112">
              <w:rPr>
                <w:rFonts w:cs="Arial"/>
                <w:color w:val="000000" w:themeColor="text1"/>
                <w:szCs w:val="16"/>
              </w:rPr>
              <w:t>C &lt;=</w:t>
            </w:r>
          </w:p>
        </w:tc>
        <w:tc>
          <w:tcPr>
            <w:tcW w:w="721" w:type="pct"/>
            <w:shd w:val="clear" w:color="auto" w:fill="auto"/>
            <w:vAlign w:val="center"/>
          </w:tcPr>
          <w:p w14:paraId="6758DB1A" w14:textId="51D63552" w:rsidR="00B67FCE" w:rsidRPr="00781112" w:rsidDel="00DB0A73" w:rsidRDefault="00B67FCE" w:rsidP="00827FF4">
            <w:pPr>
              <w:jc w:val="center"/>
              <w:rPr>
                <w:rFonts w:cs="Arial"/>
                <w:color w:val="000000" w:themeColor="text1"/>
                <w:szCs w:val="16"/>
              </w:rPr>
            </w:pPr>
            <w:r w:rsidRPr="00781112">
              <w:rPr>
                <w:rFonts w:cs="Arial"/>
                <w:color w:val="000000" w:themeColor="text1"/>
                <w:szCs w:val="16"/>
              </w:rPr>
              <w:t>Grade HS</w:t>
            </w:r>
          </w:p>
        </w:tc>
        <w:tc>
          <w:tcPr>
            <w:tcW w:w="821" w:type="pct"/>
            <w:shd w:val="clear" w:color="auto" w:fill="auto"/>
            <w:vAlign w:val="center"/>
          </w:tcPr>
          <w:p w14:paraId="56DA6177" w14:textId="20AF4748" w:rsidR="00B67FCE" w:rsidRPr="00781112" w:rsidRDefault="00B67FCE" w:rsidP="00827FF4">
            <w:pPr>
              <w:jc w:val="center"/>
              <w:rPr>
                <w:rFonts w:cs="Arial"/>
                <w:color w:val="000000" w:themeColor="text1"/>
                <w:szCs w:val="16"/>
              </w:rPr>
            </w:pPr>
            <w:r w:rsidRPr="00781112">
              <w:rPr>
                <w:rFonts w:cs="Arial"/>
                <w:color w:val="000000" w:themeColor="text1"/>
                <w:szCs w:val="16"/>
              </w:rPr>
              <w:t>42.30</w:t>
            </w:r>
          </w:p>
        </w:tc>
        <w:tc>
          <w:tcPr>
            <w:tcW w:w="821" w:type="pct"/>
            <w:vAlign w:val="center"/>
          </w:tcPr>
          <w:p w14:paraId="12D9F716" w14:textId="7A56543C" w:rsidR="00B67FCE" w:rsidRPr="00781112" w:rsidRDefault="00B67FCE" w:rsidP="00827FF4">
            <w:pPr>
              <w:jc w:val="center"/>
              <w:rPr>
                <w:rFonts w:cs="Arial"/>
                <w:color w:val="000000" w:themeColor="text1"/>
                <w:szCs w:val="16"/>
              </w:rPr>
            </w:pPr>
            <w:r w:rsidRPr="00781112">
              <w:rPr>
                <w:rFonts w:cs="Arial"/>
                <w:color w:val="000000" w:themeColor="text1"/>
                <w:szCs w:val="16"/>
              </w:rPr>
              <w:t>41.90</w:t>
            </w:r>
          </w:p>
        </w:tc>
        <w:tc>
          <w:tcPr>
            <w:tcW w:w="821" w:type="pct"/>
            <w:vAlign w:val="center"/>
          </w:tcPr>
          <w:p w14:paraId="4EE8CD33" w14:textId="2A4DD9F9" w:rsidR="00B67FCE" w:rsidRPr="00781112" w:rsidRDefault="00B67FCE" w:rsidP="00827FF4">
            <w:pPr>
              <w:jc w:val="center"/>
              <w:rPr>
                <w:rFonts w:cs="Arial"/>
                <w:color w:val="000000" w:themeColor="text1"/>
                <w:szCs w:val="16"/>
              </w:rPr>
            </w:pPr>
            <w:r w:rsidRPr="00781112">
              <w:rPr>
                <w:rFonts w:cs="Arial"/>
                <w:color w:val="000000" w:themeColor="text1"/>
                <w:szCs w:val="16"/>
              </w:rPr>
              <w:t>41.60</w:t>
            </w:r>
          </w:p>
        </w:tc>
        <w:tc>
          <w:tcPr>
            <w:tcW w:w="821" w:type="pct"/>
            <w:vAlign w:val="center"/>
          </w:tcPr>
          <w:p w14:paraId="5414FEEF" w14:textId="05CDB931" w:rsidR="00B67FCE" w:rsidRPr="00781112" w:rsidRDefault="00B67FCE" w:rsidP="00827FF4">
            <w:pPr>
              <w:jc w:val="center"/>
              <w:rPr>
                <w:rFonts w:cs="Arial"/>
                <w:color w:val="000000" w:themeColor="text1"/>
                <w:szCs w:val="16"/>
              </w:rPr>
            </w:pPr>
            <w:r w:rsidRPr="00781112">
              <w:rPr>
                <w:rFonts w:cs="Arial"/>
                <w:color w:val="000000" w:themeColor="text1"/>
                <w:szCs w:val="16"/>
              </w:rPr>
              <w:t>41.30</w:t>
            </w:r>
          </w:p>
        </w:tc>
      </w:tr>
      <w:tr w:rsidR="00B67FCE" w:rsidRPr="00781112" w14:paraId="311AB0DD" w14:textId="77777777" w:rsidTr="00845B9B">
        <w:tc>
          <w:tcPr>
            <w:tcW w:w="552" w:type="pct"/>
            <w:shd w:val="clear" w:color="auto" w:fill="auto"/>
            <w:vAlign w:val="center"/>
          </w:tcPr>
          <w:p w14:paraId="3D2E0CB6" w14:textId="77777777" w:rsidR="00B67FCE" w:rsidRPr="00781112" w:rsidRDefault="00B67FCE" w:rsidP="00827FF4">
            <w:pPr>
              <w:spacing w:before="0" w:after="0"/>
              <w:jc w:val="center"/>
              <w:rPr>
                <w:rFonts w:cs="Arial"/>
                <w:color w:val="000000" w:themeColor="text1"/>
                <w:szCs w:val="16"/>
              </w:rPr>
            </w:pPr>
            <w:r w:rsidRPr="00781112">
              <w:rPr>
                <w:rFonts w:cs="Arial"/>
                <w:color w:val="000000" w:themeColor="text1"/>
                <w:szCs w:val="16"/>
              </w:rPr>
              <w:t>Math</w:t>
            </w:r>
          </w:p>
        </w:tc>
        <w:tc>
          <w:tcPr>
            <w:tcW w:w="444" w:type="pct"/>
            <w:shd w:val="clear" w:color="auto" w:fill="auto"/>
            <w:vAlign w:val="center"/>
          </w:tcPr>
          <w:p w14:paraId="2AAA6495" w14:textId="77777777" w:rsidR="00B67FCE" w:rsidRPr="00781112" w:rsidRDefault="00B67FCE" w:rsidP="00827FF4">
            <w:pPr>
              <w:spacing w:before="0" w:after="0"/>
              <w:jc w:val="center"/>
              <w:rPr>
                <w:rFonts w:cs="Arial"/>
                <w:color w:val="000000" w:themeColor="text1"/>
                <w:szCs w:val="16"/>
              </w:rPr>
            </w:pPr>
            <w:r w:rsidRPr="00781112">
              <w:rPr>
                <w:rFonts w:cs="Arial"/>
                <w:color w:val="000000" w:themeColor="text1"/>
                <w:szCs w:val="16"/>
              </w:rPr>
              <w:t>A &lt;=</w:t>
            </w:r>
          </w:p>
        </w:tc>
        <w:tc>
          <w:tcPr>
            <w:tcW w:w="721" w:type="pct"/>
            <w:shd w:val="clear" w:color="auto" w:fill="auto"/>
            <w:vAlign w:val="center"/>
          </w:tcPr>
          <w:p w14:paraId="65E16006" w14:textId="0FBAD82F" w:rsidR="00B67FCE" w:rsidRPr="00781112" w:rsidDel="00DB0A73" w:rsidRDefault="00B67FCE" w:rsidP="00827FF4">
            <w:pPr>
              <w:jc w:val="center"/>
              <w:rPr>
                <w:rFonts w:cs="Arial"/>
                <w:color w:val="000000" w:themeColor="text1"/>
                <w:szCs w:val="16"/>
              </w:rPr>
            </w:pPr>
            <w:r w:rsidRPr="00781112">
              <w:rPr>
                <w:rFonts w:cs="Arial"/>
                <w:color w:val="000000" w:themeColor="text1"/>
                <w:szCs w:val="16"/>
              </w:rPr>
              <w:t>Grade 4</w:t>
            </w:r>
          </w:p>
        </w:tc>
        <w:tc>
          <w:tcPr>
            <w:tcW w:w="821" w:type="pct"/>
            <w:shd w:val="clear" w:color="auto" w:fill="auto"/>
            <w:vAlign w:val="center"/>
          </w:tcPr>
          <w:p w14:paraId="122DB35A" w14:textId="50E48575" w:rsidR="00B67FCE" w:rsidRPr="00781112" w:rsidRDefault="00B67FCE" w:rsidP="00827FF4">
            <w:pPr>
              <w:jc w:val="center"/>
              <w:rPr>
                <w:rFonts w:cs="Arial"/>
                <w:color w:val="000000" w:themeColor="text1"/>
                <w:szCs w:val="16"/>
              </w:rPr>
            </w:pPr>
            <w:r w:rsidRPr="00781112">
              <w:rPr>
                <w:rFonts w:cs="Arial"/>
                <w:color w:val="000000" w:themeColor="text1"/>
                <w:szCs w:val="16"/>
              </w:rPr>
              <w:t>25.27</w:t>
            </w:r>
          </w:p>
        </w:tc>
        <w:tc>
          <w:tcPr>
            <w:tcW w:w="821" w:type="pct"/>
            <w:vAlign w:val="center"/>
          </w:tcPr>
          <w:p w14:paraId="7E46501E" w14:textId="6CB1A41D" w:rsidR="00B67FCE" w:rsidRPr="00781112" w:rsidRDefault="00B67FCE" w:rsidP="00827FF4">
            <w:pPr>
              <w:jc w:val="center"/>
              <w:rPr>
                <w:rFonts w:cs="Arial"/>
                <w:color w:val="000000" w:themeColor="text1"/>
                <w:szCs w:val="16"/>
              </w:rPr>
            </w:pPr>
            <w:r w:rsidRPr="00781112">
              <w:rPr>
                <w:rFonts w:cs="Arial"/>
                <w:color w:val="000000" w:themeColor="text1"/>
                <w:szCs w:val="16"/>
              </w:rPr>
              <w:t>25.27</w:t>
            </w:r>
          </w:p>
        </w:tc>
        <w:tc>
          <w:tcPr>
            <w:tcW w:w="821" w:type="pct"/>
            <w:vAlign w:val="center"/>
          </w:tcPr>
          <w:p w14:paraId="6A7C9997" w14:textId="58A4736A" w:rsidR="00B67FCE" w:rsidRPr="00781112" w:rsidRDefault="00B67FCE" w:rsidP="00827FF4">
            <w:pPr>
              <w:jc w:val="center"/>
              <w:rPr>
                <w:rFonts w:cs="Arial"/>
                <w:color w:val="000000" w:themeColor="text1"/>
                <w:szCs w:val="16"/>
              </w:rPr>
            </w:pPr>
            <w:r w:rsidRPr="00781112">
              <w:rPr>
                <w:rFonts w:cs="Arial"/>
                <w:color w:val="000000" w:themeColor="text1"/>
                <w:szCs w:val="16"/>
              </w:rPr>
              <w:t>25.27</w:t>
            </w:r>
          </w:p>
        </w:tc>
        <w:tc>
          <w:tcPr>
            <w:tcW w:w="821" w:type="pct"/>
            <w:vAlign w:val="center"/>
          </w:tcPr>
          <w:p w14:paraId="491D1816" w14:textId="09E4A313" w:rsidR="00B67FCE" w:rsidRPr="00781112" w:rsidRDefault="00B67FCE" w:rsidP="00827FF4">
            <w:pPr>
              <w:jc w:val="center"/>
              <w:rPr>
                <w:rFonts w:cs="Arial"/>
                <w:color w:val="000000" w:themeColor="text1"/>
                <w:szCs w:val="16"/>
              </w:rPr>
            </w:pPr>
            <w:r w:rsidRPr="00781112">
              <w:rPr>
                <w:rFonts w:cs="Arial"/>
                <w:color w:val="000000" w:themeColor="text1"/>
                <w:szCs w:val="16"/>
              </w:rPr>
              <w:t>25.26</w:t>
            </w:r>
          </w:p>
        </w:tc>
      </w:tr>
      <w:tr w:rsidR="00B67FCE" w:rsidRPr="00781112" w14:paraId="1F14A6A0" w14:textId="77777777" w:rsidTr="00845B9B">
        <w:tc>
          <w:tcPr>
            <w:tcW w:w="552" w:type="pct"/>
            <w:shd w:val="clear" w:color="auto" w:fill="auto"/>
            <w:vAlign w:val="center"/>
          </w:tcPr>
          <w:p w14:paraId="67FFD637" w14:textId="77777777" w:rsidR="00B67FCE" w:rsidRPr="00781112" w:rsidRDefault="00B67FCE" w:rsidP="00827FF4">
            <w:pPr>
              <w:spacing w:before="0" w:after="0"/>
              <w:jc w:val="center"/>
              <w:rPr>
                <w:rFonts w:cs="Arial"/>
                <w:color w:val="000000" w:themeColor="text1"/>
                <w:szCs w:val="16"/>
              </w:rPr>
            </w:pPr>
            <w:r w:rsidRPr="00781112">
              <w:rPr>
                <w:rFonts w:cs="Arial"/>
                <w:color w:val="000000" w:themeColor="text1"/>
                <w:szCs w:val="16"/>
              </w:rPr>
              <w:t>Math</w:t>
            </w:r>
          </w:p>
        </w:tc>
        <w:tc>
          <w:tcPr>
            <w:tcW w:w="444" w:type="pct"/>
            <w:shd w:val="clear" w:color="auto" w:fill="auto"/>
            <w:vAlign w:val="center"/>
          </w:tcPr>
          <w:p w14:paraId="5CC9E434" w14:textId="77777777" w:rsidR="00B67FCE" w:rsidRPr="00781112" w:rsidRDefault="00B67FCE" w:rsidP="00827FF4">
            <w:pPr>
              <w:spacing w:before="0" w:after="0"/>
              <w:jc w:val="center"/>
              <w:rPr>
                <w:rFonts w:cs="Arial"/>
                <w:color w:val="000000" w:themeColor="text1"/>
                <w:szCs w:val="16"/>
              </w:rPr>
            </w:pPr>
            <w:r w:rsidRPr="00781112">
              <w:rPr>
                <w:rFonts w:cs="Arial"/>
                <w:color w:val="000000" w:themeColor="text1"/>
                <w:szCs w:val="16"/>
              </w:rPr>
              <w:t>B &lt;=</w:t>
            </w:r>
          </w:p>
        </w:tc>
        <w:tc>
          <w:tcPr>
            <w:tcW w:w="721" w:type="pct"/>
            <w:shd w:val="clear" w:color="auto" w:fill="auto"/>
            <w:vAlign w:val="center"/>
          </w:tcPr>
          <w:p w14:paraId="48449221" w14:textId="1DE29BDC" w:rsidR="00B67FCE" w:rsidRPr="00781112" w:rsidDel="00DB0A73" w:rsidRDefault="00B67FCE" w:rsidP="00827FF4">
            <w:pPr>
              <w:jc w:val="center"/>
              <w:rPr>
                <w:rFonts w:cs="Arial"/>
                <w:color w:val="000000" w:themeColor="text1"/>
                <w:szCs w:val="16"/>
              </w:rPr>
            </w:pPr>
            <w:r w:rsidRPr="00781112">
              <w:rPr>
                <w:rFonts w:cs="Arial"/>
                <w:color w:val="000000" w:themeColor="text1"/>
                <w:szCs w:val="16"/>
              </w:rPr>
              <w:t>Grade 8</w:t>
            </w:r>
          </w:p>
        </w:tc>
        <w:tc>
          <w:tcPr>
            <w:tcW w:w="821" w:type="pct"/>
            <w:shd w:val="clear" w:color="auto" w:fill="auto"/>
            <w:vAlign w:val="center"/>
          </w:tcPr>
          <w:p w14:paraId="09A6E3C5" w14:textId="2E8BFD65" w:rsidR="00B67FCE" w:rsidRPr="00781112" w:rsidRDefault="00B67FCE" w:rsidP="00827FF4">
            <w:pPr>
              <w:jc w:val="center"/>
              <w:rPr>
                <w:rFonts w:cs="Arial"/>
                <w:color w:val="000000" w:themeColor="text1"/>
                <w:szCs w:val="16"/>
              </w:rPr>
            </w:pPr>
            <w:r w:rsidRPr="00781112">
              <w:rPr>
                <w:rFonts w:cs="Arial"/>
                <w:color w:val="000000" w:themeColor="text1"/>
                <w:szCs w:val="16"/>
              </w:rPr>
              <w:t>31.52</w:t>
            </w:r>
          </w:p>
        </w:tc>
        <w:tc>
          <w:tcPr>
            <w:tcW w:w="821" w:type="pct"/>
            <w:vAlign w:val="center"/>
          </w:tcPr>
          <w:p w14:paraId="627C9FA2" w14:textId="428379CE" w:rsidR="00B67FCE" w:rsidRPr="00781112" w:rsidRDefault="00B67FCE" w:rsidP="00827FF4">
            <w:pPr>
              <w:jc w:val="center"/>
              <w:rPr>
                <w:rFonts w:cs="Arial"/>
                <w:color w:val="000000" w:themeColor="text1"/>
                <w:szCs w:val="16"/>
              </w:rPr>
            </w:pPr>
            <w:r w:rsidRPr="00781112">
              <w:rPr>
                <w:rFonts w:cs="Arial"/>
                <w:color w:val="000000" w:themeColor="text1"/>
                <w:szCs w:val="16"/>
              </w:rPr>
              <w:t>31.52</w:t>
            </w:r>
          </w:p>
        </w:tc>
        <w:tc>
          <w:tcPr>
            <w:tcW w:w="821" w:type="pct"/>
            <w:vAlign w:val="center"/>
          </w:tcPr>
          <w:p w14:paraId="6204E3FD" w14:textId="081B5532" w:rsidR="00B67FCE" w:rsidRPr="00781112" w:rsidRDefault="00B67FCE" w:rsidP="00827FF4">
            <w:pPr>
              <w:jc w:val="center"/>
              <w:rPr>
                <w:rFonts w:cs="Arial"/>
                <w:color w:val="000000" w:themeColor="text1"/>
                <w:szCs w:val="16"/>
              </w:rPr>
            </w:pPr>
            <w:r w:rsidRPr="00781112">
              <w:rPr>
                <w:rFonts w:cs="Arial"/>
                <w:color w:val="000000" w:themeColor="text1"/>
                <w:szCs w:val="16"/>
              </w:rPr>
              <w:t>31.52</w:t>
            </w:r>
          </w:p>
        </w:tc>
        <w:tc>
          <w:tcPr>
            <w:tcW w:w="821" w:type="pct"/>
            <w:vAlign w:val="center"/>
          </w:tcPr>
          <w:p w14:paraId="70AB4E74" w14:textId="67486BA0" w:rsidR="00B67FCE" w:rsidRPr="00781112" w:rsidRDefault="00B67FCE" w:rsidP="00827FF4">
            <w:pPr>
              <w:jc w:val="center"/>
              <w:rPr>
                <w:rFonts w:cs="Arial"/>
                <w:color w:val="000000" w:themeColor="text1"/>
                <w:szCs w:val="16"/>
              </w:rPr>
            </w:pPr>
            <w:r w:rsidRPr="00781112">
              <w:rPr>
                <w:rFonts w:cs="Arial"/>
                <w:color w:val="000000" w:themeColor="text1"/>
                <w:szCs w:val="16"/>
              </w:rPr>
              <w:t>31.51</w:t>
            </w:r>
          </w:p>
        </w:tc>
      </w:tr>
      <w:tr w:rsidR="00B67FCE" w:rsidRPr="00781112" w14:paraId="60CD7006" w14:textId="77777777" w:rsidTr="00845B9B">
        <w:tc>
          <w:tcPr>
            <w:tcW w:w="552" w:type="pct"/>
            <w:shd w:val="clear" w:color="auto" w:fill="auto"/>
            <w:vAlign w:val="center"/>
          </w:tcPr>
          <w:p w14:paraId="76491141" w14:textId="77777777" w:rsidR="00B67FCE" w:rsidRPr="00781112" w:rsidRDefault="00B67FCE" w:rsidP="00827FF4">
            <w:pPr>
              <w:spacing w:before="0" w:after="0"/>
              <w:jc w:val="center"/>
              <w:rPr>
                <w:rFonts w:cs="Arial"/>
                <w:color w:val="000000" w:themeColor="text1"/>
                <w:szCs w:val="16"/>
              </w:rPr>
            </w:pPr>
            <w:r w:rsidRPr="00781112">
              <w:rPr>
                <w:rFonts w:cs="Arial"/>
                <w:color w:val="000000" w:themeColor="text1"/>
                <w:szCs w:val="16"/>
              </w:rPr>
              <w:t>Math</w:t>
            </w:r>
          </w:p>
        </w:tc>
        <w:tc>
          <w:tcPr>
            <w:tcW w:w="444" w:type="pct"/>
            <w:shd w:val="clear" w:color="auto" w:fill="auto"/>
            <w:vAlign w:val="center"/>
          </w:tcPr>
          <w:p w14:paraId="6C27CF3D" w14:textId="77777777" w:rsidR="00B67FCE" w:rsidRPr="00781112" w:rsidRDefault="00B67FCE" w:rsidP="00827FF4">
            <w:pPr>
              <w:spacing w:before="0" w:after="0"/>
              <w:jc w:val="center"/>
              <w:rPr>
                <w:rFonts w:cs="Arial"/>
                <w:color w:val="000000" w:themeColor="text1"/>
                <w:szCs w:val="16"/>
              </w:rPr>
            </w:pPr>
            <w:r w:rsidRPr="00781112">
              <w:rPr>
                <w:rFonts w:cs="Arial"/>
                <w:color w:val="000000" w:themeColor="text1"/>
                <w:szCs w:val="16"/>
              </w:rPr>
              <w:t>C &lt;=</w:t>
            </w:r>
          </w:p>
        </w:tc>
        <w:tc>
          <w:tcPr>
            <w:tcW w:w="721" w:type="pct"/>
            <w:shd w:val="clear" w:color="auto" w:fill="auto"/>
            <w:vAlign w:val="center"/>
          </w:tcPr>
          <w:p w14:paraId="4E465544" w14:textId="4F893AB5" w:rsidR="00B67FCE" w:rsidRPr="00781112" w:rsidDel="00DB0A73" w:rsidRDefault="00B67FCE" w:rsidP="00827FF4">
            <w:pPr>
              <w:jc w:val="center"/>
              <w:rPr>
                <w:rFonts w:cs="Arial"/>
                <w:color w:val="000000" w:themeColor="text1"/>
                <w:szCs w:val="16"/>
              </w:rPr>
            </w:pPr>
            <w:r w:rsidRPr="00781112">
              <w:rPr>
                <w:rFonts w:cs="Arial"/>
                <w:color w:val="000000" w:themeColor="text1"/>
                <w:szCs w:val="16"/>
              </w:rPr>
              <w:t>Grade HS</w:t>
            </w:r>
          </w:p>
        </w:tc>
        <w:tc>
          <w:tcPr>
            <w:tcW w:w="821" w:type="pct"/>
            <w:shd w:val="clear" w:color="auto" w:fill="auto"/>
            <w:vAlign w:val="center"/>
          </w:tcPr>
          <w:p w14:paraId="7B41E026" w14:textId="6E6F2C10" w:rsidR="00B67FCE" w:rsidRPr="00781112" w:rsidRDefault="00B67FCE" w:rsidP="00827FF4">
            <w:pPr>
              <w:jc w:val="center"/>
              <w:rPr>
                <w:rFonts w:cs="Arial"/>
                <w:color w:val="000000" w:themeColor="text1"/>
                <w:szCs w:val="16"/>
              </w:rPr>
            </w:pPr>
            <w:r w:rsidRPr="00781112">
              <w:rPr>
                <w:rFonts w:cs="Arial"/>
                <w:color w:val="000000" w:themeColor="text1"/>
                <w:szCs w:val="16"/>
              </w:rPr>
              <w:t>30.10</w:t>
            </w:r>
          </w:p>
        </w:tc>
        <w:tc>
          <w:tcPr>
            <w:tcW w:w="821" w:type="pct"/>
            <w:vAlign w:val="center"/>
          </w:tcPr>
          <w:p w14:paraId="294118D4" w14:textId="54195603" w:rsidR="00B67FCE" w:rsidRPr="00781112" w:rsidRDefault="00B67FCE" w:rsidP="00827FF4">
            <w:pPr>
              <w:jc w:val="center"/>
              <w:rPr>
                <w:rFonts w:cs="Arial"/>
                <w:color w:val="000000" w:themeColor="text1"/>
                <w:szCs w:val="16"/>
              </w:rPr>
            </w:pPr>
            <w:r w:rsidRPr="00781112">
              <w:rPr>
                <w:rFonts w:cs="Arial"/>
                <w:color w:val="000000" w:themeColor="text1"/>
                <w:szCs w:val="16"/>
              </w:rPr>
              <w:t>29.90</w:t>
            </w:r>
          </w:p>
        </w:tc>
        <w:tc>
          <w:tcPr>
            <w:tcW w:w="821" w:type="pct"/>
            <w:vAlign w:val="center"/>
          </w:tcPr>
          <w:p w14:paraId="41623CC8" w14:textId="4F75F535" w:rsidR="00B67FCE" w:rsidRPr="00781112" w:rsidRDefault="00B67FCE" w:rsidP="00827FF4">
            <w:pPr>
              <w:jc w:val="center"/>
              <w:rPr>
                <w:rFonts w:cs="Arial"/>
                <w:color w:val="000000" w:themeColor="text1"/>
                <w:szCs w:val="16"/>
              </w:rPr>
            </w:pPr>
            <w:r w:rsidRPr="00781112">
              <w:rPr>
                <w:rFonts w:cs="Arial"/>
                <w:color w:val="000000" w:themeColor="text1"/>
                <w:szCs w:val="16"/>
              </w:rPr>
              <w:t>29.70</w:t>
            </w:r>
          </w:p>
        </w:tc>
        <w:tc>
          <w:tcPr>
            <w:tcW w:w="821" w:type="pct"/>
            <w:vAlign w:val="center"/>
          </w:tcPr>
          <w:p w14:paraId="70C28E3C" w14:textId="4F91601C" w:rsidR="00B67FCE" w:rsidRPr="00781112" w:rsidRDefault="00B67FCE" w:rsidP="00827FF4">
            <w:pPr>
              <w:jc w:val="center"/>
              <w:rPr>
                <w:rFonts w:cs="Arial"/>
                <w:color w:val="000000" w:themeColor="text1"/>
                <w:szCs w:val="16"/>
              </w:rPr>
            </w:pPr>
            <w:r w:rsidRPr="00781112">
              <w:rPr>
                <w:rFonts w:cs="Arial"/>
                <w:color w:val="000000" w:themeColor="text1"/>
                <w:szCs w:val="16"/>
              </w:rPr>
              <w:t>29.50</w:t>
            </w:r>
          </w:p>
        </w:tc>
      </w:tr>
    </w:tbl>
    <w:p w14:paraId="05E796DD" w14:textId="77777777" w:rsidR="00DD5B7A" w:rsidRPr="00781112" w:rsidRDefault="00DD5B7A" w:rsidP="00DD5B7A">
      <w:pPr>
        <w:rPr>
          <w:b/>
          <w:color w:val="000000" w:themeColor="text1"/>
        </w:rPr>
      </w:pPr>
    </w:p>
    <w:p w14:paraId="209349EB" w14:textId="77777777" w:rsidR="00DD5B7A" w:rsidRPr="00781112" w:rsidRDefault="00DD5B7A" w:rsidP="00DD5B7A">
      <w:pPr>
        <w:rPr>
          <w:b/>
          <w:color w:val="000000" w:themeColor="text1"/>
        </w:rPr>
      </w:pPr>
      <w:r w:rsidRPr="00781112">
        <w:rPr>
          <w:b/>
          <w:color w:val="000000" w:themeColor="text1"/>
        </w:rPr>
        <w:t xml:space="preserve">Targets: Description of Stakeholder Input </w:t>
      </w:r>
    </w:p>
    <w:p w14:paraId="1A8E431E" w14:textId="45368C9A" w:rsidR="00DD5B7A" w:rsidRPr="00781112" w:rsidRDefault="00DD5B7A" w:rsidP="00DD5B7A">
      <w:pPr>
        <w:rPr>
          <w:rFonts w:cs="Arial"/>
          <w:color w:val="000000" w:themeColor="text1"/>
          <w:szCs w:val="16"/>
        </w:rPr>
      </w:pPr>
      <w:r w:rsidRPr="00781112">
        <w:rPr>
          <w:rFonts w:cs="Arial"/>
          <w:color w:val="000000" w:themeColor="text1"/>
          <w:szCs w:val="16"/>
        </w:rPr>
        <w:t>For FFY 2022, CDE presented, discussed, and solicited feedback on the SPP/APR Indicators with our Colorado Special Education Advisory Committee (CSEAC).</w:t>
      </w:r>
      <w:r w:rsidRPr="00781112">
        <w:rPr>
          <w:rFonts w:cs="Arial"/>
          <w:color w:val="000000" w:themeColor="text1"/>
          <w:szCs w:val="16"/>
        </w:rPr>
        <w:br/>
      </w:r>
      <w:r w:rsidRPr="00781112">
        <w:rPr>
          <w:rFonts w:cs="Arial"/>
          <w:color w:val="000000" w:themeColor="text1"/>
          <w:szCs w:val="16"/>
        </w:rPr>
        <w:br/>
        <w:t>For FFY 2020, the following mechanisms were used to gather broad stakeholder input:</w:t>
      </w:r>
      <w:r w:rsidRPr="00781112">
        <w:rPr>
          <w:rFonts w:cs="Arial"/>
          <w:color w:val="000000" w:themeColor="text1"/>
          <w:szCs w:val="16"/>
        </w:rPr>
        <w:br/>
      </w:r>
      <w:r w:rsidRPr="00781112">
        <w:rPr>
          <w:rFonts w:cs="Arial"/>
          <w:color w:val="000000" w:themeColor="text1"/>
          <w:szCs w:val="16"/>
        </w:rPr>
        <w:br/>
        <w:t>Identified CDE internal stakeholders and content experts for each indicator:</w:t>
      </w:r>
      <w:r w:rsidRPr="00781112">
        <w:rPr>
          <w:rFonts w:cs="Arial"/>
          <w:color w:val="000000" w:themeColor="text1"/>
          <w:szCs w:val="16"/>
        </w:rPr>
        <w:br/>
        <w:t>1. Scheduled meetings for each CDE internal stakeholder indicator team.</w:t>
      </w:r>
      <w:r w:rsidRPr="00781112">
        <w:rPr>
          <w:rFonts w:cs="Arial"/>
          <w:color w:val="000000" w:themeColor="text1"/>
          <w:szCs w:val="16"/>
        </w:rPr>
        <w:br/>
      </w:r>
      <w:r w:rsidRPr="00781112">
        <w:rPr>
          <w:rFonts w:cs="Arial"/>
          <w:color w:val="000000" w:themeColor="text1"/>
          <w:szCs w:val="16"/>
        </w:rPr>
        <w:lastRenderedPageBreak/>
        <w:t>2. Met with each CDE stakeholder team, explain rules and parameters, Colorado history of indicator, past and current improvement strategies, facilitate discussion, and solicit feedback and develop options for each of the SPP/APR targets.</w:t>
      </w:r>
      <w:r w:rsidRPr="00781112">
        <w:rPr>
          <w:rFonts w:cs="Arial"/>
          <w:color w:val="000000" w:themeColor="text1"/>
          <w:szCs w:val="16"/>
        </w:rPr>
        <w:br/>
        <w:t>3. Met with each CDE stakeholder team to facilitate discussion and come to consensus on targets and improvement strategies to present to the external stakeholder groups.</w:t>
      </w:r>
      <w:r w:rsidRPr="00781112">
        <w:rPr>
          <w:rFonts w:cs="Arial"/>
          <w:color w:val="000000" w:themeColor="text1"/>
          <w:szCs w:val="16"/>
        </w:rPr>
        <w:br/>
        <w:t xml:space="preserve">4. Requested and collected improvement strategies for each indicator from each CDE internal stakeholder team. </w:t>
      </w:r>
      <w:r w:rsidRPr="00781112">
        <w:rPr>
          <w:rFonts w:cs="Arial"/>
          <w:color w:val="000000" w:themeColor="text1"/>
          <w:szCs w:val="16"/>
        </w:rPr>
        <w:br/>
      </w:r>
      <w:r w:rsidRPr="00781112">
        <w:rPr>
          <w:rFonts w:cs="Arial"/>
          <w:color w:val="000000" w:themeColor="text1"/>
          <w:szCs w:val="16"/>
        </w:rPr>
        <w:br/>
        <w:t>Built a survey to collect evidence and information from external stakeholder groups and the public to gain feedback on current SPP/APR indicators to collect the following data:</w:t>
      </w:r>
      <w:r w:rsidRPr="00781112">
        <w:rPr>
          <w:rFonts w:cs="Arial"/>
          <w:color w:val="000000" w:themeColor="text1"/>
          <w:szCs w:val="16"/>
        </w:rPr>
        <w:br/>
        <w:t xml:space="preserve">1. Are targets too high, too low, </w:t>
      </w:r>
      <w:proofErr w:type="gramStart"/>
      <w:r w:rsidRPr="00781112">
        <w:rPr>
          <w:rFonts w:cs="Arial"/>
          <w:color w:val="000000" w:themeColor="text1"/>
          <w:szCs w:val="16"/>
        </w:rPr>
        <w:t>just</w:t>
      </w:r>
      <w:proofErr w:type="gramEnd"/>
      <w:r w:rsidRPr="00781112">
        <w:rPr>
          <w:rFonts w:cs="Arial"/>
          <w:color w:val="000000" w:themeColor="text1"/>
          <w:szCs w:val="16"/>
        </w:rPr>
        <w:t xml:space="preserve"> right?</w:t>
      </w:r>
      <w:r w:rsidRPr="00781112">
        <w:rPr>
          <w:rFonts w:cs="Arial"/>
          <w:color w:val="000000" w:themeColor="text1"/>
          <w:szCs w:val="16"/>
        </w:rPr>
        <w:br/>
        <w:t>2. If the proposed improvement strategies are reasonably calculated to help Colorado reach the proposed targets?</w:t>
      </w:r>
      <w:r w:rsidRPr="00781112">
        <w:rPr>
          <w:rFonts w:cs="Arial"/>
          <w:color w:val="000000" w:themeColor="text1"/>
          <w:szCs w:val="16"/>
        </w:rPr>
        <w:br/>
        <w:t>3. Is the proposed choice of demographic category to be analyzed for representation an appropriate selection?</w:t>
      </w:r>
      <w:r w:rsidRPr="00781112">
        <w:rPr>
          <w:rFonts w:cs="Arial"/>
          <w:color w:val="000000" w:themeColor="text1"/>
          <w:szCs w:val="16"/>
        </w:rPr>
        <w:br/>
      </w:r>
      <w:r w:rsidRPr="00781112">
        <w:rPr>
          <w:rFonts w:cs="Arial"/>
          <w:color w:val="000000" w:themeColor="text1"/>
          <w:szCs w:val="16"/>
        </w:rPr>
        <w:br/>
        <w:t>Built a web page to include:</w:t>
      </w:r>
      <w:r w:rsidRPr="00781112">
        <w:rPr>
          <w:rFonts w:cs="Arial"/>
          <w:color w:val="000000" w:themeColor="text1"/>
          <w:szCs w:val="16"/>
        </w:rPr>
        <w:br/>
        <w:t>1. basic information regarding the SPP/APR and the 6-year target resetting process.</w:t>
      </w:r>
      <w:r w:rsidRPr="00781112">
        <w:rPr>
          <w:rFonts w:cs="Arial"/>
          <w:color w:val="000000" w:themeColor="text1"/>
          <w:szCs w:val="16"/>
        </w:rPr>
        <w:br/>
        <w:t>2. asyncronys access to a series of webinars explaining each of the SPP/APR indicators, proposed targets, and improvement strategies.</w:t>
      </w:r>
      <w:r w:rsidRPr="00781112">
        <w:rPr>
          <w:rFonts w:cs="Arial"/>
          <w:color w:val="000000" w:themeColor="text1"/>
          <w:szCs w:val="16"/>
        </w:rPr>
        <w:br/>
        <w:t>3. a link to an indicator survey to gather information from the public during the comment period. This survey was designed to solicit the following information: (a) Are the proposed targets too high, too low, or appropriate? (b) Are the proposed improvement strategies reasonably calculated to help Colorado reach the proposed targets? (c) Is the proposed demographic group to be analyzed for representation an appropriate selection?</w:t>
      </w:r>
      <w:r w:rsidRPr="00781112">
        <w:rPr>
          <w:rFonts w:cs="Arial"/>
          <w:color w:val="000000" w:themeColor="text1"/>
          <w:szCs w:val="16"/>
        </w:rPr>
        <w:br/>
      </w:r>
      <w:r w:rsidRPr="00781112">
        <w:rPr>
          <w:rFonts w:cs="Arial"/>
          <w:color w:val="000000" w:themeColor="text1"/>
          <w:szCs w:val="16"/>
        </w:rPr>
        <w:br/>
        <w:t>Presented and requested input on agreed on targets and improvement strategies to the following indicator specific advisory councils: Preschool School Special Education Advisory Committee (PSSEAC), and the Secondary Transition Task Force Advisory Committee. Review and incorporate feedback into the final draft of the new targets and share proposed version with ESSU Executive Director for approval.</w:t>
      </w:r>
      <w:r w:rsidRPr="00781112">
        <w:rPr>
          <w:rFonts w:cs="Arial"/>
          <w:color w:val="000000" w:themeColor="text1"/>
          <w:szCs w:val="16"/>
        </w:rPr>
        <w:br/>
        <w:t>Presented proposed targets and gathered additional feedback to the following State advisory groups and advocacy groups: Colorado Special Education Advisory Committee (CSEAC) and Parent Partnerships for Equity Advisory Committee, The Arc of Colorado, PEAK Parent Center, and Disability Law Colorado.</w:t>
      </w:r>
      <w:r w:rsidRPr="00781112">
        <w:rPr>
          <w:rFonts w:cs="Arial"/>
          <w:color w:val="000000" w:themeColor="text1"/>
          <w:szCs w:val="16"/>
        </w:rPr>
        <w:br/>
        <w:t>Presented proposed targets for all indicators to Colorado LEA Special Education Directors.</w:t>
      </w:r>
      <w:r w:rsidRPr="00781112">
        <w:rPr>
          <w:rFonts w:cs="Arial"/>
          <w:color w:val="000000" w:themeColor="text1"/>
          <w:szCs w:val="16"/>
        </w:rPr>
        <w:br/>
        <w:t>Held a 2-month public comment period to solicit public comments through a broad CDE-wide communication plan made up of a dedicated webpage with short videos and surveys for each indicator, CDE Facebook page, CDE Twitter Account, a CDE webpage news story, CDE’s Weekly Newsletter, and notifications to our parent advocacy agencies.</w:t>
      </w:r>
      <w:r w:rsidRPr="00781112">
        <w:rPr>
          <w:rFonts w:cs="Arial"/>
          <w:color w:val="000000" w:themeColor="text1"/>
          <w:szCs w:val="16"/>
        </w:rPr>
        <w:br/>
        <w:t xml:space="preserve"> </w:t>
      </w:r>
      <w:r w:rsidRPr="00781112">
        <w:rPr>
          <w:rFonts w:cs="Arial"/>
          <w:color w:val="000000" w:themeColor="text1"/>
          <w:szCs w:val="16"/>
        </w:rPr>
        <w:br/>
        <w:t>Reviewed and considered public comments received through the indicator survey mechanism, finalize all targets with ESSU Executive Director, and published targets on CDE webpage.</w:t>
      </w:r>
    </w:p>
    <w:p w14:paraId="5EB19DE7" w14:textId="77777777" w:rsidR="00DD5B7A" w:rsidRPr="00781112" w:rsidRDefault="00DD5B7A" w:rsidP="00DD5B7A">
      <w:pPr>
        <w:spacing w:before="0" w:after="200" w:line="276" w:lineRule="auto"/>
        <w:rPr>
          <w:b/>
          <w:color w:val="000000" w:themeColor="text1"/>
        </w:rPr>
      </w:pPr>
    </w:p>
    <w:p w14:paraId="5F03961C" w14:textId="6D58C810" w:rsidR="00DD5B7A" w:rsidRPr="00781112" w:rsidRDefault="00FA33C9" w:rsidP="00DD5B7A">
      <w:pPr>
        <w:rPr>
          <w:b/>
          <w:color w:val="000000" w:themeColor="text1"/>
        </w:rPr>
      </w:pPr>
      <w:r>
        <w:rPr>
          <w:b/>
          <w:color w:val="000000" w:themeColor="text1"/>
        </w:rPr>
        <w:t>FFY 2022 Data Disaggregation from ED</w:t>
      </w:r>
      <w:r w:rsidRPr="00BA3DBE">
        <w:rPr>
          <w:b/>
          <w:i/>
          <w:iCs/>
          <w:color w:val="000000" w:themeColor="text1"/>
        </w:rPr>
        <w:t>Facts</w:t>
      </w:r>
    </w:p>
    <w:p w14:paraId="27A29F4B" w14:textId="77777777" w:rsidR="00DD5B7A" w:rsidRPr="00781112" w:rsidRDefault="00DD5B7A" w:rsidP="00DD5B7A">
      <w:pPr>
        <w:rPr>
          <w:rFonts w:cs="Arial"/>
          <w:b/>
          <w:color w:val="000000" w:themeColor="text1"/>
          <w:szCs w:val="16"/>
        </w:rPr>
      </w:pPr>
      <w:r w:rsidRPr="00781112">
        <w:rPr>
          <w:rFonts w:cs="Arial"/>
          <w:b/>
          <w:color w:val="000000" w:themeColor="text1"/>
          <w:szCs w:val="16"/>
        </w:rPr>
        <w:t xml:space="preserve">Data Source:  </w:t>
      </w:r>
    </w:p>
    <w:p w14:paraId="24C5C209" w14:textId="49550180" w:rsidR="00DD5B7A" w:rsidRPr="00781112" w:rsidRDefault="00DD5B7A" w:rsidP="00DD5B7A">
      <w:pPr>
        <w:rPr>
          <w:rFonts w:cs="Arial"/>
          <w:color w:val="000000" w:themeColor="text1"/>
          <w:szCs w:val="16"/>
        </w:rPr>
      </w:pPr>
      <w:r w:rsidRPr="00781112">
        <w:rPr>
          <w:rFonts w:cs="Arial"/>
          <w:color w:val="000000" w:themeColor="text1"/>
          <w:szCs w:val="16"/>
        </w:rPr>
        <w:t>SY 2022-23 Assessment Data Groups - Reading (EDFacts file spec FS178; Data Group: 584)</w:t>
      </w:r>
    </w:p>
    <w:p w14:paraId="51B1992D" w14:textId="77777777" w:rsidR="00DD5B7A" w:rsidRPr="00781112" w:rsidRDefault="00DD5B7A" w:rsidP="00DD5B7A">
      <w:pPr>
        <w:rPr>
          <w:rFonts w:cs="Arial"/>
          <w:b/>
          <w:color w:val="000000" w:themeColor="text1"/>
          <w:szCs w:val="16"/>
        </w:rPr>
      </w:pPr>
      <w:r w:rsidRPr="00781112">
        <w:rPr>
          <w:rFonts w:cs="Arial"/>
          <w:b/>
          <w:color w:val="000000" w:themeColor="text1"/>
          <w:szCs w:val="16"/>
        </w:rPr>
        <w:t xml:space="preserve">Date: </w:t>
      </w:r>
    </w:p>
    <w:p w14:paraId="254E3F3F" w14:textId="7BE38E1B" w:rsidR="00DD5B7A" w:rsidRPr="00781112" w:rsidRDefault="00DD5B7A" w:rsidP="00DD5B7A">
      <w:pPr>
        <w:rPr>
          <w:rFonts w:cs="Arial"/>
          <w:color w:val="000000" w:themeColor="text1"/>
          <w:szCs w:val="16"/>
        </w:rPr>
      </w:pPr>
      <w:r w:rsidRPr="00781112">
        <w:rPr>
          <w:rFonts w:cs="Arial"/>
          <w:color w:val="000000" w:themeColor="text1"/>
          <w:szCs w:val="16"/>
        </w:rPr>
        <w:t>01/10/2024</w:t>
      </w:r>
    </w:p>
    <w:p w14:paraId="45DD1CF1" w14:textId="5E6E849D" w:rsidR="00DD5B7A" w:rsidRPr="00781112" w:rsidRDefault="00DD5B7A" w:rsidP="00DD5B7A">
      <w:pPr>
        <w:rPr>
          <w:b/>
          <w:color w:val="000000" w:themeColor="text1"/>
        </w:rPr>
      </w:pPr>
      <w:r w:rsidRPr="00781112">
        <w:rPr>
          <w:b/>
          <w:color w:val="000000" w:themeColor="text1"/>
        </w:rPr>
        <w:t>Reading Assessment Proficiency Data by Grade</w:t>
      </w:r>
      <w:r w:rsidR="00993B32">
        <w:rPr>
          <w:b/>
          <w:color w:val="000000" w:themeColor="text1"/>
        </w:rPr>
        <w:t xml:space="preserve"> (1)</w:t>
      </w:r>
    </w:p>
    <w:tbl>
      <w:tblPr>
        <w:tblStyle w:val="TableGrid"/>
        <w:tblW w:w="5000" w:type="pct"/>
        <w:tblLayout w:type="fixed"/>
        <w:tblLook w:val="04A0" w:firstRow="1" w:lastRow="0" w:firstColumn="1" w:lastColumn="0" w:noHBand="0" w:noVBand="1"/>
        <w:tblCaption w:val="B03DSSPARTDATABYGRDRLA"/>
      </w:tblPr>
      <w:tblGrid>
        <w:gridCol w:w="3775"/>
        <w:gridCol w:w="2337"/>
        <w:gridCol w:w="2339"/>
        <w:gridCol w:w="2339"/>
      </w:tblGrid>
      <w:tr w:rsidR="00847776" w:rsidRPr="00781112" w14:paraId="6DA55728" w14:textId="77777777" w:rsidTr="00E95FBF">
        <w:tc>
          <w:tcPr>
            <w:tcW w:w="1749" w:type="pct"/>
            <w:shd w:val="clear" w:color="auto" w:fill="auto"/>
          </w:tcPr>
          <w:p w14:paraId="4EAC2736" w14:textId="6924CA80" w:rsidR="00DD5B7A" w:rsidRPr="00781112" w:rsidRDefault="00835EAD" w:rsidP="00827FF4">
            <w:pPr>
              <w:jc w:val="center"/>
              <w:rPr>
                <w:rFonts w:cs="Arial"/>
                <w:b/>
                <w:bCs/>
                <w:color w:val="000000" w:themeColor="text1"/>
                <w:szCs w:val="16"/>
              </w:rPr>
            </w:pPr>
            <w:r w:rsidRPr="00781112">
              <w:rPr>
                <w:rFonts w:cs="Arial"/>
                <w:b/>
                <w:bCs/>
                <w:color w:val="000000" w:themeColor="text1"/>
                <w:szCs w:val="16"/>
              </w:rPr>
              <w:t>Group</w:t>
            </w:r>
          </w:p>
        </w:tc>
        <w:tc>
          <w:tcPr>
            <w:tcW w:w="1083" w:type="pct"/>
            <w:shd w:val="clear" w:color="auto" w:fill="auto"/>
            <w:vAlign w:val="center"/>
          </w:tcPr>
          <w:p w14:paraId="3D691E68" w14:textId="255E6CDB" w:rsidR="00DD5B7A" w:rsidRPr="00781112" w:rsidRDefault="00DD5B7A" w:rsidP="00827FF4">
            <w:pPr>
              <w:jc w:val="center"/>
              <w:rPr>
                <w:rFonts w:cs="Arial"/>
                <w:b/>
                <w:bCs/>
                <w:color w:val="000000" w:themeColor="text1"/>
                <w:szCs w:val="16"/>
              </w:rPr>
            </w:pPr>
            <w:r w:rsidRPr="00781112">
              <w:rPr>
                <w:rFonts w:cs="Arial"/>
                <w:b/>
                <w:bCs/>
                <w:color w:val="000000" w:themeColor="text1"/>
                <w:szCs w:val="16"/>
              </w:rPr>
              <w:t>Grade 4</w:t>
            </w:r>
          </w:p>
        </w:tc>
        <w:tc>
          <w:tcPr>
            <w:tcW w:w="1084" w:type="pct"/>
            <w:shd w:val="clear" w:color="auto" w:fill="auto"/>
            <w:vAlign w:val="center"/>
          </w:tcPr>
          <w:p w14:paraId="04C042D1" w14:textId="5F31110D" w:rsidR="00DD5B7A" w:rsidRPr="00781112" w:rsidRDefault="00DD5B7A" w:rsidP="00827FF4">
            <w:pPr>
              <w:jc w:val="center"/>
              <w:rPr>
                <w:rFonts w:cs="Arial"/>
                <w:b/>
                <w:bCs/>
                <w:color w:val="000000" w:themeColor="text1"/>
                <w:szCs w:val="16"/>
              </w:rPr>
            </w:pPr>
            <w:r w:rsidRPr="00781112">
              <w:rPr>
                <w:rFonts w:cs="Arial"/>
                <w:b/>
                <w:bCs/>
                <w:color w:val="000000" w:themeColor="text1"/>
                <w:szCs w:val="16"/>
              </w:rPr>
              <w:t>Grade 8</w:t>
            </w:r>
          </w:p>
        </w:tc>
        <w:tc>
          <w:tcPr>
            <w:tcW w:w="1084" w:type="pct"/>
            <w:shd w:val="clear" w:color="auto" w:fill="auto"/>
            <w:vAlign w:val="center"/>
          </w:tcPr>
          <w:p w14:paraId="5ED006E5" w14:textId="47B87CAA" w:rsidR="00DD5B7A" w:rsidRPr="00781112" w:rsidRDefault="00DD5B7A" w:rsidP="00827FF4">
            <w:pPr>
              <w:jc w:val="center"/>
              <w:rPr>
                <w:rFonts w:cs="Arial"/>
                <w:b/>
                <w:bCs/>
                <w:color w:val="000000" w:themeColor="text1"/>
                <w:szCs w:val="16"/>
              </w:rPr>
            </w:pPr>
            <w:r w:rsidRPr="00781112">
              <w:rPr>
                <w:rFonts w:cs="Arial"/>
                <w:b/>
                <w:bCs/>
                <w:color w:val="000000" w:themeColor="text1"/>
                <w:szCs w:val="16"/>
              </w:rPr>
              <w:t>Grade HS</w:t>
            </w:r>
          </w:p>
        </w:tc>
      </w:tr>
      <w:tr w:rsidR="002D3EE6" w:rsidRPr="00781112" w14:paraId="37D772D8" w14:textId="77777777" w:rsidTr="00E95FBF">
        <w:tc>
          <w:tcPr>
            <w:tcW w:w="1749" w:type="pct"/>
            <w:shd w:val="clear" w:color="auto" w:fill="auto"/>
          </w:tcPr>
          <w:p w14:paraId="7B0D7CCF" w14:textId="33D6DF72" w:rsidR="002D3EE6" w:rsidRPr="00781112" w:rsidRDefault="002D3EE6" w:rsidP="002D3EE6">
            <w:pPr>
              <w:rPr>
                <w:rFonts w:cs="Arial"/>
                <w:color w:val="000000" w:themeColor="text1"/>
                <w:szCs w:val="16"/>
              </w:rPr>
            </w:pPr>
            <w:r w:rsidRPr="00781112">
              <w:rPr>
                <w:rFonts w:cs="Arial"/>
                <w:color w:val="000000" w:themeColor="text1"/>
                <w:szCs w:val="16"/>
              </w:rPr>
              <w:t>a. All Students who received a valid score and a proficiency was assigned for the regular assessment</w:t>
            </w:r>
          </w:p>
        </w:tc>
        <w:tc>
          <w:tcPr>
            <w:tcW w:w="1083" w:type="pct"/>
            <w:shd w:val="clear" w:color="auto" w:fill="auto"/>
            <w:vAlign w:val="center"/>
          </w:tcPr>
          <w:p w14:paraId="4F7A04F6" w14:textId="19D267DA" w:rsidR="002D3EE6" w:rsidRPr="00781112" w:rsidRDefault="002D3EE6" w:rsidP="002D3EE6">
            <w:pPr>
              <w:jc w:val="center"/>
              <w:rPr>
                <w:rFonts w:cs="Arial"/>
                <w:color w:val="000000" w:themeColor="text1"/>
                <w:szCs w:val="16"/>
              </w:rPr>
            </w:pPr>
            <w:r w:rsidRPr="00781112">
              <w:rPr>
                <w:rFonts w:cs="Arial"/>
                <w:color w:val="000000" w:themeColor="text1"/>
                <w:szCs w:val="16"/>
              </w:rPr>
              <w:t>56,608</w:t>
            </w:r>
          </w:p>
        </w:tc>
        <w:tc>
          <w:tcPr>
            <w:tcW w:w="1084" w:type="pct"/>
            <w:shd w:val="clear" w:color="auto" w:fill="auto"/>
            <w:vAlign w:val="center"/>
          </w:tcPr>
          <w:p w14:paraId="171D43A3" w14:textId="2BAB5EF8" w:rsidR="002D3EE6" w:rsidRPr="00781112" w:rsidRDefault="002D3EE6" w:rsidP="002D3EE6">
            <w:pPr>
              <w:jc w:val="center"/>
              <w:rPr>
                <w:rFonts w:cs="Arial"/>
                <w:color w:val="000000" w:themeColor="text1"/>
                <w:szCs w:val="16"/>
              </w:rPr>
            </w:pPr>
            <w:r w:rsidRPr="00781112">
              <w:rPr>
                <w:rFonts w:cs="Arial"/>
                <w:color w:val="000000" w:themeColor="text1"/>
                <w:szCs w:val="16"/>
              </w:rPr>
              <w:t>51,714</w:t>
            </w:r>
          </w:p>
        </w:tc>
        <w:tc>
          <w:tcPr>
            <w:tcW w:w="1084" w:type="pct"/>
            <w:shd w:val="clear" w:color="auto" w:fill="auto"/>
            <w:vAlign w:val="center"/>
          </w:tcPr>
          <w:p w14:paraId="58B877C4" w14:textId="55D5291F" w:rsidR="002D3EE6" w:rsidRPr="00781112" w:rsidRDefault="002D3EE6" w:rsidP="002D3EE6">
            <w:pPr>
              <w:jc w:val="center"/>
              <w:rPr>
                <w:rFonts w:cs="Arial"/>
                <w:color w:val="000000" w:themeColor="text1"/>
                <w:szCs w:val="16"/>
              </w:rPr>
            </w:pPr>
            <w:r w:rsidRPr="00781112">
              <w:rPr>
                <w:rFonts w:cs="Arial"/>
                <w:color w:val="000000" w:themeColor="text1"/>
                <w:szCs w:val="16"/>
              </w:rPr>
              <w:t>55,982</w:t>
            </w:r>
          </w:p>
        </w:tc>
      </w:tr>
      <w:tr w:rsidR="002D3EE6" w:rsidRPr="00781112" w14:paraId="6D2048AF" w14:textId="77777777" w:rsidTr="00E95FBF">
        <w:tc>
          <w:tcPr>
            <w:tcW w:w="1749" w:type="pct"/>
            <w:shd w:val="clear" w:color="auto" w:fill="auto"/>
          </w:tcPr>
          <w:p w14:paraId="5F5D9DBC" w14:textId="3AB6D57C" w:rsidR="002D3EE6" w:rsidRPr="00781112" w:rsidRDefault="002D3EE6" w:rsidP="002D3EE6">
            <w:pPr>
              <w:rPr>
                <w:rFonts w:cs="Arial"/>
                <w:color w:val="000000" w:themeColor="text1"/>
                <w:szCs w:val="16"/>
              </w:rPr>
            </w:pPr>
            <w:r w:rsidRPr="00781112">
              <w:rPr>
                <w:rFonts w:cs="Arial"/>
                <w:color w:val="000000" w:themeColor="text1"/>
                <w:szCs w:val="16"/>
              </w:rPr>
              <w:t xml:space="preserve">b. Children with IEPs who received a valid score and a proficiency was assigned </w:t>
            </w:r>
            <w:r w:rsidRPr="00781112">
              <w:rPr>
                <w:rFonts w:cs="Arial"/>
                <w:szCs w:val="16"/>
                <w:shd w:val="clear" w:color="auto" w:fill="FFFFFF"/>
              </w:rPr>
              <w:t>for the regular assessment</w:t>
            </w:r>
          </w:p>
        </w:tc>
        <w:tc>
          <w:tcPr>
            <w:tcW w:w="1083" w:type="pct"/>
            <w:shd w:val="clear" w:color="auto" w:fill="auto"/>
            <w:vAlign w:val="center"/>
          </w:tcPr>
          <w:p w14:paraId="25792A43" w14:textId="636F508C" w:rsidR="002D3EE6" w:rsidRPr="00781112" w:rsidRDefault="002D3EE6" w:rsidP="002D3EE6">
            <w:pPr>
              <w:jc w:val="center"/>
              <w:rPr>
                <w:rFonts w:cs="Arial"/>
                <w:color w:val="000000" w:themeColor="text1"/>
                <w:szCs w:val="16"/>
              </w:rPr>
            </w:pPr>
            <w:r w:rsidRPr="00781112">
              <w:rPr>
                <w:rFonts w:cs="Arial"/>
                <w:color w:val="000000" w:themeColor="text1"/>
                <w:szCs w:val="16"/>
              </w:rPr>
              <w:t>7,272</w:t>
            </w:r>
          </w:p>
        </w:tc>
        <w:tc>
          <w:tcPr>
            <w:tcW w:w="1084" w:type="pct"/>
            <w:shd w:val="clear" w:color="auto" w:fill="auto"/>
            <w:vAlign w:val="center"/>
          </w:tcPr>
          <w:p w14:paraId="34571492" w14:textId="6F3F5797" w:rsidR="002D3EE6" w:rsidRPr="00781112" w:rsidRDefault="002D3EE6" w:rsidP="002D3EE6">
            <w:pPr>
              <w:jc w:val="center"/>
              <w:rPr>
                <w:rFonts w:cs="Arial"/>
                <w:color w:val="000000" w:themeColor="text1"/>
                <w:szCs w:val="16"/>
              </w:rPr>
            </w:pPr>
            <w:r w:rsidRPr="00781112">
              <w:rPr>
                <w:rFonts w:cs="Arial"/>
                <w:color w:val="000000" w:themeColor="text1"/>
                <w:szCs w:val="16"/>
              </w:rPr>
              <w:t>5,608</w:t>
            </w:r>
          </w:p>
        </w:tc>
        <w:tc>
          <w:tcPr>
            <w:tcW w:w="1084" w:type="pct"/>
            <w:shd w:val="clear" w:color="auto" w:fill="auto"/>
            <w:vAlign w:val="center"/>
          </w:tcPr>
          <w:p w14:paraId="0BBD02C7" w14:textId="42EBBF14" w:rsidR="002D3EE6" w:rsidRPr="00781112" w:rsidRDefault="002D3EE6" w:rsidP="002D3EE6">
            <w:pPr>
              <w:jc w:val="center"/>
              <w:rPr>
                <w:rFonts w:cs="Arial"/>
                <w:color w:val="000000" w:themeColor="text1"/>
                <w:szCs w:val="16"/>
              </w:rPr>
            </w:pPr>
            <w:r w:rsidRPr="00781112">
              <w:rPr>
                <w:rFonts w:cs="Arial"/>
                <w:color w:val="000000" w:themeColor="text1"/>
                <w:szCs w:val="16"/>
              </w:rPr>
              <w:t>4,099</w:t>
            </w:r>
          </w:p>
        </w:tc>
      </w:tr>
      <w:tr w:rsidR="002D3EE6" w:rsidRPr="00781112" w14:paraId="62D84F5E" w14:textId="77777777" w:rsidTr="00E95FBF">
        <w:tc>
          <w:tcPr>
            <w:tcW w:w="1749" w:type="pct"/>
            <w:shd w:val="clear" w:color="auto" w:fill="auto"/>
          </w:tcPr>
          <w:p w14:paraId="51DEDF27" w14:textId="69ADBF80" w:rsidR="002D3EE6" w:rsidRPr="00181070" w:rsidRDefault="002D3EE6" w:rsidP="002D3EE6">
            <w:pPr>
              <w:rPr>
                <w:rFonts w:cs="Arial"/>
                <w:color w:val="000000" w:themeColor="text1"/>
                <w:szCs w:val="16"/>
              </w:rPr>
            </w:pPr>
            <w:r w:rsidRPr="0075451F">
              <w:rPr>
                <w:rFonts w:cs="Arial"/>
                <w:szCs w:val="16"/>
                <w:shd w:val="clear" w:color="auto" w:fill="FFFFFF"/>
              </w:rPr>
              <w:t>c. All students in regular assessment with no accommodations scored at or above proficient against grade level</w:t>
            </w:r>
          </w:p>
        </w:tc>
        <w:tc>
          <w:tcPr>
            <w:tcW w:w="1083" w:type="pct"/>
            <w:shd w:val="clear" w:color="auto" w:fill="auto"/>
            <w:vAlign w:val="center"/>
          </w:tcPr>
          <w:p w14:paraId="6E23C4D0" w14:textId="690E483E" w:rsidR="002D3EE6" w:rsidRPr="00781112" w:rsidRDefault="002D3EE6" w:rsidP="002D3EE6">
            <w:pPr>
              <w:jc w:val="center"/>
              <w:rPr>
                <w:rFonts w:cs="Arial"/>
                <w:color w:val="000000" w:themeColor="text1"/>
                <w:szCs w:val="16"/>
              </w:rPr>
            </w:pPr>
            <w:r w:rsidRPr="00781112">
              <w:rPr>
                <w:rFonts w:cs="Arial"/>
                <w:color w:val="000000" w:themeColor="text1"/>
                <w:szCs w:val="16"/>
              </w:rPr>
              <w:t>23,814</w:t>
            </w:r>
          </w:p>
        </w:tc>
        <w:tc>
          <w:tcPr>
            <w:tcW w:w="1084" w:type="pct"/>
            <w:shd w:val="clear" w:color="auto" w:fill="auto"/>
            <w:vAlign w:val="center"/>
          </w:tcPr>
          <w:p w14:paraId="6D42641C" w14:textId="63F65487" w:rsidR="002D3EE6" w:rsidRPr="00781112" w:rsidRDefault="002D3EE6" w:rsidP="002D3EE6">
            <w:pPr>
              <w:jc w:val="center"/>
              <w:rPr>
                <w:rFonts w:cs="Arial"/>
                <w:color w:val="000000" w:themeColor="text1"/>
                <w:szCs w:val="16"/>
              </w:rPr>
            </w:pPr>
            <w:r w:rsidRPr="00781112">
              <w:rPr>
                <w:rFonts w:cs="Arial"/>
                <w:color w:val="000000" w:themeColor="text1"/>
                <w:szCs w:val="16"/>
              </w:rPr>
              <w:t>21,321</w:t>
            </w:r>
          </w:p>
        </w:tc>
        <w:tc>
          <w:tcPr>
            <w:tcW w:w="1084" w:type="pct"/>
            <w:shd w:val="clear" w:color="auto" w:fill="auto"/>
            <w:vAlign w:val="center"/>
          </w:tcPr>
          <w:p w14:paraId="27076C73" w14:textId="7C15AF5B" w:rsidR="002D3EE6" w:rsidRPr="00781112" w:rsidRDefault="002D3EE6" w:rsidP="002D3EE6">
            <w:pPr>
              <w:jc w:val="center"/>
              <w:rPr>
                <w:rFonts w:cs="Arial"/>
                <w:color w:val="000000" w:themeColor="text1"/>
                <w:szCs w:val="16"/>
              </w:rPr>
            </w:pPr>
            <w:r w:rsidRPr="00781112">
              <w:rPr>
                <w:rFonts w:cs="Arial"/>
                <w:color w:val="000000" w:themeColor="text1"/>
                <w:szCs w:val="16"/>
              </w:rPr>
              <w:t>30,298</w:t>
            </w:r>
          </w:p>
        </w:tc>
      </w:tr>
      <w:tr w:rsidR="002D3EE6" w:rsidRPr="00781112" w14:paraId="058A4E65" w14:textId="77777777" w:rsidTr="00E95FBF">
        <w:tc>
          <w:tcPr>
            <w:tcW w:w="1749" w:type="pct"/>
            <w:shd w:val="clear" w:color="auto" w:fill="auto"/>
          </w:tcPr>
          <w:p w14:paraId="439EF49E" w14:textId="1EC71838" w:rsidR="002D3EE6" w:rsidRPr="00181070" w:rsidRDefault="002D3EE6" w:rsidP="002D3EE6">
            <w:pPr>
              <w:rPr>
                <w:rFonts w:cs="Arial"/>
                <w:color w:val="000000" w:themeColor="text1"/>
                <w:szCs w:val="16"/>
              </w:rPr>
            </w:pPr>
            <w:r w:rsidRPr="0075451F">
              <w:rPr>
                <w:rFonts w:cs="Arial"/>
                <w:szCs w:val="16"/>
                <w:shd w:val="clear" w:color="auto" w:fill="FFFFFF"/>
              </w:rPr>
              <w:t>d. All students in regular assessment with accommodations scored at or above proficient against grade level</w:t>
            </w:r>
          </w:p>
        </w:tc>
        <w:tc>
          <w:tcPr>
            <w:tcW w:w="1083" w:type="pct"/>
            <w:shd w:val="clear" w:color="auto" w:fill="auto"/>
            <w:vAlign w:val="center"/>
          </w:tcPr>
          <w:p w14:paraId="441B205F" w14:textId="66F540F9" w:rsidR="002D3EE6" w:rsidRPr="00781112" w:rsidRDefault="002D3EE6" w:rsidP="002D3EE6">
            <w:pPr>
              <w:jc w:val="center"/>
              <w:rPr>
                <w:rFonts w:cs="Arial"/>
                <w:color w:val="000000" w:themeColor="text1"/>
                <w:szCs w:val="16"/>
              </w:rPr>
            </w:pPr>
            <w:r w:rsidRPr="00781112">
              <w:rPr>
                <w:rFonts w:cs="Arial"/>
                <w:color w:val="000000" w:themeColor="text1"/>
                <w:szCs w:val="16"/>
              </w:rPr>
              <w:t>618</w:t>
            </w:r>
          </w:p>
        </w:tc>
        <w:tc>
          <w:tcPr>
            <w:tcW w:w="1084" w:type="pct"/>
            <w:shd w:val="clear" w:color="auto" w:fill="auto"/>
            <w:vAlign w:val="center"/>
          </w:tcPr>
          <w:p w14:paraId="5FB5C795" w14:textId="69CA87AA" w:rsidR="002D3EE6" w:rsidRPr="00781112" w:rsidRDefault="002D3EE6" w:rsidP="002D3EE6">
            <w:pPr>
              <w:jc w:val="center"/>
              <w:rPr>
                <w:rFonts w:cs="Arial"/>
                <w:color w:val="000000" w:themeColor="text1"/>
                <w:szCs w:val="16"/>
              </w:rPr>
            </w:pPr>
            <w:r w:rsidRPr="00781112">
              <w:rPr>
                <w:rFonts w:cs="Arial"/>
                <w:color w:val="000000" w:themeColor="text1"/>
                <w:szCs w:val="16"/>
              </w:rPr>
              <w:t>594</w:t>
            </w:r>
          </w:p>
        </w:tc>
        <w:tc>
          <w:tcPr>
            <w:tcW w:w="1084" w:type="pct"/>
            <w:shd w:val="clear" w:color="auto" w:fill="auto"/>
            <w:vAlign w:val="center"/>
          </w:tcPr>
          <w:p w14:paraId="5BB68E9F" w14:textId="19C38497" w:rsidR="002D3EE6" w:rsidRPr="00781112" w:rsidRDefault="002D3EE6" w:rsidP="002D3EE6">
            <w:pPr>
              <w:jc w:val="center"/>
              <w:rPr>
                <w:rFonts w:cs="Arial"/>
                <w:color w:val="000000" w:themeColor="text1"/>
                <w:szCs w:val="16"/>
              </w:rPr>
            </w:pPr>
            <w:r w:rsidRPr="00781112">
              <w:rPr>
                <w:rFonts w:cs="Arial"/>
                <w:color w:val="000000" w:themeColor="text1"/>
                <w:szCs w:val="16"/>
              </w:rPr>
              <w:t>2,696</w:t>
            </w:r>
          </w:p>
        </w:tc>
      </w:tr>
      <w:tr w:rsidR="002D3EE6" w:rsidRPr="00781112" w14:paraId="1AC72B75" w14:textId="77777777" w:rsidTr="00E95FBF">
        <w:tc>
          <w:tcPr>
            <w:tcW w:w="1749" w:type="pct"/>
            <w:shd w:val="clear" w:color="auto" w:fill="auto"/>
          </w:tcPr>
          <w:p w14:paraId="0A914ADA" w14:textId="357C6FCD" w:rsidR="002D3EE6" w:rsidRPr="00781112" w:rsidRDefault="002D3EE6" w:rsidP="002D3EE6">
            <w:pPr>
              <w:rPr>
                <w:rFonts w:cs="Arial"/>
                <w:color w:val="000000" w:themeColor="text1"/>
                <w:szCs w:val="16"/>
              </w:rPr>
            </w:pPr>
            <w:r w:rsidRPr="00781112">
              <w:rPr>
                <w:rFonts w:cs="Arial"/>
                <w:szCs w:val="16"/>
                <w:shd w:val="clear" w:color="auto" w:fill="FFFFFF"/>
              </w:rPr>
              <w:t>e. Children with IEPs in regular assessment with no accommodations scored at or above proficient against grade level</w:t>
            </w:r>
          </w:p>
        </w:tc>
        <w:tc>
          <w:tcPr>
            <w:tcW w:w="1083" w:type="pct"/>
            <w:shd w:val="clear" w:color="auto" w:fill="auto"/>
            <w:vAlign w:val="center"/>
          </w:tcPr>
          <w:p w14:paraId="02F1489E" w14:textId="43AB7E92" w:rsidR="002D3EE6" w:rsidRPr="00781112" w:rsidRDefault="002D3EE6" w:rsidP="002D3EE6">
            <w:pPr>
              <w:jc w:val="center"/>
              <w:rPr>
                <w:rFonts w:cs="Arial"/>
                <w:color w:val="000000" w:themeColor="text1"/>
                <w:szCs w:val="16"/>
              </w:rPr>
            </w:pPr>
            <w:r w:rsidRPr="00781112">
              <w:rPr>
                <w:rFonts w:cs="Arial"/>
                <w:color w:val="000000" w:themeColor="text1"/>
                <w:szCs w:val="16"/>
              </w:rPr>
              <w:t>611</w:t>
            </w:r>
          </w:p>
        </w:tc>
        <w:tc>
          <w:tcPr>
            <w:tcW w:w="1084" w:type="pct"/>
            <w:shd w:val="clear" w:color="auto" w:fill="auto"/>
            <w:vAlign w:val="center"/>
          </w:tcPr>
          <w:p w14:paraId="7D7B8A72" w14:textId="5C0EA0B0" w:rsidR="002D3EE6" w:rsidRPr="00781112" w:rsidRDefault="002D3EE6" w:rsidP="002D3EE6">
            <w:pPr>
              <w:jc w:val="center"/>
              <w:rPr>
                <w:rFonts w:cs="Arial"/>
                <w:color w:val="000000" w:themeColor="text1"/>
                <w:szCs w:val="16"/>
              </w:rPr>
            </w:pPr>
            <w:r w:rsidRPr="00781112">
              <w:rPr>
                <w:rFonts w:cs="Arial"/>
                <w:color w:val="000000" w:themeColor="text1"/>
                <w:szCs w:val="16"/>
              </w:rPr>
              <w:t>253</w:t>
            </w:r>
          </w:p>
        </w:tc>
        <w:tc>
          <w:tcPr>
            <w:tcW w:w="1084" w:type="pct"/>
            <w:shd w:val="clear" w:color="auto" w:fill="auto"/>
            <w:vAlign w:val="center"/>
          </w:tcPr>
          <w:p w14:paraId="077B2856" w14:textId="4059237F" w:rsidR="002D3EE6" w:rsidRPr="00781112" w:rsidRDefault="002D3EE6" w:rsidP="002D3EE6">
            <w:pPr>
              <w:jc w:val="center"/>
              <w:rPr>
                <w:rFonts w:cs="Arial"/>
                <w:color w:val="000000" w:themeColor="text1"/>
                <w:szCs w:val="16"/>
              </w:rPr>
            </w:pPr>
            <w:r w:rsidRPr="00781112">
              <w:rPr>
                <w:rFonts w:cs="Arial"/>
                <w:color w:val="000000" w:themeColor="text1"/>
                <w:szCs w:val="16"/>
              </w:rPr>
              <w:t>142</w:t>
            </w:r>
          </w:p>
        </w:tc>
      </w:tr>
      <w:tr w:rsidR="002D3EE6" w:rsidRPr="00781112" w14:paraId="0F3AF372" w14:textId="77777777" w:rsidTr="00E95FBF">
        <w:tc>
          <w:tcPr>
            <w:tcW w:w="1749" w:type="pct"/>
            <w:shd w:val="clear" w:color="auto" w:fill="auto"/>
          </w:tcPr>
          <w:p w14:paraId="65DAF487" w14:textId="01D9D6A1" w:rsidR="002D3EE6" w:rsidRPr="00781112" w:rsidRDefault="002D3EE6" w:rsidP="002D3EE6">
            <w:pPr>
              <w:rPr>
                <w:rFonts w:cs="Arial"/>
                <w:color w:val="000000" w:themeColor="text1"/>
                <w:szCs w:val="16"/>
              </w:rPr>
            </w:pPr>
            <w:r w:rsidRPr="00781112">
              <w:rPr>
                <w:rFonts w:cs="Arial"/>
                <w:szCs w:val="16"/>
                <w:shd w:val="clear" w:color="auto" w:fill="FFFFFF"/>
              </w:rPr>
              <w:t>f. Children with IEPs in regular assessment with accommodations scored at or above proficient against grade level</w:t>
            </w:r>
          </w:p>
        </w:tc>
        <w:tc>
          <w:tcPr>
            <w:tcW w:w="1083" w:type="pct"/>
            <w:shd w:val="clear" w:color="auto" w:fill="auto"/>
            <w:vAlign w:val="center"/>
          </w:tcPr>
          <w:p w14:paraId="1BE3D4C2" w14:textId="5B4F526A" w:rsidR="002D3EE6" w:rsidRPr="00781112" w:rsidRDefault="002D3EE6" w:rsidP="002D3EE6">
            <w:pPr>
              <w:jc w:val="center"/>
              <w:rPr>
                <w:rFonts w:cs="Arial"/>
                <w:color w:val="000000" w:themeColor="text1"/>
                <w:szCs w:val="16"/>
              </w:rPr>
            </w:pPr>
            <w:r w:rsidRPr="00781112">
              <w:rPr>
                <w:rFonts w:cs="Arial"/>
                <w:color w:val="000000" w:themeColor="text1"/>
                <w:szCs w:val="16"/>
              </w:rPr>
              <w:t>178</w:t>
            </w:r>
          </w:p>
        </w:tc>
        <w:tc>
          <w:tcPr>
            <w:tcW w:w="1084" w:type="pct"/>
            <w:shd w:val="clear" w:color="auto" w:fill="auto"/>
            <w:vAlign w:val="center"/>
          </w:tcPr>
          <w:p w14:paraId="0E65D7AB" w14:textId="79D914F6" w:rsidR="002D3EE6" w:rsidRPr="00781112" w:rsidRDefault="002D3EE6" w:rsidP="002D3EE6">
            <w:pPr>
              <w:jc w:val="center"/>
              <w:rPr>
                <w:rFonts w:cs="Arial"/>
                <w:color w:val="000000" w:themeColor="text1"/>
                <w:szCs w:val="16"/>
              </w:rPr>
            </w:pPr>
            <w:r w:rsidRPr="00781112">
              <w:rPr>
                <w:rFonts w:cs="Arial"/>
                <w:color w:val="000000" w:themeColor="text1"/>
                <w:szCs w:val="16"/>
              </w:rPr>
              <w:t>144</w:t>
            </w:r>
          </w:p>
        </w:tc>
        <w:tc>
          <w:tcPr>
            <w:tcW w:w="1084" w:type="pct"/>
            <w:shd w:val="clear" w:color="auto" w:fill="auto"/>
            <w:vAlign w:val="center"/>
          </w:tcPr>
          <w:p w14:paraId="740F6FA5" w14:textId="70059958" w:rsidR="002D3EE6" w:rsidRPr="00781112" w:rsidRDefault="002D3EE6" w:rsidP="002D3EE6">
            <w:pPr>
              <w:jc w:val="center"/>
              <w:rPr>
                <w:rFonts w:cs="Arial"/>
                <w:color w:val="000000" w:themeColor="text1"/>
                <w:szCs w:val="16"/>
              </w:rPr>
            </w:pPr>
            <w:r w:rsidRPr="00781112">
              <w:rPr>
                <w:rFonts w:cs="Arial"/>
                <w:color w:val="000000" w:themeColor="text1"/>
                <w:szCs w:val="16"/>
              </w:rPr>
              <w:t>571</w:t>
            </w:r>
          </w:p>
        </w:tc>
      </w:tr>
    </w:tbl>
    <w:p w14:paraId="639A2278" w14:textId="77777777" w:rsidR="00DD5B7A" w:rsidRPr="00781112" w:rsidRDefault="00DD5B7A" w:rsidP="00DD5B7A">
      <w:pPr>
        <w:rPr>
          <w:b/>
          <w:color w:val="000000" w:themeColor="text1"/>
        </w:rPr>
      </w:pPr>
    </w:p>
    <w:p w14:paraId="2B294F6E" w14:textId="77777777" w:rsidR="00DD5B7A" w:rsidRPr="00781112" w:rsidRDefault="00DD5B7A" w:rsidP="00DD5B7A">
      <w:pPr>
        <w:rPr>
          <w:rFonts w:cs="Arial"/>
          <w:b/>
          <w:color w:val="000000" w:themeColor="text1"/>
          <w:szCs w:val="16"/>
        </w:rPr>
      </w:pPr>
      <w:r w:rsidRPr="00781112">
        <w:rPr>
          <w:rFonts w:cs="Arial"/>
          <w:b/>
          <w:color w:val="000000" w:themeColor="text1"/>
          <w:szCs w:val="16"/>
        </w:rPr>
        <w:t xml:space="preserve">Data Source: </w:t>
      </w:r>
    </w:p>
    <w:p w14:paraId="6AD8EFC6" w14:textId="5D2767CF" w:rsidR="00DD5B7A" w:rsidRPr="00781112" w:rsidRDefault="00DD5B7A" w:rsidP="00DD5B7A">
      <w:pPr>
        <w:rPr>
          <w:rFonts w:cs="Arial"/>
          <w:color w:val="000000" w:themeColor="text1"/>
          <w:szCs w:val="16"/>
        </w:rPr>
      </w:pPr>
      <w:r w:rsidRPr="00781112">
        <w:rPr>
          <w:rFonts w:cs="Arial"/>
          <w:color w:val="000000" w:themeColor="text1"/>
          <w:szCs w:val="16"/>
        </w:rPr>
        <w:t>SY 2022-23 Assessment Data Groups - Math (EDFacts file spec FS175; Data Group: 583)</w:t>
      </w:r>
    </w:p>
    <w:p w14:paraId="1F735D57" w14:textId="77777777" w:rsidR="00DD5B7A" w:rsidRPr="00781112" w:rsidRDefault="00DD5B7A" w:rsidP="00DD5B7A">
      <w:pPr>
        <w:rPr>
          <w:rFonts w:cs="Arial"/>
          <w:b/>
          <w:color w:val="000000" w:themeColor="text1"/>
          <w:szCs w:val="16"/>
        </w:rPr>
      </w:pPr>
      <w:r w:rsidRPr="00781112">
        <w:rPr>
          <w:rFonts w:cs="Arial"/>
          <w:b/>
          <w:color w:val="000000" w:themeColor="text1"/>
          <w:szCs w:val="16"/>
        </w:rPr>
        <w:t xml:space="preserve">Date: </w:t>
      </w:r>
    </w:p>
    <w:p w14:paraId="27D0A75A" w14:textId="6D901961" w:rsidR="00DD5B7A" w:rsidRPr="00781112" w:rsidRDefault="00DD5B7A" w:rsidP="00DD5B7A">
      <w:pPr>
        <w:rPr>
          <w:rFonts w:cs="Arial"/>
          <w:color w:val="000000" w:themeColor="text1"/>
          <w:szCs w:val="16"/>
        </w:rPr>
      </w:pPr>
      <w:r w:rsidRPr="00781112">
        <w:rPr>
          <w:rFonts w:cs="Arial"/>
          <w:color w:val="000000" w:themeColor="text1"/>
          <w:szCs w:val="16"/>
        </w:rPr>
        <w:t>01/10/2024</w:t>
      </w:r>
    </w:p>
    <w:p w14:paraId="0AB0EBE2" w14:textId="434C41EC" w:rsidR="00DD5B7A" w:rsidRPr="00781112" w:rsidRDefault="00DD5B7A" w:rsidP="00DD5B7A">
      <w:pPr>
        <w:rPr>
          <w:b/>
          <w:color w:val="000000" w:themeColor="text1"/>
        </w:rPr>
      </w:pPr>
      <w:r w:rsidRPr="00781112">
        <w:rPr>
          <w:b/>
          <w:color w:val="000000" w:themeColor="text1"/>
        </w:rPr>
        <w:t>Math Assessment Proficiency Data by Grade</w:t>
      </w:r>
      <w:r w:rsidR="00993B32">
        <w:rPr>
          <w:b/>
          <w:color w:val="000000" w:themeColor="text1"/>
        </w:rPr>
        <w:t xml:space="preserve"> (1)</w:t>
      </w:r>
    </w:p>
    <w:tbl>
      <w:tblPr>
        <w:tblStyle w:val="TableGrid"/>
        <w:tblW w:w="5000" w:type="pct"/>
        <w:tblLayout w:type="fixed"/>
        <w:tblLook w:val="04A0" w:firstRow="1" w:lastRow="0" w:firstColumn="1" w:lastColumn="0" w:noHBand="0" w:noVBand="1"/>
        <w:tblCaption w:val="B03DSSPARTDATABYGRDMATH"/>
      </w:tblPr>
      <w:tblGrid>
        <w:gridCol w:w="3775"/>
        <w:gridCol w:w="2338"/>
        <w:gridCol w:w="2338"/>
        <w:gridCol w:w="2339"/>
      </w:tblGrid>
      <w:tr w:rsidR="00DD5B7A" w:rsidRPr="00781112" w14:paraId="590774E0" w14:textId="77777777" w:rsidTr="00E95FBF">
        <w:tc>
          <w:tcPr>
            <w:tcW w:w="1749" w:type="pct"/>
            <w:shd w:val="clear" w:color="auto" w:fill="auto"/>
          </w:tcPr>
          <w:p w14:paraId="4055FBD1" w14:textId="73E0C6E7" w:rsidR="00DD5B7A" w:rsidRPr="00781112" w:rsidRDefault="00835EAD" w:rsidP="00827FF4">
            <w:pPr>
              <w:jc w:val="center"/>
              <w:rPr>
                <w:rFonts w:cs="Arial"/>
                <w:b/>
                <w:bCs/>
                <w:color w:val="000000" w:themeColor="text1"/>
                <w:szCs w:val="16"/>
              </w:rPr>
            </w:pPr>
            <w:r w:rsidRPr="00781112">
              <w:rPr>
                <w:rFonts w:cs="Arial"/>
                <w:b/>
                <w:bCs/>
                <w:color w:val="000000" w:themeColor="text1"/>
                <w:szCs w:val="16"/>
              </w:rPr>
              <w:t>Group</w:t>
            </w:r>
          </w:p>
        </w:tc>
        <w:tc>
          <w:tcPr>
            <w:tcW w:w="1083" w:type="pct"/>
            <w:shd w:val="clear" w:color="auto" w:fill="auto"/>
            <w:vAlign w:val="center"/>
          </w:tcPr>
          <w:p w14:paraId="3DAA5C0A" w14:textId="35B1C50B" w:rsidR="00DD5B7A" w:rsidRPr="00781112" w:rsidRDefault="00DD5B7A" w:rsidP="00827FF4">
            <w:pPr>
              <w:jc w:val="center"/>
              <w:rPr>
                <w:rFonts w:cs="Arial"/>
                <w:b/>
                <w:bCs/>
                <w:color w:val="000000" w:themeColor="text1"/>
                <w:szCs w:val="16"/>
              </w:rPr>
            </w:pPr>
            <w:r w:rsidRPr="00781112">
              <w:rPr>
                <w:rFonts w:cs="Arial"/>
                <w:b/>
                <w:bCs/>
                <w:color w:val="000000" w:themeColor="text1"/>
                <w:szCs w:val="16"/>
              </w:rPr>
              <w:t>Grade 4</w:t>
            </w:r>
          </w:p>
        </w:tc>
        <w:tc>
          <w:tcPr>
            <w:tcW w:w="1083" w:type="pct"/>
            <w:shd w:val="clear" w:color="auto" w:fill="auto"/>
            <w:vAlign w:val="center"/>
          </w:tcPr>
          <w:p w14:paraId="4B99C0AD" w14:textId="75D46FFE" w:rsidR="00DD5B7A" w:rsidRPr="00781112" w:rsidRDefault="00DD5B7A" w:rsidP="00827FF4">
            <w:pPr>
              <w:jc w:val="center"/>
              <w:rPr>
                <w:rFonts w:cs="Arial"/>
                <w:b/>
                <w:bCs/>
                <w:color w:val="000000" w:themeColor="text1"/>
                <w:szCs w:val="16"/>
              </w:rPr>
            </w:pPr>
            <w:r w:rsidRPr="00781112">
              <w:rPr>
                <w:rFonts w:cs="Arial"/>
                <w:b/>
                <w:bCs/>
                <w:color w:val="000000" w:themeColor="text1"/>
                <w:szCs w:val="16"/>
              </w:rPr>
              <w:t>Grade 8</w:t>
            </w:r>
          </w:p>
        </w:tc>
        <w:tc>
          <w:tcPr>
            <w:tcW w:w="1084" w:type="pct"/>
            <w:shd w:val="clear" w:color="auto" w:fill="auto"/>
            <w:vAlign w:val="center"/>
          </w:tcPr>
          <w:p w14:paraId="64818CE7" w14:textId="3A3D62EA" w:rsidR="00DD5B7A" w:rsidRPr="00781112" w:rsidRDefault="00DD5B7A" w:rsidP="00827FF4">
            <w:pPr>
              <w:jc w:val="center"/>
              <w:rPr>
                <w:rFonts w:cs="Arial"/>
                <w:b/>
                <w:bCs/>
                <w:color w:val="000000" w:themeColor="text1"/>
                <w:szCs w:val="16"/>
              </w:rPr>
            </w:pPr>
            <w:r w:rsidRPr="00781112">
              <w:rPr>
                <w:rFonts w:cs="Arial"/>
                <w:b/>
                <w:bCs/>
                <w:color w:val="000000" w:themeColor="text1"/>
                <w:szCs w:val="16"/>
              </w:rPr>
              <w:t>Grade HS</w:t>
            </w:r>
          </w:p>
        </w:tc>
      </w:tr>
      <w:tr w:rsidR="0039534D" w:rsidRPr="00781112" w14:paraId="5B127C40" w14:textId="77777777" w:rsidTr="00E95FBF">
        <w:tc>
          <w:tcPr>
            <w:tcW w:w="1749" w:type="pct"/>
            <w:shd w:val="clear" w:color="auto" w:fill="auto"/>
          </w:tcPr>
          <w:p w14:paraId="0E1B91FD" w14:textId="7C7FA98F" w:rsidR="0039534D" w:rsidRPr="00781112" w:rsidRDefault="0039534D" w:rsidP="0039534D">
            <w:pPr>
              <w:rPr>
                <w:rFonts w:cs="Arial"/>
                <w:color w:val="000000" w:themeColor="text1"/>
                <w:szCs w:val="16"/>
              </w:rPr>
            </w:pPr>
            <w:r w:rsidRPr="00781112">
              <w:rPr>
                <w:rFonts w:cs="Arial"/>
                <w:color w:val="000000" w:themeColor="text1"/>
                <w:szCs w:val="16"/>
              </w:rPr>
              <w:lastRenderedPageBreak/>
              <w:t>a. All Students who received a valid score and a proficiency was assigned for the regular assessment</w:t>
            </w:r>
          </w:p>
        </w:tc>
        <w:tc>
          <w:tcPr>
            <w:tcW w:w="1083" w:type="pct"/>
            <w:shd w:val="clear" w:color="auto" w:fill="auto"/>
            <w:vAlign w:val="center"/>
          </w:tcPr>
          <w:p w14:paraId="52BC5DDE" w14:textId="144A7826" w:rsidR="0039534D" w:rsidRPr="00781112" w:rsidRDefault="0039534D" w:rsidP="0039534D">
            <w:pPr>
              <w:jc w:val="center"/>
              <w:rPr>
                <w:rFonts w:cs="Arial"/>
                <w:color w:val="000000" w:themeColor="text1"/>
                <w:szCs w:val="16"/>
              </w:rPr>
            </w:pPr>
            <w:r w:rsidRPr="00781112">
              <w:rPr>
                <w:rFonts w:cs="Arial"/>
                <w:color w:val="000000" w:themeColor="text1"/>
                <w:szCs w:val="16"/>
              </w:rPr>
              <w:t>56,697</w:t>
            </w:r>
          </w:p>
        </w:tc>
        <w:tc>
          <w:tcPr>
            <w:tcW w:w="1083" w:type="pct"/>
            <w:shd w:val="clear" w:color="auto" w:fill="auto"/>
            <w:vAlign w:val="center"/>
          </w:tcPr>
          <w:p w14:paraId="1F69E804" w14:textId="1CF42368" w:rsidR="0039534D" w:rsidRPr="00781112" w:rsidRDefault="0039534D" w:rsidP="0039534D">
            <w:pPr>
              <w:jc w:val="center"/>
              <w:rPr>
                <w:rFonts w:cs="Arial"/>
                <w:color w:val="000000" w:themeColor="text1"/>
                <w:szCs w:val="16"/>
              </w:rPr>
            </w:pPr>
            <w:r w:rsidRPr="00781112">
              <w:rPr>
                <w:rFonts w:cs="Arial"/>
                <w:color w:val="000000" w:themeColor="text1"/>
                <w:szCs w:val="16"/>
              </w:rPr>
              <w:t>51,990</w:t>
            </w:r>
          </w:p>
        </w:tc>
        <w:tc>
          <w:tcPr>
            <w:tcW w:w="1084" w:type="pct"/>
            <w:shd w:val="clear" w:color="auto" w:fill="auto"/>
            <w:vAlign w:val="center"/>
          </w:tcPr>
          <w:p w14:paraId="3CF6972D" w14:textId="425CE03D" w:rsidR="0039534D" w:rsidRPr="00781112" w:rsidRDefault="0039534D" w:rsidP="0039534D">
            <w:pPr>
              <w:jc w:val="center"/>
              <w:rPr>
                <w:rFonts w:cs="Arial"/>
                <w:color w:val="000000" w:themeColor="text1"/>
                <w:szCs w:val="16"/>
              </w:rPr>
            </w:pPr>
            <w:r w:rsidRPr="00781112">
              <w:rPr>
                <w:rFonts w:cs="Arial"/>
                <w:color w:val="000000" w:themeColor="text1"/>
                <w:szCs w:val="16"/>
              </w:rPr>
              <w:t>55,986</w:t>
            </w:r>
          </w:p>
        </w:tc>
      </w:tr>
      <w:tr w:rsidR="0039534D" w:rsidRPr="00781112" w14:paraId="498D2BC6" w14:textId="77777777" w:rsidTr="00E95FBF">
        <w:tc>
          <w:tcPr>
            <w:tcW w:w="1749" w:type="pct"/>
            <w:shd w:val="clear" w:color="auto" w:fill="auto"/>
          </w:tcPr>
          <w:p w14:paraId="6F359A75" w14:textId="3CC63A02" w:rsidR="0039534D" w:rsidRPr="00781112" w:rsidRDefault="0039534D" w:rsidP="0039534D">
            <w:pPr>
              <w:rPr>
                <w:rFonts w:cs="Arial"/>
                <w:color w:val="000000" w:themeColor="text1"/>
                <w:szCs w:val="16"/>
              </w:rPr>
            </w:pPr>
            <w:r w:rsidRPr="00781112">
              <w:rPr>
                <w:rFonts w:cs="Arial"/>
                <w:color w:val="000000" w:themeColor="text1"/>
                <w:szCs w:val="16"/>
              </w:rPr>
              <w:t xml:space="preserve">b. Children with IEPs who received a valid score and a proficiency was assigned </w:t>
            </w:r>
            <w:r w:rsidRPr="00781112">
              <w:rPr>
                <w:rFonts w:cs="Arial"/>
                <w:szCs w:val="16"/>
                <w:shd w:val="clear" w:color="auto" w:fill="FFFFFF"/>
              </w:rPr>
              <w:t>for the regular assessment</w:t>
            </w:r>
          </w:p>
        </w:tc>
        <w:tc>
          <w:tcPr>
            <w:tcW w:w="1083" w:type="pct"/>
            <w:shd w:val="clear" w:color="auto" w:fill="auto"/>
            <w:vAlign w:val="center"/>
          </w:tcPr>
          <w:p w14:paraId="76737A54" w14:textId="7FDF30A1" w:rsidR="0039534D" w:rsidRPr="00781112" w:rsidRDefault="0039534D" w:rsidP="0039534D">
            <w:pPr>
              <w:jc w:val="center"/>
              <w:rPr>
                <w:rFonts w:cs="Arial"/>
                <w:color w:val="000000" w:themeColor="text1"/>
                <w:szCs w:val="16"/>
              </w:rPr>
            </w:pPr>
            <w:r w:rsidRPr="00781112">
              <w:rPr>
                <w:rFonts w:cs="Arial"/>
                <w:color w:val="000000" w:themeColor="text1"/>
                <w:szCs w:val="16"/>
              </w:rPr>
              <w:t>7,292</w:t>
            </w:r>
          </w:p>
        </w:tc>
        <w:tc>
          <w:tcPr>
            <w:tcW w:w="1083" w:type="pct"/>
            <w:shd w:val="clear" w:color="auto" w:fill="auto"/>
            <w:vAlign w:val="center"/>
          </w:tcPr>
          <w:p w14:paraId="4728E439" w14:textId="7575A840" w:rsidR="0039534D" w:rsidRPr="00781112" w:rsidRDefault="0039534D" w:rsidP="0039534D">
            <w:pPr>
              <w:jc w:val="center"/>
              <w:rPr>
                <w:rFonts w:cs="Arial"/>
                <w:color w:val="000000" w:themeColor="text1"/>
                <w:szCs w:val="16"/>
              </w:rPr>
            </w:pPr>
            <w:r w:rsidRPr="00781112">
              <w:rPr>
                <w:rFonts w:cs="Arial"/>
                <w:color w:val="000000" w:themeColor="text1"/>
                <w:szCs w:val="16"/>
              </w:rPr>
              <w:t>5,604</w:t>
            </w:r>
          </w:p>
        </w:tc>
        <w:tc>
          <w:tcPr>
            <w:tcW w:w="1084" w:type="pct"/>
            <w:shd w:val="clear" w:color="auto" w:fill="auto"/>
            <w:vAlign w:val="center"/>
          </w:tcPr>
          <w:p w14:paraId="06C8345B" w14:textId="39D5A618" w:rsidR="0039534D" w:rsidRPr="00781112" w:rsidRDefault="0039534D" w:rsidP="0039534D">
            <w:pPr>
              <w:jc w:val="center"/>
              <w:rPr>
                <w:rFonts w:cs="Arial"/>
                <w:color w:val="000000" w:themeColor="text1"/>
                <w:szCs w:val="16"/>
              </w:rPr>
            </w:pPr>
            <w:r w:rsidRPr="00781112">
              <w:rPr>
                <w:rFonts w:cs="Arial"/>
                <w:color w:val="000000" w:themeColor="text1"/>
                <w:szCs w:val="16"/>
              </w:rPr>
              <w:t>4,099</w:t>
            </w:r>
          </w:p>
        </w:tc>
      </w:tr>
      <w:tr w:rsidR="0039534D" w:rsidRPr="00781112" w14:paraId="3DF51785" w14:textId="77777777" w:rsidTr="00E95FBF">
        <w:tc>
          <w:tcPr>
            <w:tcW w:w="1749" w:type="pct"/>
            <w:shd w:val="clear" w:color="auto" w:fill="auto"/>
          </w:tcPr>
          <w:p w14:paraId="4795E661" w14:textId="39A6BCFA" w:rsidR="0039534D" w:rsidRPr="00781112" w:rsidRDefault="0039534D" w:rsidP="0039534D">
            <w:pPr>
              <w:rPr>
                <w:rFonts w:cs="Arial"/>
                <w:color w:val="000000" w:themeColor="text1"/>
                <w:szCs w:val="16"/>
              </w:rPr>
            </w:pPr>
            <w:r w:rsidRPr="0075451F">
              <w:rPr>
                <w:rFonts w:cs="Arial"/>
                <w:szCs w:val="16"/>
                <w:shd w:val="clear" w:color="auto" w:fill="FFFFFF"/>
              </w:rPr>
              <w:t>c. All students in regular assessment with no accommodations scored at or above proficient against grade level</w:t>
            </w:r>
          </w:p>
        </w:tc>
        <w:tc>
          <w:tcPr>
            <w:tcW w:w="1083" w:type="pct"/>
            <w:shd w:val="clear" w:color="auto" w:fill="auto"/>
            <w:vAlign w:val="center"/>
          </w:tcPr>
          <w:p w14:paraId="5CB3E7A3" w14:textId="5EDF24EC" w:rsidR="0039534D" w:rsidRPr="00781112" w:rsidRDefault="0039534D" w:rsidP="0039534D">
            <w:pPr>
              <w:jc w:val="center"/>
              <w:rPr>
                <w:rFonts w:cs="Arial"/>
                <w:color w:val="000000" w:themeColor="text1"/>
                <w:szCs w:val="16"/>
              </w:rPr>
            </w:pPr>
            <w:r w:rsidRPr="00781112">
              <w:rPr>
                <w:rFonts w:cs="Arial"/>
                <w:color w:val="000000" w:themeColor="text1"/>
                <w:szCs w:val="16"/>
              </w:rPr>
              <w:t>18,019</w:t>
            </w:r>
          </w:p>
        </w:tc>
        <w:tc>
          <w:tcPr>
            <w:tcW w:w="1083" w:type="pct"/>
            <w:shd w:val="clear" w:color="auto" w:fill="auto"/>
            <w:vAlign w:val="center"/>
          </w:tcPr>
          <w:p w14:paraId="7CCA2E3B" w14:textId="3CD9DE15" w:rsidR="0039534D" w:rsidRPr="00781112" w:rsidRDefault="0039534D" w:rsidP="0039534D">
            <w:pPr>
              <w:jc w:val="center"/>
              <w:rPr>
                <w:rFonts w:cs="Arial"/>
                <w:color w:val="000000" w:themeColor="text1"/>
                <w:szCs w:val="16"/>
              </w:rPr>
            </w:pPr>
            <w:r w:rsidRPr="00781112">
              <w:rPr>
                <w:rFonts w:cs="Arial"/>
                <w:color w:val="000000" w:themeColor="text1"/>
                <w:szCs w:val="16"/>
              </w:rPr>
              <w:t>16,455</w:t>
            </w:r>
          </w:p>
        </w:tc>
        <w:tc>
          <w:tcPr>
            <w:tcW w:w="1084" w:type="pct"/>
            <w:shd w:val="clear" w:color="auto" w:fill="auto"/>
            <w:vAlign w:val="center"/>
          </w:tcPr>
          <w:p w14:paraId="735C7B5A" w14:textId="1C3B3FE1" w:rsidR="0039534D" w:rsidRPr="00781112" w:rsidRDefault="0039534D" w:rsidP="0039534D">
            <w:pPr>
              <w:jc w:val="center"/>
              <w:rPr>
                <w:rFonts w:cs="Arial"/>
                <w:color w:val="000000" w:themeColor="text1"/>
                <w:szCs w:val="16"/>
              </w:rPr>
            </w:pPr>
            <w:r w:rsidRPr="00781112">
              <w:rPr>
                <w:rFonts w:cs="Arial"/>
                <w:color w:val="000000" w:themeColor="text1"/>
                <w:szCs w:val="16"/>
              </w:rPr>
              <w:t>18,265</w:t>
            </w:r>
          </w:p>
        </w:tc>
      </w:tr>
      <w:tr w:rsidR="0039534D" w:rsidRPr="00781112" w14:paraId="07844546" w14:textId="77777777" w:rsidTr="00E95FBF">
        <w:tc>
          <w:tcPr>
            <w:tcW w:w="1749" w:type="pct"/>
            <w:shd w:val="clear" w:color="auto" w:fill="auto"/>
          </w:tcPr>
          <w:p w14:paraId="47D524EB" w14:textId="56F8E4CC" w:rsidR="0039534D" w:rsidRPr="00781112" w:rsidRDefault="0039534D" w:rsidP="0039534D">
            <w:pPr>
              <w:rPr>
                <w:rFonts w:cs="Arial"/>
                <w:color w:val="000000" w:themeColor="text1"/>
                <w:szCs w:val="16"/>
              </w:rPr>
            </w:pPr>
            <w:r w:rsidRPr="0075451F">
              <w:rPr>
                <w:rFonts w:cs="Arial"/>
                <w:szCs w:val="16"/>
                <w:shd w:val="clear" w:color="auto" w:fill="FFFFFF"/>
              </w:rPr>
              <w:t>d. All students in regular assessment with accommodations scored at or above proficient against grade level</w:t>
            </w:r>
          </w:p>
        </w:tc>
        <w:tc>
          <w:tcPr>
            <w:tcW w:w="1083" w:type="pct"/>
            <w:shd w:val="clear" w:color="auto" w:fill="auto"/>
            <w:vAlign w:val="center"/>
          </w:tcPr>
          <w:p w14:paraId="56F62AFB" w14:textId="4BC3B8A6" w:rsidR="0039534D" w:rsidRPr="00781112" w:rsidRDefault="0039534D" w:rsidP="0039534D">
            <w:pPr>
              <w:jc w:val="center"/>
              <w:rPr>
                <w:rFonts w:cs="Arial"/>
                <w:color w:val="000000" w:themeColor="text1"/>
                <w:szCs w:val="16"/>
              </w:rPr>
            </w:pPr>
            <w:r w:rsidRPr="00781112">
              <w:rPr>
                <w:rFonts w:cs="Arial"/>
                <w:color w:val="000000" w:themeColor="text1"/>
                <w:szCs w:val="16"/>
              </w:rPr>
              <w:t>508</w:t>
            </w:r>
          </w:p>
        </w:tc>
        <w:tc>
          <w:tcPr>
            <w:tcW w:w="1083" w:type="pct"/>
            <w:shd w:val="clear" w:color="auto" w:fill="auto"/>
            <w:vAlign w:val="center"/>
          </w:tcPr>
          <w:p w14:paraId="3CDBB055" w14:textId="52A1C13C" w:rsidR="0039534D" w:rsidRPr="00781112" w:rsidRDefault="0039534D" w:rsidP="0039534D">
            <w:pPr>
              <w:jc w:val="center"/>
              <w:rPr>
                <w:rFonts w:cs="Arial"/>
                <w:color w:val="000000" w:themeColor="text1"/>
                <w:szCs w:val="16"/>
              </w:rPr>
            </w:pPr>
            <w:r w:rsidRPr="00781112">
              <w:rPr>
                <w:rFonts w:cs="Arial"/>
                <w:color w:val="000000" w:themeColor="text1"/>
                <w:szCs w:val="16"/>
              </w:rPr>
              <w:t>526</w:t>
            </w:r>
          </w:p>
        </w:tc>
        <w:tc>
          <w:tcPr>
            <w:tcW w:w="1084" w:type="pct"/>
            <w:shd w:val="clear" w:color="auto" w:fill="auto"/>
            <w:vAlign w:val="center"/>
          </w:tcPr>
          <w:p w14:paraId="53087BDA" w14:textId="7F6FB55C" w:rsidR="0039534D" w:rsidRPr="00781112" w:rsidRDefault="0039534D" w:rsidP="0039534D">
            <w:pPr>
              <w:jc w:val="center"/>
              <w:rPr>
                <w:rFonts w:cs="Arial"/>
                <w:color w:val="000000" w:themeColor="text1"/>
                <w:szCs w:val="16"/>
              </w:rPr>
            </w:pPr>
            <w:r w:rsidRPr="00781112">
              <w:rPr>
                <w:rFonts w:cs="Arial"/>
                <w:color w:val="000000" w:themeColor="text1"/>
                <w:szCs w:val="16"/>
              </w:rPr>
              <w:t>1,431</w:t>
            </w:r>
          </w:p>
        </w:tc>
      </w:tr>
      <w:tr w:rsidR="0039534D" w:rsidRPr="00781112" w14:paraId="0A3B43B6" w14:textId="77777777" w:rsidTr="00E95FBF">
        <w:tc>
          <w:tcPr>
            <w:tcW w:w="1749" w:type="pct"/>
            <w:shd w:val="clear" w:color="auto" w:fill="auto"/>
          </w:tcPr>
          <w:p w14:paraId="78623131" w14:textId="1D0B9916" w:rsidR="0039534D" w:rsidRPr="00781112" w:rsidRDefault="0039534D" w:rsidP="0039534D">
            <w:pPr>
              <w:rPr>
                <w:rFonts w:cs="Arial"/>
                <w:color w:val="000000" w:themeColor="text1"/>
                <w:szCs w:val="16"/>
              </w:rPr>
            </w:pPr>
            <w:r w:rsidRPr="00781112">
              <w:rPr>
                <w:rFonts w:cs="Arial"/>
                <w:szCs w:val="16"/>
                <w:shd w:val="clear" w:color="auto" w:fill="FFFFFF"/>
              </w:rPr>
              <w:t>e. Children with IEPs in regular assessment with no accommodations scored at or above proficient against grade level</w:t>
            </w:r>
          </w:p>
        </w:tc>
        <w:tc>
          <w:tcPr>
            <w:tcW w:w="1083" w:type="pct"/>
            <w:shd w:val="clear" w:color="auto" w:fill="auto"/>
            <w:vAlign w:val="center"/>
          </w:tcPr>
          <w:p w14:paraId="6A062FCA" w14:textId="010EA23D" w:rsidR="0039534D" w:rsidRPr="00781112" w:rsidRDefault="0039534D" w:rsidP="0039534D">
            <w:pPr>
              <w:jc w:val="center"/>
              <w:rPr>
                <w:rFonts w:cs="Arial"/>
                <w:color w:val="000000" w:themeColor="text1"/>
                <w:szCs w:val="16"/>
              </w:rPr>
            </w:pPr>
            <w:r w:rsidRPr="00781112">
              <w:rPr>
                <w:rFonts w:cs="Arial"/>
                <w:color w:val="000000" w:themeColor="text1"/>
                <w:szCs w:val="16"/>
              </w:rPr>
              <w:t>528</w:t>
            </w:r>
          </w:p>
        </w:tc>
        <w:tc>
          <w:tcPr>
            <w:tcW w:w="1083" w:type="pct"/>
            <w:shd w:val="clear" w:color="auto" w:fill="auto"/>
            <w:vAlign w:val="center"/>
          </w:tcPr>
          <w:p w14:paraId="0A64567E" w14:textId="2D3B6CBD" w:rsidR="0039534D" w:rsidRPr="00781112" w:rsidRDefault="0039534D" w:rsidP="0039534D">
            <w:pPr>
              <w:jc w:val="center"/>
              <w:rPr>
                <w:rFonts w:cs="Arial"/>
                <w:color w:val="000000" w:themeColor="text1"/>
                <w:szCs w:val="16"/>
              </w:rPr>
            </w:pPr>
            <w:r w:rsidRPr="00781112">
              <w:rPr>
                <w:rFonts w:cs="Arial"/>
                <w:color w:val="000000" w:themeColor="text1"/>
                <w:szCs w:val="16"/>
              </w:rPr>
              <w:t>201</w:t>
            </w:r>
          </w:p>
        </w:tc>
        <w:tc>
          <w:tcPr>
            <w:tcW w:w="1084" w:type="pct"/>
            <w:shd w:val="clear" w:color="auto" w:fill="auto"/>
            <w:vAlign w:val="center"/>
          </w:tcPr>
          <w:p w14:paraId="4656C7C9" w14:textId="098CB46F" w:rsidR="0039534D" w:rsidRPr="00781112" w:rsidRDefault="0039534D" w:rsidP="0039534D">
            <w:pPr>
              <w:jc w:val="center"/>
              <w:rPr>
                <w:rFonts w:cs="Arial"/>
                <w:color w:val="000000" w:themeColor="text1"/>
                <w:szCs w:val="16"/>
              </w:rPr>
            </w:pPr>
            <w:r w:rsidRPr="00781112">
              <w:rPr>
                <w:rFonts w:cs="Arial"/>
                <w:color w:val="000000" w:themeColor="text1"/>
                <w:szCs w:val="16"/>
              </w:rPr>
              <w:t>51</w:t>
            </w:r>
          </w:p>
        </w:tc>
      </w:tr>
      <w:tr w:rsidR="0039534D" w:rsidRPr="00781112" w14:paraId="7854C881" w14:textId="77777777" w:rsidTr="00E95FBF">
        <w:tc>
          <w:tcPr>
            <w:tcW w:w="1749" w:type="pct"/>
            <w:shd w:val="clear" w:color="auto" w:fill="auto"/>
          </w:tcPr>
          <w:p w14:paraId="11893D61" w14:textId="60FC961E" w:rsidR="0039534D" w:rsidRPr="00781112" w:rsidRDefault="0039534D" w:rsidP="0039534D">
            <w:pPr>
              <w:rPr>
                <w:rFonts w:cs="Arial"/>
                <w:color w:val="000000" w:themeColor="text1"/>
                <w:szCs w:val="16"/>
              </w:rPr>
            </w:pPr>
            <w:r w:rsidRPr="00781112">
              <w:rPr>
                <w:rFonts w:cs="Arial"/>
                <w:szCs w:val="16"/>
                <w:shd w:val="clear" w:color="auto" w:fill="FFFFFF"/>
              </w:rPr>
              <w:t>f. Children with IEPs in regular assessment with accommodations scored at or above proficient against grade level</w:t>
            </w:r>
          </w:p>
        </w:tc>
        <w:tc>
          <w:tcPr>
            <w:tcW w:w="1083" w:type="pct"/>
            <w:shd w:val="clear" w:color="auto" w:fill="auto"/>
            <w:vAlign w:val="center"/>
          </w:tcPr>
          <w:p w14:paraId="59046EB4" w14:textId="7B9261DB" w:rsidR="0039534D" w:rsidRPr="00781112" w:rsidRDefault="0039534D" w:rsidP="0039534D">
            <w:pPr>
              <w:jc w:val="center"/>
              <w:rPr>
                <w:rFonts w:cs="Arial"/>
                <w:color w:val="000000" w:themeColor="text1"/>
                <w:szCs w:val="16"/>
              </w:rPr>
            </w:pPr>
            <w:r w:rsidRPr="00781112">
              <w:rPr>
                <w:rFonts w:cs="Arial"/>
                <w:color w:val="000000" w:themeColor="text1"/>
                <w:szCs w:val="16"/>
              </w:rPr>
              <w:t>160</w:t>
            </w:r>
          </w:p>
        </w:tc>
        <w:tc>
          <w:tcPr>
            <w:tcW w:w="1083" w:type="pct"/>
            <w:shd w:val="clear" w:color="auto" w:fill="auto"/>
            <w:vAlign w:val="center"/>
          </w:tcPr>
          <w:p w14:paraId="1A17DFA3" w14:textId="3FCA504B" w:rsidR="0039534D" w:rsidRPr="00781112" w:rsidRDefault="0039534D" w:rsidP="0039534D">
            <w:pPr>
              <w:jc w:val="center"/>
              <w:rPr>
                <w:rFonts w:cs="Arial"/>
                <w:color w:val="000000" w:themeColor="text1"/>
                <w:szCs w:val="16"/>
              </w:rPr>
            </w:pPr>
            <w:r w:rsidRPr="00781112">
              <w:rPr>
                <w:rFonts w:cs="Arial"/>
                <w:color w:val="000000" w:themeColor="text1"/>
                <w:szCs w:val="16"/>
              </w:rPr>
              <w:t>118</w:t>
            </w:r>
          </w:p>
        </w:tc>
        <w:tc>
          <w:tcPr>
            <w:tcW w:w="1084" w:type="pct"/>
            <w:shd w:val="clear" w:color="auto" w:fill="auto"/>
            <w:vAlign w:val="center"/>
          </w:tcPr>
          <w:p w14:paraId="20EB2770" w14:textId="2709C0DA" w:rsidR="0039534D" w:rsidRPr="00781112" w:rsidRDefault="0039534D" w:rsidP="0039534D">
            <w:pPr>
              <w:jc w:val="center"/>
              <w:rPr>
                <w:rFonts w:cs="Arial"/>
                <w:color w:val="000000" w:themeColor="text1"/>
                <w:szCs w:val="16"/>
              </w:rPr>
            </w:pPr>
            <w:r w:rsidRPr="00781112">
              <w:rPr>
                <w:rFonts w:cs="Arial"/>
                <w:color w:val="000000" w:themeColor="text1"/>
                <w:szCs w:val="16"/>
              </w:rPr>
              <w:t>191</w:t>
            </w:r>
          </w:p>
        </w:tc>
      </w:tr>
    </w:tbl>
    <w:p w14:paraId="657E3B81" w14:textId="0DBD7310" w:rsidR="007519E8" w:rsidRDefault="007519E8" w:rsidP="007519E8">
      <w:pPr>
        <w:pStyle w:val="Subhed"/>
        <w:rPr>
          <w:b w:val="0"/>
          <w:bCs/>
        </w:rPr>
      </w:pPr>
      <w:r>
        <w:rPr>
          <w:b w:val="0"/>
          <w:bCs/>
        </w:rPr>
        <w:t>(</w:t>
      </w:r>
      <w:proofErr w:type="gramStart"/>
      <w:r>
        <w:rPr>
          <w:b w:val="0"/>
          <w:bCs/>
        </w:rPr>
        <w:t>1)The</w:t>
      </w:r>
      <w:proofErr w:type="gramEnd"/>
      <w:r>
        <w:rPr>
          <w:b w:val="0"/>
          <w:bCs/>
        </w:rPr>
        <w:t xml:space="preserve"> term “regular assessment” is an aggregation of the following types of assessments as applicable for each grade/ grade group: regular assessment based on grade-level achievement standards, advanced assessment, Innovative Assessment Demonstration Authority (IADA) pilot assessment, high school regular assessment I, high school regular assessment II, high school regular assessment III and locally-selected nationally recognized high school assessment in the prefilled data in this indicator.</w:t>
      </w:r>
      <w:r>
        <w:t xml:space="preserve"> </w:t>
      </w:r>
    </w:p>
    <w:p w14:paraId="1EA160DB" w14:textId="77777777" w:rsidR="00DD5B7A" w:rsidRPr="00781112" w:rsidRDefault="00DD5B7A" w:rsidP="00DD5B7A">
      <w:pPr>
        <w:rPr>
          <w:color w:val="000000" w:themeColor="text1"/>
        </w:rPr>
      </w:pPr>
    </w:p>
    <w:p w14:paraId="300D6CD4" w14:textId="01FFF48B" w:rsidR="00DD5B7A" w:rsidRPr="00781112" w:rsidRDefault="0047313F" w:rsidP="00DD5B7A">
      <w:pPr>
        <w:rPr>
          <w:b/>
          <w:color w:val="000000" w:themeColor="text1"/>
        </w:rPr>
      </w:pPr>
      <w:r>
        <w:rPr>
          <w:b/>
          <w:color w:val="000000" w:themeColor="text1"/>
        </w:rPr>
        <w:t>FFY 2022 SPP/APR Data: Reading Assessment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B03DFFYAPRDATARLA"/>
      </w:tblPr>
      <w:tblGrid>
        <w:gridCol w:w="715"/>
        <w:gridCol w:w="995"/>
        <w:gridCol w:w="1752"/>
        <w:gridCol w:w="1752"/>
        <w:gridCol w:w="1114"/>
        <w:gridCol w:w="1116"/>
        <w:gridCol w:w="1116"/>
        <w:gridCol w:w="1116"/>
        <w:gridCol w:w="1114"/>
      </w:tblGrid>
      <w:tr w:rsidR="00FA33C9" w:rsidRPr="00781112" w14:paraId="2F7F1DE8" w14:textId="77777777" w:rsidTr="00360DD6">
        <w:trPr>
          <w:tblHeader/>
        </w:trPr>
        <w:tc>
          <w:tcPr>
            <w:tcW w:w="331" w:type="pct"/>
            <w:shd w:val="clear" w:color="auto" w:fill="auto"/>
            <w:vAlign w:val="bottom"/>
          </w:tcPr>
          <w:p w14:paraId="0E14CE7F" w14:textId="77777777" w:rsidR="00FA33C9" w:rsidRPr="00781112" w:rsidRDefault="00FA33C9" w:rsidP="00FA33C9">
            <w:pPr>
              <w:jc w:val="center"/>
              <w:rPr>
                <w:b/>
                <w:color w:val="000000" w:themeColor="text1"/>
              </w:rPr>
            </w:pPr>
            <w:r w:rsidRPr="00781112">
              <w:rPr>
                <w:b/>
                <w:color w:val="000000" w:themeColor="text1"/>
              </w:rPr>
              <w:t>Group</w:t>
            </w:r>
          </w:p>
        </w:tc>
        <w:tc>
          <w:tcPr>
            <w:tcW w:w="461" w:type="pct"/>
            <w:shd w:val="clear" w:color="auto" w:fill="auto"/>
            <w:vAlign w:val="bottom"/>
          </w:tcPr>
          <w:p w14:paraId="4F428A92" w14:textId="77777777" w:rsidR="00FA33C9" w:rsidRPr="00781112" w:rsidRDefault="00FA33C9" w:rsidP="00FA33C9">
            <w:pPr>
              <w:jc w:val="center"/>
              <w:rPr>
                <w:b/>
                <w:color w:val="000000" w:themeColor="text1"/>
              </w:rPr>
            </w:pPr>
            <w:r w:rsidRPr="00781112">
              <w:rPr>
                <w:b/>
                <w:color w:val="000000" w:themeColor="text1"/>
              </w:rPr>
              <w:t>Group Name</w:t>
            </w:r>
          </w:p>
        </w:tc>
        <w:tc>
          <w:tcPr>
            <w:tcW w:w="812" w:type="pct"/>
            <w:shd w:val="clear" w:color="auto" w:fill="auto"/>
          </w:tcPr>
          <w:p w14:paraId="46CAD1DD" w14:textId="7A73217C" w:rsidR="00FA33C9" w:rsidRPr="00781112" w:rsidRDefault="00FA33C9" w:rsidP="00FA33C9">
            <w:pPr>
              <w:jc w:val="center"/>
              <w:rPr>
                <w:b/>
                <w:bCs/>
                <w:color w:val="000000" w:themeColor="text1"/>
              </w:rPr>
            </w:pPr>
            <w:r w:rsidRPr="00781112">
              <w:rPr>
                <w:b/>
                <w:bCs/>
              </w:rPr>
              <w:t xml:space="preserve">Proficiency rate for children with IEPs scoring at or above proficient against grade level academic achievement standards </w:t>
            </w:r>
          </w:p>
        </w:tc>
        <w:tc>
          <w:tcPr>
            <w:tcW w:w="812" w:type="pct"/>
            <w:shd w:val="clear" w:color="auto" w:fill="auto"/>
          </w:tcPr>
          <w:p w14:paraId="6DE1E86B" w14:textId="68DF8E07" w:rsidR="00FA33C9" w:rsidRPr="00781112" w:rsidRDefault="00FA33C9" w:rsidP="00FA33C9">
            <w:pPr>
              <w:jc w:val="center"/>
              <w:rPr>
                <w:b/>
                <w:bCs/>
                <w:color w:val="000000" w:themeColor="text1"/>
              </w:rPr>
            </w:pPr>
            <w:r w:rsidRPr="00781112">
              <w:rPr>
                <w:b/>
                <w:bCs/>
              </w:rPr>
              <w:t xml:space="preserve">Proficiency rate for all students scoring at or above proficient against grade level academic achievement standards </w:t>
            </w:r>
          </w:p>
        </w:tc>
        <w:tc>
          <w:tcPr>
            <w:tcW w:w="516" w:type="pct"/>
            <w:shd w:val="clear" w:color="auto" w:fill="auto"/>
            <w:vAlign w:val="bottom"/>
          </w:tcPr>
          <w:p w14:paraId="0E9E489C" w14:textId="53552D2B" w:rsidR="00FA33C9" w:rsidRPr="00073BD7" w:rsidRDefault="00FA33C9" w:rsidP="00FA33C9">
            <w:pPr>
              <w:jc w:val="center"/>
              <w:rPr>
                <w:b/>
                <w:bCs/>
                <w:color w:val="000000" w:themeColor="text1"/>
              </w:rPr>
            </w:pPr>
            <w:r w:rsidRPr="00073BD7">
              <w:rPr>
                <w:b/>
                <w:bCs/>
              </w:rPr>
              <w:t>FFY 2021 Data</w:t>
            </w:r>
          </w:p>
        </w:tc>
        <w:tc>
          <w:tcPr>
            <w:tcW w:w="517" w:type="pct"/>
            <w:shd w:val="clear" w:color="auto" w:fill="auto"/>
            <w:vAlign w:val="bottom"/>
          </w:tcPr>
          <w:p w14:paraId="69544656" w14:textId="05B2BF11" w:rsidR="00FA33C9" w:rsidRPr="00073BD7" w:rsidRDefault="00FA33C9" w:rsidP="00FA33C9">
            <w:pPr>
              <w:jc w:val="center"/>
              <w:rPr>
                <w:b/>
                <w:bCs/>
                <w:color w:val="000000" w:themeColor="text1"/>
              </w:rPr>
            </w:pPr>
            <w:r w:rsidRPr="00073BD7">
              <w:rPr>
                <w:b/>
                <w:bCs/>
              </w:rPr>
              <w:t>FFY 2022 Target</w:t>
            </w:r>
          </w:p>
        </w:tc>
        <w:tc>
          <w:tcPr>
            <w:tcW w:w="517" w:type="pct"/>
            <w:shd w:val="clear" w:color="auto" w:fill="auto"/>
            <w:vAlign w:val="bottom"/>
          </w:tcPr>
          <w:p w14:paraId="611B3DE3" w14:textId="35589DA2" w:rsidR="00FA33C9" w:rsidRPr="00073BD7" w:rsidRDefault="00FA33C9" w:rsidP="00FA33C9">
            <w:pPr>
              <w:jc w:val="center"/>
              <w:rPr>
                <w:b/>
                <w:bCs/>
                <w:color w:val="000000" w:themeColor="text1"/>
              </w:rPr>
            </w:pPr>
            <w:r w:rsidRPr="00073BD7">
              <w:rPr>
                <w:b/>
                <w:bCs/>
              </w:rPr>
              <w:t>FFY 2022 Data</w:t>
            </w:r>
          </w:p>
        </w:tc>
        <w:tc>
          <w:tcPr>
            <w:tcW w:w="517" w:type="pct"/>
            <w:shd w:val="clear" w:color="auto" w:fill="auto"/>
            <w:vAlign w:val="bottom"/>
          </w:tcPr>
          <w:p w14:paraId="6D2215D6" w14:textId="77777777" w:rsidR="00FA33C9" w:rsidRPr="00781112" w:rsidRDefault="00FA33C9" w:rsidP="00FA33C9">
            <w:pPr>
              <w:jc w:val="center"/>
              <w:rPr>
                <w:b/>
                <w:color w:val="000000" w:themeColor="text1"/>
              </w:rPr>
            </w:pPr>
            <w:r w:rsidRPr="00781112">
              <w:rPr>
                <w:b/>
                <w:color w:val="000000" w:themeColor="text1"/>
              </w:rPr>
              <w:t>Status</w:t>
            </w:r>
          </w:p>
        </w:tc>
        <w:tc>
          <w:tcPr>
            <w:tcW w:w="516" w:type="pct"/>
            <w:shd w:val="clear" w:color="auto" w:fill="auto"/>
            <w:vAlign w:val="bottom"/>
          </w:tcPr>
          <w:p w14:paraId="4FACB3EB" w14:textId="77777777" w:rsidR="00FA33C9" w:rsidRPr="00781112" w:rsidRDefault="00FA33C9" w:rsidP="00FA33C9">
            <w:pPr>
              <w:jc w:val="center"/>
              <w:rPr>
                <w:b/>
                <w:color w:val="000000" w:themeColor="text1"/>
              </w:rPr>
            </w:pPr>
            <w:r w:rsidRPr="00781112">
              <w:rPr>
                <w:b/>
                <w:color w:val="000000" w:themeColor="text1"/>
              </w:rPr>
              <w:t>Slippage</w:t>
            </w:r>
          </w:p>
        </w:tc>
      </w:tr>
      <w:tr w:rsidR="00E22739" w:rsidRPr="00781112" w14:paraId="190DF2EB" w14:textId="77777777" w:rsidTr="00360DD6">
        <w:tc>
          <w:tcPr>
            <w:tcW w:w="331" w:type="pct"/>
            <w:shd w:val="clear" w:color="auto" w:fill="auto"/>
            <w:vAlign w:val="center"/>
          </w:tcPr>
          <w:p w14:paraId="3AAB1776" w14:textId="77777777" w:rsidR="00E22739" w:rsidRPr="00781112" w:rsidRDefault="00E22739" w:rsidP="00E22739">
            <w:pPr>
              <w:pStyle w:val="Default"/>
              <w:jc w:val="center"/>
              <w:rPr>
                <w:rFonts w:eastAsiaTheme="minorHAnsi"/>
                <w:color w:val="000000" w:themeColor="text1"/>
                <w:sz w:val="16"/>
                <w:szCs w:val="16"/>
              </w:rPr>
            </w:pPr>
            <w:r w:rsidRPr="00781112">
              <w:rPr>
                <w:b/>
                <w:color w:val="000000" w:themeColor="text1"/>
                <w:sz w:val="16"/>
                <w:szCs w:val="16"/>
              </w:rPr>
              <w:t>A</w:t>
            </w:r>
          </w:p>
        </w:tc>
        <w:tc>
          <w:tcPr>
            <w:tcW w:w="461" w:type="pct"/>
            <w:shd w:val="clear" w:color="auto" w:fill="auto"/>
            <w:vAlign w:val="center"/>
          </w:tcPr>
          <w:p w14:paraId="50AFDCF6" w14:textId="41D78AC3" w:rsidR="00E22739" w:rsidRPr="00781112" w:rsidDel="00DE5045" w:rsidRDefault="00E22739" w:rsidP="00E22739">
            <w:pPr>
              <w:jc w:val="center"/>
              <w:rPr>
                <w:rFonts w:cs="Arial"/>
                <w:color w:val="000000" w:themeColor="text1"/>
                <w:szCs w:val="16"/>
              </w:rPr>
            </w:pPr>
            <w:r w:rsidRPr="00781112">
              <w:rPr>
                <w:rFonts w:cs="Arial"/>
                <w:color w:val="000000" w:themeColor="text1"/>
                <w:szCs w:val="16"/>
              </w:rPr>
              <w:t>Grade 4</w:t>
            </w:r>
          </w:p>
        </w:tc>
        <w:tc>
          <w:tcPr>
            <w:tcW w:w="812" w:type="pct"/>
            <w:shd w:val="clear" w:color="auto" w:fill="auto"/>
          </w:tcPr>
          <w:p w14:paraId="05BCB412" w14:textId="0263BB70" w:rsidR="00E22739" w:rsidRPr="00781112" w:rsidRDefault="00E22739" w:rsidP="00E22739">
            <w:pPr>
              <w:jc w:val="center"/>
              <w:rPr>
                <w:rFonts w:cs="Arial"/>
                <w:color w:val="000000" w:themeColor="text1"/>
                <w:szCs w:val="16"/>
              </w:rPr>
            </w:pPr>
            <w:r w:rsidRPr="00781112">
              <w:rPr>
                <w:rFonts w:cs="Arial"/>
                <w:color w:val="000000"/>
                <w:szCs w:val="16"/>
              </w:rPr>
              <w:t>10.85%</w:t>
            </w:r>
          </w:p>
        </w:tc>
        <w:tc>
          <w:tcPr>
            <w:tcW w:w="812" w:type="pct"/>
            <w:shd w:val="clear" w:color="auto" w:fill="auto"/>
            <w:vAlign w:val="center"/>
          </w:tcPr>
          <w:p w14:paraId="3354BCD4" w14:textId="5A7FC816" w:rsidR="00E22739" w:rsidRPr="00781112" w:rsidRDefault="00E22739" w:rsidP="00E22739">
            <w:pPr>
              <w:jc w:val="center"/>
              <w:rPr>
                <w:rFonts w:cs="Arial"/>
                <w:color w:val="000000" w:themeColor="text1"/>
                <w:szCs w:val="16"/>
              </w:rPr>
            </w:pPr>
            <w:r w:rsidRPr="00781112">
              <w:rPr>
                <w:rFonts w:cs="Arial"/>
                <w:color w:val="000000" w:themeColor="text1"/>
                <w:szCs w:val="16"/>
              </w:rPr>
              <w:t>43.16%</w:t>
            </w:r>
          </w:p>
        </w:tc>
        <w:tc>
          <w:tcPr>
            <w:tcW w:w="516" w:type="pct"/>
            <w:shd w:val="clear" w:color="auto" w:fill="auto"/>
            <w:vAlign w:val="center"/>
          </w:tcPr>
          <w:p w14:paraId="54DCE3E3" w14:textId="767528A8" w:rsidR="00E22739" w:rsidRPr="00781112" w:rsidRDefault="00E22739" w:rsidP="00E22739">
            <w:pPr>
              <w:jc w:val="center"/>
              <w:rPr>
                <w:rFonts w:cs="Arial"/>
                <w:color w:val="000000" w:themeColor="text1"/>
                <w:szCs w:val="16"/>
              </w:rPr>
            </w:pPr>
            <w:r w:rsidRPr="00781112">
              <w:rPr>
                <w:rFonts w:cs="Arial"/>
                <w:color w:val="000000" w:themeColor="text1"/>
                <w:szCs w:val="16"/>
              </w:rPr>
              <w:t>32.25</w:t>
            </w:r>
          </w:p>
        </w:tc>
        <w:tc>
          <w:tcPr>
            <w:tcW w:w="517" w:type="pct"/>
            <w:shd w:val="clear" w:color="auto" w:fill="auto"/>
            <w:vAlign w:val="center"/>
          </w:tcPr>
          <w:p w14:paraId="391F5142" w14:textId="770A7FE0" w:rsidR="00E22739" w:rsidRPr="00781112" w:rsidRDefault="00E22739" w:rsidP="00E22739">
            <w:pPr>
              <w:jc w:val="center"/>
              <w:rPr>
                <w:rFonts w:cs="Arial"/>
                <w:color w:val="000000" w:themeColor="text1"/>
                <w:szCs w:val="16"/>
              </w:rPr>
            </w:pPr>
            <w:r w:rsidRPr="00781112">
              <w:rPr>
                <w:rFonts w:cs="Arial"/>
                <w:color w:val="000000" w:themeColor="text1"/>
                <w:szCs w:val="16"/>
              </w:rPr>
              <w:t>37.11</w:t>
            </w:r>
          </w:p>
        </w:tc>
        <w:tc>
          <w:tcPr>
            <w:tcW w:w="517" w:type="pct"/>
            <w:shd w:val="clear" w:color="auto" w:fill="auto"/>
            <w:vAlign w:val="center"/>
          </w:tcPr>
          <w:p w14:paraId="017D29FF" w14:textId="59A06573" w:rsidR="00E22739" w:rsidRPr="00781112" w:rsidRDefault="00E22739" w:rsidP="00E22739">
            <w:pPr>
              <w:jc w:val="center"/>
              <w:rPr>
                <w:rFonts w:cs="Arial"/>
                <w:color w:val="000000" w:themeColor="text1"/>
                <w:szCs w:val="16"/>
              </w:rPr>
            </w:pPr>
            <w:r w:rsidRPr="00781112">
              <w:rPr>
                <w:rFonts w:cs="Arial"/>
                <w:color w:val="000000" w:themeColor="text1"/>
                <w:szCs w:val="16"/>
              </w:rPr>
              <w:t>32.31</w:t>
            </w:r>
          </w:p>
        </w:tc>
        <w:tc>
          <w:tcPr>
            <w:tcW w:w="517" w:type="pct"/>
            <w:shd w:val="clear" w:color="auto" w:fill="auto"/>
            <w:vAlign w:val="center"/>
          </w:tcPr>
          <w:p w14:paraId="39C0C705" w14:textId="1211FD2B" w:rsidR="00E22739" w:rsidRPr="00781112" w:rsidRDefault="00E22739" w:rsidP="00E22739">
            <w:pPr>
              <w:jc w:val="center"/>
              <w:rPr>
                <w:rFonts w:cs="Arial"/>
                <w:color w:val="000000" w:themeColor="text1"/>
                <w:szCs w:val="16"/>
              </w:rPr>
            </w:pPr>
            <w:r w:rsidRPr="00781112">
              <w:rPr>
                <w:rFonts w:cs="Arial"/>
                <w:color w:val="000000" w:themeColor="text1"/>
                <w:szCs w:val="16"/>
              </w:rPr>
              <w:t>Met target</w:t>
            </w:r>
          </w:p>
        </w:tc>
        <w:tc>
          <w:tcPr>
            <w:tcW w:w="516" w:type="pct"/>
            <w:shd w:val="clear" w:color="auto" w:fill="auto"/>
            <w:vAlign w:val="center"/>
          </w:tcPr>
          <w:p w14:paraId="339FEB2D" w14:textId="0223F580" w:rsidR="00E22739" w:rsidRPr="00781112" w:rsidRDefault="00E22739" w:rsidP="00E22739">
            <w:pPr>
              <w:jc w:val="center"/>
              <w:rPr>
                <w:rFonts w:cs="Arial"/>
                <w:color w:val="000000" w:themeColor="text1"/>
                <w:szCs w:val="16"/>
              </w:rPr>
            </w:pPr>
            <w:r w:rsidRPr="00781112">
              <w:rPr>
                <w:rFonts w:cs="Arial"/>
                <w:color w:val="000000" w:themeColor="text1"/>
                <w:szCs w:val="16"/>
              </w:rPr>
              <w:t>No Slippage</w:t>
            </w:r>
          </w:p>
        </w:tc>
      </w:tr>
      <w:tr w:rsidR="00E22739" w:rsidRPr="00781112" w14:paraId="4FDDF1FC" w14:textId="77777777" w:rsidTr="00360DD6">
        <w:tc>
          <w:tcPr>
            <w:tcW w:w="331" w:type="pct"/>
            <w:shd w:val="clear" w:color="auto" w:fill="auto"/>
            <w:vAlign w:val="center"/>
          </w:tcPr>
          <w:p w14:paraId="472CE57B" w14:textId="77777777" w:rsidR="00E22739" w:rsidRPr="00781112" w:rsidRDefault="00E22739" w:rsidP="00E22739">
            <w:pPr>
              <w:pStyle w:val="Default"/>
              <w:jc w:val="center"/>
              <w:rPr>
                <w:rFonts w:eastAsiaTheme="minorHAnsi"/>
                <w:color w:val="000000" w:themeColor="text1"/>
                <w:sz w:val="16"/>
                <w:szCs w:val="16"/>
              </w:rPr>
            </w:pPr>
            <w:r w:rsidRPr="00781112">
              <w:rPr>
                <w:b/>
                <w:color w:val="000000" w:themeColor="text1"/>
                <w:sz w:val="16"/>
                <w:szCs w:val="16"/>
              </w:rPr>
              <w:t>B</w:t>
            </w:r>
          </w:p>
        </w:tc>
        <w:tc>
          <w:tcPr>
            <w:tcW w:w="461" w:type="pct"/>
            <w:shd w:val="clear" w:color="auto" w:fill="auto"/>
            <w:vAlign w:val="center"/>
          </w:tcPr>
          <w:p w14:paraId="206C7DCC" w14:textId="37A252FA" w:rsidR="00E22739" w:rsidRPr="00781112" w:rsidDel="00DE5045" w:rsidRDefault="00E22739" w:rsidP="00E22739">
            <w:pPr>
              <w:jc w:val="center"/>
              <w:rPr>
                <w:rFonts w:cs="Arial"/>
                <w:color w:val="000000" w:themeColor="text1"/>
                <w:szCs w:val="16"/>
              </w:rPr>
            </w:pPr>
            <w:r w:rsidRPr="00781112">
              <w:rPr>
                <w:rFonts w:cs="Arial"/>
                <w:color w:val="000000" w:themeColor="text1"/>
                <w:szCs w:val="16"/>
              </w:rPr>
              <w:t>Grade 8</w:t>
            </w:r>
          </w:p>
        </w:tc>
        <w:tc>
          <w:tcPr>
            <w:tcW w:w="812" w:type="pct"/>
            <w:shd w:val="clear" w:color="auto" w:fill="auto"/>
          </w:tcPr>
          <w:p w14:paraId="7D22B3FA" w14:textId="258C0B1D" w:rsidR="00E22739" w:rsidRPr="00781112" w:rsidRDefault="00E22739" w:rsidP="00E22739">
            <w:pPr>
              <w:jc w:val="center"/>
              <w:rPr>
                <w:rFonts w:cs="Arial"/>
                <w:color w:val="000000" w:themeColor="text1"/>
                <w:szCs w:val="16"/>
              </w:rPr>
            </w:pPr>
            <w:r w:rsidRPr="00781112">
              <w:rPr>
                <w:rFonts w:cs="Arial"/>
                <w:color w:val="000000"/>
                <w:szCs w:val="16"/>
              </w:rPr>
              <w:t>7.08%</w:t>
            </w:r>
          </w:p>
        </w:tc>
        <w:tc>
          <w:tcPr>
            <w:tcW w:w="812" w:type="pct"/>
            <w:shd w:val="clear" w:color="auto" w:fill="auto"/>
            <w:vAlign w:val="center"/>
          </w:tcPr>
          <w:p w14:paraId="375F78DA" w14:textId="0FC6397A" w:rsidR="00E22739" w:rsidRPr="00781112" w:rsidRDefault="00E22739" w:rsidP="00E22739">
            <w:pPr>
              <w:jc w:val="center"/>
              <w:rPr>
                <w:rFonts w:cs="Arial"/>
                <w:color w:val="000000" w:themeColor="text1"/>
                <w:szCs w:val="16"/>
              </w:rPr>
            </w:pPr>
            <w:r w:rsidRPr="00781112">
              <w:rPr>
                <w:rFonts w:cs="Arial"/>
                <w:color w:val="000000" w:themeColor="text1"/>
                <w:szCs w:val="16"/>
              </w:rPr>
              <w:t>42.38%</w:t>
            </w:r>
          </w:p>
        </w:tc>
        <w:tc>
          <w:tcPr>
            <w:tcW w:w="516" w:type="pct"/>
            <w:shd w:val="clear" w:color="auto" w:fill="auto"/>
            <w:vAlign w:val="center"/>
          </w:tcPr>
          <w:p w14:paraId="64AC26EC" w14:textId="4F9A3CF6" w:rsidR="00E22739" w:rsidRPr="00781112" w:rsidRDefault="00E22739" w:rsidP="00E22739">
            <w:pPr>
              <w:jc w:val="center"/>
              <w:rPr>
                <w:rFonts w:cs="Arial"/>
                <w:color w:val="000000" w:themeColor="text1"/>
                <w:szCs w:val="16"/>
              </w:rPr>
            </w:pPr>
            <w:r w:rsidRPr="00781112">
              <w:rPr>
                <w:rFonts w:cs="Arial"/>
                <w:color w:val="000000" w:themeColor="text1"/>
                <w:szCs w:val="16"/>
              </w:rPr>
              <w:t>36.72</w:t>
            </w:r>
          </w:p>
        </w:tc>
        <w:tc>
          <w:tcPr>
            <w:tcW w:w="517" w:type="pct"/>
            <w:shd w:val="clear" w:color="auto" w:fill="auto"/>
            <w:vAlign w:val="center"/>
          </w:tcPr>
          <w:p w14:paraId="3B5E22DF" w14:textId="033CD131" w:rsidR="00E22739" w:rsidRPr="00781112" w:rsidRDefault="00E22739" w:rsidP="00E22739">
            <w:pPr>
              <w:jc w:val="center"/>
              <w:rPr>
                <w:rFonts w:cs="Arial"/>
                <w:color w:val="000000" w:themeColor="text1"/>
                <w:szCs w:val="16"/>
              </w:rPr>
            </w:pPr>
            <w:r w:rsidRPr="00781112">
              <w:rPr>
                <w:rFonts w:cs="Arial"/>
                <w:color w:val="000000" w:themeColor="text1"/>
                <w:szCs w:val="16"/>
              </w:rPr>
              <w:t>39.74</w:t>
            </w:r>
          </w:p>
        </w:tc>
        <w:tc>
          <w:tcPr>
            <w:tcW w:w="517" w:type="pct"/>
            <w:shd w:val="clear" w:color="auto" w:fill="auto"/>
            <w:vAlign w:val="center"/>
          </w:tcPr>
          <w:p w14:paraId="256C9782" w14:textId="4BEEC361" w:rsidR="00E22739" w:rsidRPr="00781112" w:rsidRDefault="00E22739" w:rsidP="00E22739">
            <w:pPr>
              <w:jc w:val="center"/>
              <w:rPr>
                <w:rFonts w:cs="Arial"/>
                <w:color w:val="000000" w:themeColor="text1"/>
                <w:szCs w:val="16"/>
              </w:rPr>
            </w:pPr>
            <w:r w:rsidRPr="00781112">
              <w:rPr>
                <w:rFonts w:cs="Arial"/>
                <w:color w:val="000000" w:themeColor="text1"/>
                <w:szCs w:val="16"/>
              </w:rPr>
              <w:t>35.30</w:t>
            </w:r>
          </w:p>
        </w:tc>
        <w:tc>
          <w:tcPr>
            <w:tcW w:w="517" w:type="pct"/>
            <w:shd w:val="clear" w:color="auto" w:fill="auto"/>
            <w:vAlign w:val="center"/>
          </w:tcPr>
          <w:p w14:paraId="51FD2F8A" w14:textId="67567519" w:rsidR="00E22739" w:rsidRPr="00781112" w:rsidRDefault="00E22739" w:rsidP="00E22739">
            <w:pPr>
              <w:jc w:val="center"/>
              <w:rPr>
                <w:rFonts w:cs="Arial"/>
                <w:color w:val="000000" w:themeColor="text1"/>
                <w:szCs w:val="16"/>
              </w:rPr>
            </w:pPr>
            <w:r w:rsidRPr="00781112">
              <w:rPr>
                <w:rFonts w:cs="Arial"/>
                <w:color w:val="000000" w:themeColor="text1"/>
                <w:szCs w:val="16"/>
              </w:rPr>
              <w:t>Met target</w:t>
            </w:r>
          </w:p>
        </w:tc>
        <w:tc>
          <w:tcPr>
            <w:tcW w:w="516" w:type="pct"/>
            <w:shd w:val="clear" w:color="auto" w:fill="auto"/>
            <w:vAlign w:val="center"/>
          </w:tcPr>
          <w:p w14:paraId="7915AEC0" w14:textId="2BE183B0" w:rsidR="00E22739" w:rsidRPr="00781112" w:rsidRDefault="00E22739" w:rsidP="00E22739">
            <w:pPr>
              <w:jc w:val="center"/>
              <w:rPr>
                <w:rFonts w:cs="Arial"/>
                <w:color w:val="000000" w:themeColor="text1"/>
                <w:szCs w:val="16"/>
              </w:rPr>
            </w:pPr>
            <w:r w:rsidRPr="00781112">
              <w:rPr>
                <w:rFonts w:cs="Arial"/>
                <w:color w:val="000000" w:themeColor="text1"/>
                <w:szCs w:val="16"/>
              </w:rPr>
              <w:t>No Slippage</w:t>
            </w:r>
          </w:p>
        </w:tc>
      </w:tr>
      <w:tr w:rsidR="00E22739" w:rsidRPr="00781112" w14:paraId="4A60F932" w14:textId="77777777" w:rsidTr="00360DD6">
        <w:tc>
          <w:tcPr>
            <w:tcW w:w="331" w:type="pct"/>
            <w:shd w:val="clear" w:color="auto" w:fill="auto"/>
            <w:vAlign w:val="center"/>
          </w:tcPr>
          <w:p w14:paraId="109942AA" w14:textId="77777777" w:rsidR="00E22739" w:rsidRPr="00781112" w:rsidRDefault="00E22739" w:rsidP="00E22739">
            <w:pPr>
              <w:pStyle w:val="Default"/>
              <w:jc w:val="center"/>
              <w:rPr>
                <w:rFonts w:eastAsiaTheme="minorHAnsi"/>
                <w:color w:val="000000" w:themeColor="text1"/>
                <w:sz w:val="16"/>
                <w:szCs w:val="16"/>
              </w:rPr>
            </w:pPr>
            <w:r w:rsidRPr="00781112">
              <w:rPr>
                <w:b/>
                <w:color w:val="000000" w:themeColor="text1"/>
                <w:sz w:val="16"/>
                <w:szCs w:val="16"/>
              </w:rPr>
              <w:t>C</w:t>
            </w:r>
          </w:p>
        </w:tc>
        <w:tc>
          <w:tcPr>
            <w:tcW w:w="461" w:type="pct"/>
            <w:shd w:val="clear" w:color="auto" w:fill="auto"/>
            <w:vAlign w:val="center"/>
          </w:tcPr>
          <w:p w14:paraId="629F3FBC" w14:textId="78934061" w:rsidR="00E22739" w:rsidRPr="00781112" w:rsidDel="00DE5045" w:rsidRDefault="00E22739" w:rsidP="00E22739">
            <w:pPr>
              <w:jc w:val="center"/>
              <w:rPr>
                <w:rFonts w:cs="Arial"/>
                <w:color w:val="000000" w:themeColor="text1"/>
                <w:szCs w:val="16"/>
              </w:rPr>
            </w:pPr>
            <w:r w:rsidRPr="00781112">
              <w:rPr>
                <w:rFonts w:cs="Arial"/>
                <w:color w:val="000000" w:themeColor="text1"/>
                <w:szCs w:val="16"/>
              </w:rPr>
              <w:t>Grade HS</w:t>
            </w:r>
          </w:p>
        </w:tc>
        <w:tc>
          <w:tcPr>
            <w:tcW w:w="812" w:type="pct"/>
            <w:shd w:val="clear" w:color="auto" w:fill="auto"/>
          </w:tcPr>
          <w:p w14:paraId="125CF02F" w14:textId="284CB419" w:rsidR="00E22739" w:rsidRPr="00781112" w:rsidRDefault="00E22739" w:rsidP="00E22739">
            <w:pPr>
              <w:jc w:val="center"/>
              <w:rPr>
                <w:rFonts w:cs="Arial"/>
                <w:color w:val="000000" w:themeColor="text1"/>
                <w:szCs w:val="16"/>
              </w:rPr>
            </w:pPr>
            <w:r w:rsidRPr="00781112">
              <w:rPr>
                <w:rFonts w:cs="Arial"/>
                <w:color w:val="000000"/>
                <w:szCs w:val="16"/>
              </w:rPr>
              <w:t>17.39%</w:t>
            </w:r>
          </w:p>
        </w:tc>
        <w:tc>
          <w:tcPr>
            <w:tcW w:w="812" w:type="pct"/>
            <w:shd w:val="clear" w:color="auto" w:fill="auto"/>
            <w:vAlign w:val="center"/>
          </w:tcPr>
          <w:p w14:paraId="1276E93C" w14:textId="75BFB41B" w:rsidR="00E22739" w:rsidRPr="00781112" w:rsidRDefault="00E22739" w:rsidP="00E22739">
            <w:pPr>
              <w:jc w:val="center"/>
              <w:rPr>
                <w:rFonts w:cs="Arial"/>
                <w:color w:val="000000" w:themeColor="text1"/>
                <w:szCs w:val="16"/>
              </w:rPr>
            </w:pPr>
            <w:r w:rsidRPr="00781112">
              <w:rPr>
                <w:rFonts w:cs="Arial"/>
                <w:color w:val="000000" w:themeColor="text1"/>
                <w:szCs w:val="16"/>
              </w:rPr>
              <w:t>58.94%</w:t>
            </w:r>
          </w:p>
        </w:tc>
        <w:tc>
          <w:tcPr>
            <w:tcW w:w="516" w:type="pct"/>
            <w:shd w:val="clear" w:color="auto" w:fill="auto"/>
            <w:vAlign w:val="center"/>
          </w:tcPr>
          <w:p w14:paraId="76DE5213" w14:textId="3C97B5A2" w:rsidR="00E22739" w:rsidRPr="00781112" w:rsidRDefault="00E22739" w:rsidP="00E22739">
            <w:pPr>
              <w:jc w:val="center"/>
              <w:rPr>
                <w:rFonts w:cs="Arial"/>
                <w:color w:val="000000" w:themeColor="text1"/>
                <w:szCs w:val="16"/>
              </w:rPr>
            </w:pPr>
            <w:r w:rsidRPr="00781112">
              <w:rPr>
                <w:rFonts w:cs="Arial"/>
                <w:color w:val="000000" w:themeColor="text1"/>
                <w:szCs w:val="16"/>
              </w:rPr>
              <w:t>40.88</w:t>
            </w:r>
          </w:p>
        </w:tc>
        <w:tc>
          <w:tcPr>
            <w:tcW w:w="517" w:type="pct"/>
            <w:shd w:val="clear" w:color="auto" w:fill="auto"/>
            <w:vAlign w:val="center"/>
          </w:tcPr>
          <w:p w14:paraId="49FF9458" w14:textId="166D5425" w:rsidR="00E22739" w:rsidRPr="00781112" w:rsidRDefault="00E22739" w:rsidP="00E22739">
            <w:pPr>
              <w:jc w:val="center"/>
              <w:rPr>
                <w:rFonts w:cs="Arial"/>
                <w:color w:val="000000" w:themeColor="text1"/>
                <w:szCs w:val="16"/>
              </w:rPr>
            </w:pPr>
            <w:r w:rsidRPr="00781112">
              <w:rPr>
                <w:rFonts w:cs="Arial"/>
                <w:color w:val="000000" w:themeColor="text1"/>
                <w:szCs w:val="16"/>
              </w:rPr>
              <w:t>42.30</w:t>
            </w:r>
          </w:p>
        </w:tc>
        <w:tc>
          <w:tcPr>
            <w:tcW w:w="517" w:type="pct"/>
            <w:shd w:val="clear" w:color="auto" w:fill="auto"/>
            <w:vAlign w:val="center"/>
          </w:tcPr>
          <w:p w14:paraId="6CEACE1B" w14:textId="242A6B31" w:rsidR="00E22739" w:rsidRPr="00781112" w:rsidRDefault="00E22739" w:rsidP="00E22739">
            <w:pPr>
              <w:jc w:val="center"/>
              <w:rPr>
                <w:rFonts w:cs="Arial"/>
                <w:color w:val="000000" w:themeColor="text1"/>
                <w:szCs w:val="16"/>
              </w:rPr>
            </w:pPr>
            <w:r w:rsidRPr="00781112">
              <w:rPr>
                <w:rFonts w:cs="Arial"/>
                <w:color w:val="000000" w:themeColor="text1"/>
                <w:szCs w:val="16"/>
              </w:rPr>
              <w:t>41.54</w:t>
            </w:r>
          </w:p>
        </w:tc>
        <w:tc>
          <w:tcPr>
            <w:tcW w:w="517" w:type="pct"/>
            <w:shd w:val="clear" w:color="auto" w:fill="auto"/>
            <w:vAlign w:val="center"/>
          </w:tcPr>
          <w:p w14:paraId="06F1CF5C" w14:textId="7AA9C548" w:rsidR="00E22739" w:rsidRPr="00781112" w:rsidRDefault="00E22739" w:rsidP="00E22739">
            <w:pPr>
              <w:jc w:val="center"/>
              <w:rPr>
                <w:rFonts w:cs="Arial"/>
                <w:color w:val="000000" w:themeColor="text1"/>
                <w:szCs w:val="16"/>
              </w:rPr>
            </w:pPr>
            <w:r w:rsidRPr="00781112">
              <w:rPr>
                <w:rFonts w:cs="Arial"/>
                <w:color w:val="000000" w:themeColor="text1"/>
                <w:szCs w:val="16"/>
              </w:rPr>
              <w:t>Met target</w:t>
            </w:r>
          </w:p>
        </w:tc>
        <w:tc>
          <w:tcPr>
            <w:tcW w:w="516" w:type="pct"/>
            <w:shd w:val="clear" w:color="auto" w:fill="auto"/>
            <w:vAlign w:val="center"/>
          </w:tcPr>
          <w:p w14:paraId="05AC9F1E" w14:textId="1D3DD5BD" w:rsidR="00E22739" w:rsidRPr="00781112" w:rsidRDefault="00E22739" w:rsidP="00E22739">
            <w:pPr>
              <w:jc w:val="center"/>
              <w:rPr>
                <w:rFonts w:cs="Arial"/>
                <w:color w:val="000000" w:themeColor="text1"/>
                <w:szCs w:val="16"/>
              </w:rPr>
            </w:pPr>
            <w:r w:rsidRPr="00781112">
              <w:rPr>
                <w:rFonts w:cs="Arial"/>
                <w:color w:val="000000" w:themeColor="text1"/>
                <w:szCs w:val="16"/>
              </w:rPr>
              <w:t>No Slippage</w:t>
            </w:r>
          </w:p>
        </w:tc>
      </w:tr>
    </w:tbl>
    <w:p w14:paraId="006E999D" w14:textId="77777777" w:rsidR="00DD5B7A" w:rsidRPr="00781112" w:rsidRDefault="00DD5B7A" w:rsidP="00DD5B7A">
      <w:pPr>
        <w:spacing w:before="0" w:after="200" w:line="276" w:lineRule="auto"/>
        <w:rPr>
          <w:b/>
          <w:color w:val="000000" w:themeColor="text1"/>
        </w:rPr>
      </w:pPr>
    </w:p>
    <w:p w14:paraId="2E07CCBD" w14:textId="23A41B02" w:rsidR="00DD5B7A" w:rsidRPr="00781112" w:rsidRDefault="0047313F" w:rsidP="00DD5B7A">
      <w:pPr>
        <w:rPr>
          <w:b/>
          <w:color w:val="000000" w:themeColor="text1"/>
        </w:rPr>
      </w:pPr>
      <w:r>
        <w:rPr>
          <w:b/>
          <w:color w:val="000000" w:themeColor="text1"/>
        </w:rPr>
        <w:t>FFY 2022 SPP/APR Data: Math Assessment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B03DFFYAPDATAMTH"/>
      </w:tblPr>
      <w:tblGrid>
        <w:gridCol w:w="715"/>
        <w:gridCol w:w="995"/>
        <w:gridCol w:w="1800"/>
        <w:gridCol w:w="1800"/>
        <w:gridCol w:w="1096"/>
        <w:gridCol w:w="1096"/>
        <w:gridCol w:w="1096"/>
        <w:gridCol w:w="1096"/>
        <w:gridCol w:w="1096"/>
      </w:tblGrid>
      <w:tr w:rsidR="00FA33C9" w:rsidRPr="00781112" w14:paraId="6355AB57" w14:textId="77777777" w:rsidTr="001B7E95">
        <w:trPr>
          <w:tblHeader/>
        </w:trPr>
        <w:tc>
          <w:tcPr>
            <w:tcW w:w="331" w:type="pct"/>
            <w:shd w:val="clear" w:color="auto" w:fill="auto"/>
            <w:vAlign w:val="bottom"/>
          </w:tcPr>
          <w:p w14:paraId="7C464B0B" w14:textId="77777777" w:rsidR="00FA33C9" w:rsidRPr="00781112" w:rsidRDefault="00FA33C9" w:rsidP="00FA33C9">
            <w:pPr>
              <w:jc w:val="center"/>
              <w:rPr>
                <w:b/>
                <w:color w:val="000000" w:themeColor="text1"/>
              </w:rPr>
            </w:pPr>
            <w:r w:rsidRPr="00781112">
              <w:rPr>
                <w:b/>
                <w:color w:val="000000" w:themeColor="text1"/>
              </w:rPr>
              <w:t>Group</w:t>
            </w:r>
          </w:p>
        </w:tc>
        <w:tc>
          <w:tcPr>
            <w:tcW w:w="461" w:type="pct"/>
            <w:shd w:val="clear" w:color="auto" w:fill="auto"/>
            <w:vAlign w:val="bottom"/>
          </w:tcPr>
          <w:p w14:paraId="2FB9EF47" w14:textId="77777777" w:rsidR="00FA33C9" w:rsidRPr="00781112" w:rsidRDefault="00FA33C9" w:rsidP="00FA33C9">
            <w:pPr>
              <w:jc w:val="center"/>
              <w:rPr>
                <w:b/>
                <w:color w:val="000000" w:themeColor="text1"/>
              </w:rPr>
            </w:pPr>
            <w:r w:rsidRPr="00781112">
              <w:rPr>
                <w:b/>
                <w:color w:val="000000" w:themeColor="text1"/>
              </w:rPr>
              <w:t>Group Name</w:t>
            </w:r>
          </w:p>
        </w:tc>
        <w:tc>
          <w:tcPr>
            <w:tcW w:w="834" w:type="pct"/>
            <w:shd w:val="clear" w:color="auto" w:fill="auto"/>
            <w:vAlign w:val="bottom"/>
          </w:tcPr>
          <w:p w14:paraId="0B1D45D9" w14:textId="51C28093" w:rsidR="00FA33C9" w:rsidRPr="00781112" w:rsidRDefault="00FA33C9" w:rsidP="00FA33C9">
            <w:pPr>
              <w:jc w:val="center"/>
              <w:rPr>
                <w:b/>
                <w:bCs/>
                <w:color w:val="000000" w:themeColor="text1"/>
              </w:rPr>
            </w:pPr>
            <w:r w:rsidRPr="00781112">
              <w:rPr>
                <w:b/>
                <w:bCs/>
              </w:rPr>
              <w:t xml:space="preserve">Proficiency rate for children with IEPs scoring at or above proficient against grade level academic achievement standards </w:t>
            </w:r>
          </w:p>
        </w:tc>
        <w:tc>
          <w:tcPr>
            <w:tcW w:w="834" w:type="pct"/>
            <w:shd w:val="clear" w:color="auto" w:fill="auto"/>
            <w:vAlign w:val="bottom"/>
          </w:tcPr>
          <w:p w14:paraId="7D0D3B25" w14:textId="708C001A" w:rsidR="00FA33C9" w:rsidRPr="00781112" w:rsidRDefault="00FA33C9" w:rsidP="00FA33C9">
            <w:pPr>
              <w:jc w:val="center"/>
              <w:rPr>
                <w:b/>
                <w:bCs/>
                <w:color w:val="000000" w:themeColor="text1"/>
              </w:rPr>
            </w:pPr>
            <w:r w:rsidRPr="00781112">
              <w:rPr>
                <w:b/>
                <w:bCs/>
              </w:rPr>
              <w:t xml:space="preserve">Proficiency rate for all students scoring at or above proficient against grade level academic achievement standards </w:t>
            </w:r>
          </w:p>
        </w:tc>
        <w:tc>
          <w:tcPr>
            <w:tcW w:w="508" w:type="pct"/>
            <w:shd w:val="clear" w:color="auto" w:fill="auto"/>
            <w:vAlign w:val="bottom"/>
          </w:tcPr>
          <w:p w14:paraId="7FA2E5CF" w14:textId="69ACD651" w:rsidR="00FA33C9" w:rsidRPr="00073BD7" w:rsidRDefault="00FA33C9" w:rsidP="00FA33C9">
            <w:pPr>
              <w:jc w:val="center"/>
              <w:rPr>
                <w:b/>
                <w:bCs/>
                <w:color w:val="000000" w:themeColor="text1"/>
              </w:rPr>
            </w:pPr>
            <w:r w:rsidRPr="00073BD7">
              <w:rPr>
                <w:b/>
                <w:bCs/>
              </w:rPr>
              <w:t>FFY 2021 Data</w:t>
            </w:r>
          </w:p>
        </w:tc>
        <w:tc>
          <w:tcPr>
            <w:tcW w:w="508" w:type="pct"/>
            <w:shd w:val="clear" w:color="auto" w:fill="auto"/>
            <w:vAlign w:val="bottom"/>
          </w:tcPr>
          <w:p w14:paraId="275741A5" w14:textId="26A6E347" w:rsidR="00FA33C9" w:rsidRPr="00073BD7" w:rsidRDefault="00FA33C9" w:rsidP="00FA33C9">
            <w:pPr>
              <w:jc w:val="center"/>
              <w:rPr>
                <w:b/>
                <w:bCs/>
                <w:color w:val="000000" w:themeColor="text1"/>
              </w:rPr>
            </w:pPr>
            <w:r w:rsidRPr="00073BD7">
              <w:rPr>
                <w:b/>
                <w:bCs/>
              </w:rPr>
              <w:t>FFY 2022 Target</w:t>
            </w:r>
          </w:p>
        </w:tc>
        <w:tc>
          <w:tcPr>
            <w:tcW w:w="508" w:type="pct"/>
            <w:shd w:val="clear" w:color="auto" w:fill="auto"/>
            <w:vAlign w:val="bottom"/>
          </w:tcPr>
          <w:p w14:paraId="597E0BC4" w14:textId="6B69EC50" w:rsidR="00FA33C9" w:rsidRPr="00073BD7" w:rsidRDefault="00FA33C9" w:rsidP="00FA33C9">
            <w:pPr>
              <w:jc w:val="center"/>
              <w:rPr>
                <w:b/>
                <w:bCs/>
                <w:color w:val="000000" w:themeColor="text1"/>
              </w:rPr>
            </w:pPr>
            <w:r w:rsidRPr="00073BD7">
              <w:rPr>
                <w:b/>
                <w:bCs/>
              </w:rPr>
              <w:t>FFY 2022 Data</w:t>
            </w:r>
          </w:p>
        </w:tc>
        <w:tc>
          <w:tcPr>
            <w:tcW w:w="508" w:type="pct"/>
            <w:shd w:val="clear" w:color="auto" w:fill="auto"/>
            <w:vAlign w:val="bottom"/>
          </w:tcPr>
          <w:p w14:paraId="53963A37" w14:textId="77777777" w:rsidR="00FA33C9" w:rsidRPr="00781112" w:rsidRDefault="00FA33C9" w:rsidP="00FA33C9">
            <w:pPr>
              <w:jc w:val="center"/>
              <w:rPr>
                <w:b/>
                <w:color w:val="000000" w:themeColor="text1"/>
              </w:rPr>
            </w:pPr>
            <w:r w:rsidRPr="00781112">
              <w:rPr>
                <w:b/>
                <w:color w:val="000000" w:themeColor="text1"/>
              </w:rPr>
              <w:t>Status</w:t>
            </w:r>
          </w:p>
        </w:tc>
        <w:tc>
          <w:tcPr>
            <w:tcW w:w="508" w:type="pct"/>
            <w:shd w:val="clear" w:color="auto" w:fill="auto"/>
            <w:vAlign w:val="bottom"/>
          </w:tcPr>
          <w:p w14:paraId="45442BEB" w14:textId="77777777" w:rsidR="00FA33C9" w:rsidRPr="00781112" w:rsidRDefault="00FA33C9" w:rsidP="00FA33C9">
            <w:pPr>
              <w:jc w:val="center"/>
              <w:rPr>
                <w:b/>
                <w:color w:val="000000" w:themeColor="text1"/>
              </w:rPr>
            </w:pPr>
            <w:r w:rsidRPr="00781112">
              <w:rPr>
                <w:b/>
                <w:color w:val="000000" w:themeColor="text1"/>
              </w:rPr>
              <w:t>Slippage</w:t>
            </w:r>
          </w:p>
        </w:tc>
      </w:tr>
      <w:tr w:rsidR="00C95D2E" w:rsidRPr="00781112" w14:paraId="37123996" w14:textId="77777777" w:rsidTr="001B7E95">
        <w:tc>
          <w:tcPr>
            <w:tcW w:w="331" w:type="pct"/>
            <w:shd w:val="clear" w:color="auto" w:fill="auto"/>
            <w:vAlign w:val="center"/>
          </w:tcPr>
          <w:p w14:paraId="689B01B1" w14:textId="77777777" w:rsidR="002A19C8" w:rsidRPr="00781112" w:rsidRDefault="002A19C8" w:rsidP="002A19C8">
            <w:pPr>
              <w:pStyle w:val="Default"/>
              <w:jc w:val="center"/>
              <w:rPr>
                <w:rFonts w:eastAsiaTheme="minorHAnsi"/>
                <w:color w:val="000000" w:themeColor="text1"/>
                <w:sz w:val="16"/>
                <w:szCs w:val="16"/>
              </w:rPr>
            </w:pPr>
            <w:r w:rsidRPr="00781112">
              <w:rPr>
                <w:b/>
                <w:color w:val="000000" w:themeColor="text1"/>
                <w:sz w:val="16"/>
                <w:szCs w:val="16"/>
              </w:rPr>
              <w:t>A</w:t>
            </w:r>
          </w:p>
        </w:tc>
        <w:tc>
          <w:tcPr>
            <w:tcW w:w="461" w:type="pct"/>
            <w:shd w:val="clear" w:color="auto" w:fill="auto"/>
            <w:vAlign w:val="center"/>
          </w:tcPr>
          <w:p w14:paraId="1D9CE262" w14:textId="508A4023" w:rsidR="002A19C8" w:rsidRPr="00781112" w:rsidDel="00DE5045" w:rsidRDefault="002A19C8" w:rsidP="002A19C8">
            <w:pPr>
              <w:jc w:val="center"/>
              <w:rPr>
                <w:rFonts w:cs="Arial"/>
                <w:color w:val="000000" w:themeColor="text1"/>
                <w:szCs w:val="16"/>
              </w:rPr>
            </w:pPr>
            <w:r w:rsidRPr="00781112">
              <w:rPr>
                <w:rFonts w:cs="Arial"/>
                <w:color w:val="000000" w:themeColor="text1"/>
                <w:szCs w:val="16"/>
              </w:rPr>
              <w:t>Grade 4</w:t>
            </w:r>
          </w:p>
        </w:tc>
        <w:tc>
          <w:tcPr>
            <w:tcW w:w="834" w:type="pct"/>
            <w:shd w:val="clear" w:color="auto" w:fill="auto"/>
            <w:vAlign w:val="center"/>
          </w:tcPr>
          <w:p w14:paraId="26A57F7A" w14:textId="09E9CA5E" w:rsidR="002A19C8" w:rsidRPr="00781112" w:rsidRDefault="002A19C8" w:rsidP="002A19C8">
            <w:pPr>
              <w:jc w:val="center"/>
              <w:rPr>
                <w:rFonts w:cs="Arial"/>
                <w:color w:val="000000" w:themeColor="text1"/>
                <w:szCs w:val="16"/>
              </w:rPr>
            </w:pPr>
            <w:r w:rsidRPr="00781112">
              <w:rPr>
                <w:rFonts w:cs="Arial"/>
                <w:color w:val="000000"/>
                <w:szCs w:val="16"/>
              </w:rPr>
              <w:t>9.43%</w:t>
            </w:r>
          </w:p>
        </w:tc>
        <w:tc>
          <w:tcPr>
            <w:tcW w:w="834" w:type="pct"/>
            <w:shd w:val="clear" w:color="auto" w:fill="auto"/>
            <w:vAlign w:val="center"/>
          </w:tcPr>
          <w:p w14:paraId="361835CD" w14:textId="59029D06" w:rsidR="002A19C8" w:rsidRPr="00781112" w:rsidRDefault="002A19C8" w:rsidP="002A19C8">
            <w:pPr>
              <w:jc w:val="center"/>
              <w:rPr>
                <w:rFonts w:cs="Arial"/>
                <w:color w:val="000000" w:themeColor="text1"/>
                <w:szCs w:val="16"/>
              </w:rPr>
            </w:pPr>
            <w:r w:rsidRPr="00781112">
              <w:rPr>
                <w:rFonts w:cs="Arial"/>
                <w:color w:val="000000" w:themeColor="text1"/>
                <w:szCs w:val="16"/>
              </w:rPr>
              <w:t>32.68%</w:t>
            </w:r>
          </w:p>
        </w:tc>
        <w:tc>
          <w:tcPr>
            <w:tcW w:w="508" w:type="pct"/>
            <w:shd w:val="clear" w:color="auto" w:fill="auto"/>
            <w:vAlign w:val="center"/>
          </w:tcPr>
          <w:p w14:paraId="59D4C214" w14:textId="5AA8261A" w:rsidR="002A19C8" w:rsidRPr="00781112" w:rsidRDefault="002A19C8" w:rsidP="002A19C8">
            <w:pPr>
              <w:jc w:val="center"/>
              <w:rPr>
                <w:rFonts w:cs="Arial"/>
                <w:color w:val="000000" w:themeColor="text1"/>
                <w:szCs w:val="16"/>
              </w:rPr>
            </w:pPr>
            <w:r w:rsidRPr="00781112">
              <w:rPr>
                <w:rFonts w:cs="Arial"/>
                <w:color w:val="000000" w:themeColor="text1"/>
                <w:szCs w:val="16"/>
              </w:rPr>
              <w:t>22.65</w:t>
            </w:r>
          </w:p>
        </w:tc>
        <w:tc>
          <w:tcPr>
            <w:tcW w:w="508" w:type="pct"/>
            <w:shd w:val="clear" w:color="auto" w:fill="auto"/>
            <w:vAlign w:val="center"/>
          </w:tcPr>
          <w:p w14:paraId="5226537A" w14:textId="04AA78B1" w:rsidR="002A19C8" w:rsidRPr="00781112" w:rsidRDefault="002A19C8" w:rsidP="002A19C8">
            <w:pPr>
              <w:jc w:val="center"/>
              <w:rPr>
                <w:rFonts w:cs="Arial"/>
                <w:color w:val="000000" w:themeColor="text1"/>
                <w:szCs w:val="16"/>
              </w:rPr>
            </w:pPr>
            <w:r w:rsidRPr="00781112">
              <w:rPr>
                <w:rFonts w:cs="Arial"/>
                <w:color w:val="000000" w:themeColor="text1"/>
                <w:szCs w:val="16"/>
              </w:rPr>
              <w:t>25.27</w:t>
            </w:r>
          </w:p>
        </w:tc>
        <w:tc>
          <w:tcPr>
            <w:tcW w:w="508" w:type="pct"/>
            <w:shd w:val="clear" w:color="auto" w:fill="auto"/>
            <w:vAlign w:val="center"/>
          </w:tcPr>
          <w:p w14:paraId="235D63D6" w14:textId="6BEC0204" w:rsidR="002A19C8" w:rsidRPr="00781112" w:rsidRDefault="002A19C8" w:rsidP="002A19C8">
            <w:pPr>
              <w:jc w:val="center"/>
              <w:rPr>
                <w:rFonts w:cs="Arial"/>
                <w:color w:val="000000" w:themeColor="text1"/>
                <w:szCs w:val="16"/>
              </w:rPr>
            </w:pPr>
            <w:r w:rsidRPr="00781112">
              <w:rPr>
                <w:rFonts w:cs="Arial"/>
                <w:color w:val="000000" w:themeColor="text1"/>
                <w:szCs w:val="16"/>
              </w:rPr>
              <w:t>23.24</w:t>
            </w:r>
          </w:p>
        </w:tc>
        <w:tc>
          <w:tcPr>
            <w:tcW w:w="508" w:type="pct"/>
            <w:shd w:val="clear" w:color="auto" w:fill="auto"/>
            <w:vAlign w:val="center"/>
          </w:tcPr>
          <w:p w14:paraId="50CBCD87" w14:textId="7E9D9F0C" w:rsidR="002A19C8" w:rsidRPr="00781112" w:rsidRDefault="002A19C8" w:rsidP="002A19C8">
            <w:pPr>
              <w:jc w:val="center"/>
              <w:rPr>
                <w:rFonts w:cs="Arial"/>
                <w:color w:val="000000" w:themeColor="text1"/>
                <w:szCs w:val="16"/>
              </w:rPr>
            </w:pPr>
            <w:r w:rsidRPr="00781112">
              <w:rPr>
                <w:rFonts w:cs="Arial"/>
                <w:color w:val="000000" w:themeColor="text1"/>
                <w:szCs w:val="16"/>
              </w:rPr>
              <w:t>Met target</w:t>
            </w:r>
          </w:p>
        </w:tc>
        <w:tc>
          <w:tcPr>
            <w:tcW w:w="508" w:type="pct"/>
            <w:shd w:val="clear" w:color="auto" w:fill="auto"/>
            <w:vAlign w:val="center"/>
          </w:tcPr>
          <w:p w14:paraId="35988424" w14:textId="54CE90DF" w:rsidR="002A19C8" w:rsidRPr="00781112" w:rsidRDefault="002A19C8" w:rsidP="002A19C8">
            <w:pPr>
              <w:jc w:val="center"/>
              <w:rPr>
                <w:rFonts w:cs="Arial"/>
                <w:color w:val="000000" w:themeColor="text1"/>
                <w:szCs w:val="16"/>
              </w:rPr>
            </w:pPr>
            <w:r w:rsidRPr="00781112">
              <w:rPr>
                <w:rFonts w:cs="Arial"/>
                <w:color w:val="000000" w:themeColor="text1"/>
                <w:szCs w:val="16"/>
              </w:rPr>
              <w:t>No Slippage</w:t>
            </w:r>
          </w:p>
        </w:tc>
      </w:tr>
      <w:tr w:rsidR="00C95D2E" w:rsidRPr="00781112" w14:paraId="0DE5EFED" w14:textId="77777777" w:rsidTr="001B7E95">
        <w:tc>
          <w:tcPr>
            <w:tcW w:w="331" w:type="pct"/>
            <w:shd w:val="clear" w:color="auto" w:fill="auto"/>
            <w:vAlign w:val="center"/>
          </w:tcPr>
          <w:p w14:paraId="51380788" w14:textId="77777777" w:rsidR="002A19C8" w:rsidRPr="00781112" w:rsidRDefault="002A19C8" w:rsidP="002A19C8">
            <w:pPr>
              <w:pStyle w:val="Default"/>
              <w:jc w:val="center"/>
              <w:rPr>
                <w:rFonts w:eastAsiaTheme="minorHAnsi"/>
                <w:color w:val="000000" w:themeColor="text1"/>
                <w:sz w:val="16"/>
                <w:szCs w:val="16"/>
              </w:rPr>
            </w:pPr>
            <w:r w:rsidRPr="00781112">
              <w:rPr>
                <w:b/>
                <w:color w:val="000000" w:themeColor="text1"/>
                <w:sz w:val="16"/>
                <w:szCs w:val="16"/>
              </w:rPr>
              <w:t>B</w:t>
            </w:r>
          </w:p>
        </w:tc>
        <w:tc>
          <w:tcPr>
            <w:tcW w:w="461" w:type="pct"/>
            <w:shd w:val="clear" w:color="auto" w:fill="auto"/>
            <w:vAlign w:val="center"/>
          </w:tcPr>
          <w:p w14:paraId="6D85D6A7" w14:textId="5558F45F" w:rsidR="002A19C8" w:rsidRPr="00781112" w:rsidDel="00DE5045" w:rsidRDefault="002A19C8" w:rsidP="002A19C8">
            <w:pPr>
              <w:jc w:val="center"/>
              <w:rPr>
                <w:rFonts w:cs="Arial"/>
                <w:color w:val="000000" w:themeColor="text1"/>
                <w:szCs w:val="16"/>
              </w:rPr>
            </w:pPr>
            <w:r w:rsidRPr="00781112">
              <w:rPr>
                <w:rFonts w:cs="Arial"/>
                <w:color w:val="000000" w:themeColor="text1"/>
                <w:szCs w:val="16"/>
              </w:rPr>
              <w:t>Grade 8</w:t>
            </w:r>
          </w:p>
        </w:tc>
        <w:tc>
          <w:tcPr>
            <w:tcW w:w="834" w:type="pct"/>
            <w:shd w:val="clear" w:color="auto" w:fill="auto"/>
            <w:vAlign w:val="center"/>
          </w:tcPr>
          <w:p w14:paraId="4288B43D" w14:textId="3B77409B" w:rsidR="002A19C8" w:rsidRPr="00781112" w:rsidRDefault="002A19C8" w:rsidP="002A19C8">
            <w:pPr>
              <w:jc w:val="center"/>
              <w:rPr>
                <w:rFonts w:cs="Arial"/>
                <w:color w:val="000000" w:themeColor="text1"/>
                <w:szCs w:val="16"/>
              </w:rPr>
            </w:pPr>
            <w:r w:rsidRPr="00781112">
              <w:rPr>
                <w:rFonts w:cs="Arial"/>
                <w:color w:val="000000"/>
                <w:szCs w:val="16"/>
              </w:rPr>
              <w:t>5.69%</w:t>
            </w:r>
          </w:p>
        </w:tc>
        <w:tc>
          <w:tcPr>
            <w:tcW w:w="834" w:type="pct"/>
            <w:shd w:val="clear" w:color="auto" w:fill="auto"/>
            <w:vAlign w:val="center"/>
          </w:tcPr>
          <w:p w14:paraId="11774D79" w14:textId="6519EED1" w:rsidR="002A19C8" w:rsidRPr="00781112" w:rsidRDefault="002A19C8" w:rsidP="002A19C8">
            <w:pPr>
              <w:jc w:val="center"/>
              <w:rPr>
                <w:rFonts w:cs="Arial"/>
                <w:color w:val="000000" w:themeColor="text1"/>
                <w:szCs w:val="16"/>
              </w:rPr>
            </w:pPr>
            <w:r w:rsidRPr="00781112">
              <w:rPr>
                <w:rFonts w:cs="Arial"/>
                <w:color w:val="000000" w:themeColor="text1"/>
                <w:szCs w:val="16"/>
              </w:rPr>
              <w:t>32.66%</w:t>
            </w:r>
          </w:p>
        </w:tc>
        <w:tc>
          <w:tcPr>
            <w:tcW w:w="508" w:type="pct"/>
            <w:shd w:val="clear" w:color="auto" w:fill="auto"/>
            <w:vAlign w:val="center"/>
          </w:tcPr>
          <w:p w14:paraId="28E3CF1C" w14:textId="69751C29" w:rsidR="002A19C8" w:rsidRPr="00781112" w:rsidRDefault="002A19C8" w:rsidP="002A19C8">
            <w:pPr>
              <w:jc w:val="center"/>
              <w:rPr>
                <w:rFonts w:cs="Arial"/>
                <w:color w:val="000000" w:themeColor="text1"/>
                <w:szCs w:val="16"/>
              </w:rPr>
            </w:pPr>
            <w:r w:rsidRPr="00781112">
              <w:rPr>
                <w:rFonts w:cs="Arial"/>
                <w:color w:val="000000" w:themeColor="text1"/>
                <w:szCs w:val="16"/>
              </w:rPr>
              <w:t>27.87</w:t>
            </w:r>
          </w:p>
        </w:tc>
        <w:tc>
          <w:tcPr>
            <w:tcW w:w="508" w:type="pct"/>
            <w:shd w:val="clear" w:color="auto" w:fill="auto"/>
            <w:vAlign w:val="center"/>
          </w:tcPr>
          <w:p w14:paraId="468D28D5" w14:textId="3BD9025E" w:rsidR="002A19C8" w:rsidRPr="00781112" w:rsidRDefault="002A19C8" w:rsidP="002A19C8">
            <w:pPr>
              <w:jc w:val="center"/>
              <w:rPr>
                <w:rFonts w:cs="Arial"/>
                <w:color w:val="000000" w:themeColor="text1"/>
                <w:szCs w:val="16"/>
              </w:rPr>
            </w:pPr>
            <w:r w:rsidRPr="00781112">
              <w:rPr>
                <w:rFonts w:cs="Arial"/>
                <w:color w:val="000000" w:themeColor="text1"/>
                <w:szCs w:val="16"/>
              </w:rPr>
              <w:t>31.52</w:t>
            </w:r>
          </w:p>
        </w:tc>
        <w:tc>
          <w:tcPr>
            <w:tcW w:w="508" w:type="pct"/>
            <w:shd w:val="clear" w:color="auto" w:fill="auto"/>
            <w:vAlign w:val="center"/>
          </w:tcPr>
          <w:p w14:paraId="30644E0B" w14:textId="37C215BA" w:rsidR="002A19C8" w:rsidRPr="00781112" w:rsidRDefault="002A19C8" w:rsidP="002A19C8">
            <w:pPr>
              <w:jc w:val="center"/>
              <w:rPr>
                <w:rFonts w:cs="Arial"/>
                <w:color w:val="000000" w:themeColor="text1"/>
                <w:szCs w:val="16"/>
              </w:rPr>
            </w:pPr>
            <w:r w:rsidRPr="00781112">
              <w:rPr>
                <w:rFonts w:cs="Arial"/>
                <w:color w:val="000000" w:themeColor="text1"/>
                <w:szCs w:val="16"/>
              </w:rPr>
              <w:t>26.97</w:t>
            </w:r>
          </w:p>
        </w:tc>
        <w:tc>
          <w:tcPr>
            <w:tcW w:w="508" w:type="pct"/>
            <w:shd w:val="clear" w:color="auto" w:fill="auto"/>
            <w:vAlign w:val="center"/>
          </w:tcPr>
          <w:p w14:paraId="1312CD99" w14:textId="5541B25D" w:rsidR="002A19C8" w:rsidRPr="00781112" w:rsidRDefault="002A19C8" w:rsidP="002A19C8">
            <w:pPr>
              <w:jc w:val="center"/>
              <w:rPr>
                <w:rFonts w:cs="Arial"/>
                <w:color w:val="000000" w:themeColor="text1"/>
                <w:szCs w:val="16"/>
              </w:rPr>
            </w:pPr>
            <w:r w:rsidRPr="00781112">
              <w:rPr>
                <w:rFonts w:cs="Arial"/>
                <w:color w:val="000000" w:themeColor="text1"/>
                <w:szCs w:val="16"/>
              </w:rPr>
              <w:t>Met target</w:t>
            </w:r>
          </w:p>
        </w:tc>
        <w:tc>
          <w:tcPr>
            <w:tcW w:w="508" w:type="pct"/>
            <w:shd w:val="clear" w:color="auto" w:fill="auto"/>
            <w:vAlign w:val="center"/>
          </w:tcPr>
          <w:p w14:paraId="536612A4" w14:textId="60F48CB2" w:rsidR="002A19C8" w:rsidRPr="00781112" w:rsidRDefault="002A19C8" w:rsidP="002A19C8">
            <w:pPr>
              <w:jc w:val="center"/>
              <w:rPr>
                <w:rFonts w:cs="Arial"/>
                <w:color w:val="000000" w:themeColor="text1"/>
                <w:szCs w:val="16"/>
              </w:rPr>
            </w:pPr>
            <w:r w:rsidRPr="00781112">
              <w:rPr>
                <w:rFonts w:cs="Arial"/>
                <w:color w:val="000000" w:themeColor="text1"/>
                <w:szCs w:val="16"/>
              </w:rPr>
              <w:t>No Slippage</w:t>
            </w:r>
          </w:p>
        </w:tc>
      </w:tr>
      <w:tr w:rsidR="00C95D2E" w:rsidRPr="00781112" w14:paraId="36AFD504" w14:textId="77777777" w:rsidTr="001B7E95">
        <w:tc>
          <w:tcPr>
            <w:tcW w:w="331" w:type="pct"/>
            <w:shd w:val="clear" w:color="auto" w:fill="auto"/>
            <w:vAlign w:val="center"/>
          </w:tcPr>
          <w:p w14:paraId="4932227A" w14:textId="77777777" w:rsidR="002A19C8" w:rsidRPr="00781112" w:rsidRDefault="002A19C8" w:rsidP="002A19C8">
            <w:pPr>
              <w:pStyle w:val="Default"/>
              <w:jc w:val="center"/>
              <w:rPr>
                <w:rFonts w:eastAsiaTheme="minorHAnsi"/>
                <w:color w:val="000000" w:themeColor="text1"/>
                <w:sz w:val="16"/>
                <w:szCs w:val="16"/>
              </w:rPr>
            </w:pPr>
            <w:r w:rsidRPr="00781112">
              <w:rPr>
                <w:b/>
                <w:color w:val="000000" w:themeColor="text1"/>
                <w:sz w:val="16"/>
                <w:szCs w:val="16"/>
              </w:rPr>
              <w:t>C</w:t>
            </w:r>
          </w:p>
        </w:tc>
        <w:tc>
          <w:tcPr>
            <w:tcW w:w="461" w:type="pct"/>
            <w:shd w:val="clear" w:color="auto" w:fill="auto"/>
            <w:vAlign w:val="center"/>
          </w:tcPr>
          <w:p w14:paraId="236171D2" w14:textId="335C29F0" w:rsidR="002A19C8" w:rsidRPr="00781112" w:rsidDel="00DE5045" w:rsidRDefault="002A19C8" w:rsidP="002A19C8">
            <w:pPr>
              <w:jc w:val="center"/>
              <w:rPr>
                <w:rFonts w:cs="Arial"/>
                <w:color w:val="000000" w:themeColor="text1"/>
                <w:szCs w:val="16"/>
              </w:rPr>
            </w:pPr>
            <w:r w:rsidRPr="00781112">
              <w:rPr>
                <w:rFonts w:cs="Arial"/>
                <w:color w:val="000000" w:themeColor="text1"/>
                <w:szCs w:val="16"/>
              </w:rPr>
              <w:t>Grade HS</w:t>
            </w:r>
          </w:p>
        </w:tc>
        <w:tc>
          <w:tcPr>
            <w:tcW w:w="834" w:type="pct"/>
            <w:shd w:val="clear" w:color="auto" w:fill="auto"/>
            <w:vAlign w:val="center"/>
          </w:tcPr>
          <w:p w14:paraId="6C585469" w14:textId="27CFD453" w:rsidR="002A19C8" w:rsidRPr="00781112" w:rsidRDefault="002A19C8" w:rsidP="002A19C8">
            <w:pPr>
              <w:jc w:val="center"/>
              <w:rPr>
                <w:rFonts w:cs="Arial"/>
                <w:color w:val="000000" w:themeColor="text1"/>
                <w:szCs w:val="16"/>
              </w:rPr>
            </w:pPr>
            <w:r w:rsidRPr="00781112">
              <w:rPr>
                <w:rFonts w:cs="Arial"/>
                <w:color w:val="000000"/>
                <w:szCs w:val="16"/>
              </w:rPr>
              <w:t>5.90%</w:t>
            </w:r>
          </w:p>
        </w:tc>
        <w:tc>
          <w:tcPr>
            <w:tcW w:w="834" w:type="pct"/>
            <w:shd w:val="clear" w:color="auto" w:fill="auto"/>
            <w:vAlign w:val="center"/>
          </w:tcPr>
          <w:p w14:paraId="13AB3928" w14:textId="234CBFA8" w:rsidR="002A19C8" w:rsidRPr="00781112" w:rsidRDefault="002A19C8" w:rsidP="002A19C8">
            <w:pPr>
              <w:jc w:val="center"/>
              <w:rPr>
                <w:rFonts w:cs="Arial"/>
                <w:color w:val="000000" w:themeColor="text1"/>
                <w:szCs w:val="16"/>
              </w:rPr>
            </w:pPr>
            <w:r w:rsidRPr="00781112">
              <w:rPr>
                <w:rFonts w:cs="Arial"/>
                <w:color w:val="000000" w:themeColor="text1"/>
                <w:szCs w:val="16"/>
              </w:rPr>
              <w:t>35.18%</w:t>
            </w:r>
          </w:p>
        </w:tc>
        <w:tc>
          <w:tcPr>
            <w:tcW w:w="508" w:type="pct"/>
            <w:shd w:val="clear" w:color="auto" w:fill="auto"/>
            <w:vAlign w:val="center"/>
          </w:tcPr>
          <w:p w14:paraId="2ABC747F" w14:textId="158D9570" w:rsidR="002A19C8" w:rsidRPr="00781112" w:rsidRDefault="002A19C8" w:rsidP="002A19C8">
            <w:pPr>
              <w:jc w:val="center"/>
              <w:rPr>
                <w:rFonts w:cs="Arial"/>
                <w:color w:val="000000" w:themeColor="text1"/>
                <w:szCs w:val="16"/>
              </w:rPr>
            </w:pPr>
            <w:r w:rsidRPr="00781112">
              <w:rPr>
                <w:rFonts w:cs="Arial"/>
                <w:color w:val="000000" w:themeColor="text1"/>
                <w:szCs w:val="16"/>
              </w:rPr>
              <w:t>28.48</w:t>
            </w:r>
          </w:p>
        </w:tc>
        <w:tc>
          <w:tcPr>
            <w:tcW w:w="508" w:type="pct"/>
            <w:shd w:val="clear" w:color="auto" w:fill="auto"/>
            <w:vAlign w:val="center"/>
          </w:tcPr>
          <w:p w14:paraId="1ACDF21F" w14:textId="6248B4E9" w:rsidR="002A19C8" w:rsidRPr="00781112" w:rsidRDefault="002A19C8" w:rsidP="002A19C8">
            <w:pPr>
              <w:jc w:val="center"/>
              <w:rPr>
                <w:rFonts w:cs="Arial"/>
                <w:color w:val="000000" w:themeColor="text1"/>
                <w:szCs w:val="16"/>
              </w:rPr>
            </w:pPr>
            <w:r w:rsidRPr="00781112">
              <w:rPr>
                <w:rFonts w:cs="Arial"/>
                <w:color w:val="000000" w:themeColor="text1"/>
                <w:szCs w:val="16"/>
              </w:rPr>
              <w:t>30.10</w:t>
            </w:r>
          </w:p>
        </w:tc>
        <w:tc>
          <w:tcPr>
            <w:tcW w:w="508" w:type="pct"/>
            <w:shd w:val="clear" w:color="auto" w:fill="auto"/>
            <w:vAlign w:val="center"/>
          </w:tcPr>
          <w:p w14:paraId="69CE5BC3" w14:textId="39D166D6" w:rsidR="002A19C8" w:rsidRPr="00781112" w:rsidRDefault="002A19C8" w:rsidP="002A19C8">
            <w:pPr>
              <w:jc w:val="center"/>
              <w:rPr>
                <w:rFonts w:cs="Arial"/>
                <w:color w:val="000000" w:themeColor="text1"/>
                <w:szCs w:val="16"/>
              </w:rPr>
            </w:pPr>
            <w:r w:rsidRPr="00781112">
              <w:rPr>
                <w:rFonts w:cs="Arial"/>
                <w:color w:val="000000" w:themeColor="text1"/>
                <w:szCs w:val="16"/>
              </w:rPr>
              <w:t>29.28</w:t>
            </w:r>
          </w:p>
        </w:tc>
        <w:tc>
          <w:tcPr>
            <w:tcW w:w="508" w:type="pct"/>
            <w:shd w:val="clear" w:color="auto" w:fill="auto"/>
            <w:vAlign w:val="center"/>
          </w:tcPr>
          <w:p w14:paraId="2CA33323" w14:textId="59FD6DC7" w:rsidR="002A19C8" w:rsidRPr="00781112" w:rsidRDefault="002A19C8" w:rsidP="002A19C8">
            <w:pPr>
              <w:jc w:val="center"/>
              <w:rPr>
                <w:rFonts w:cs="Arial"/>
                <w:color w:val="000000" w:themeColor="text1"/>
                <w:szCs w:val="16"/>
              </w:rPr>
            </w:pPr>
            <w:r w:rsidRPr="00781112">
              <w:rPr>
                <w:rFonts w:cs="Arial"/>
                <w:color w:val="000000" w:themeColor="text1"/>
                <w:szCs w:val="16"/>
              </w:rPr>
              <w:t>Met target</w:t>
            </w:r>
          </w:p>
        </w:tc>
        <w:tc>
          <w:tcPr>
            <w:tcW w:w="508" w:type="pct"/>
            <w:shd w:val="clear" w:color="auto" w:fill="auto"/>
            <w:vAlign w:val="center"/>
          </w:tcPr>
          <w:p w14:paraId="0BEDA3C1" w14:textId="6A01F324" w:rsidR="002A19C8" w:rsidRPr="00781112" w:rsidRDefault="002A19C8" w:rsidP="002A19C8">
            <w:pPr>
              <w:jc w:val="center"/>
              <w:rPr>
                <w:rFonts w:cs="Arial"/>
                <w:color w:val="000000" w:themeColor="text1"/>
                <w:szCs w:val="16"/>
              </w:rPr>
            </w:pPr>
            <w:r w:rsidRPr="00781112">
              <w:rPr>
                <w:rFonts w:cs="Arial"/>
                <w:color w:val="000000" w:themeColor="text1"/>
                <w:szCs w:val="16"/>
              </w:rPr>
              <w:t>No Slippage</w:t>
            </w:r>
          </w:p>
        </w:tc>
      </w:tr>
    </w:tbl>
    <w:p w14:paraId="67B1DC74" w14:textId="77777777" w:rsidR="00DD5B7A" w:rsidRPr="00781112" w:rsidRDefault="00DD5B7A" w:rsidP="00DD5B7A">
      <w:pPr>
        <w:spacing w:before="0" w:after="200" w:line="276" w:lineRule="auto"/>
        <w:rPr>
          <w:b/>
          <w:color w:val="000000" w:themeColor="text1"/>
        </w:rPr>
      </w:pPr>
    </w:p>
    <w:p w14:paraId="2FF851DB" w14:textId="77777777" w:rsidR="00DD5B7A" w:rsidRPr="00781112" w:rsidRDefault="00DD5B7A" w:rsidP="00DD5B7A">
      <w:pPr>
        <w:rPr>
          <w:b/>
          <w:color w:val="000000" w:themeColor="text1"/>
        </w:rPr>
      </w:pPr>
      <w:r w:rsidRPr="00781112">
        <w:rPr>
          <w:b/>
          <w:color w:val="000000" w:themeColor="text1"/>
        </w:rPr>
        <w:t>Provide additional information about this indicator (optional)</w:t>
      </w:r>
    </w:p>
    <w:p w14:paraId="646908D0" w14:textId="2EB40E98" w:rsidR="00DD5B7A" w:rsidRPr="00781112" w:rsidRDefault="00DD5B7A" w:rsidP="00DD5B7A">
      <w:pPr>
        <w:rPr>
          <w:rFonts w:cs="Arial"/>
          <w:color w:val="000000" w:themeColor="text1"/>
          <w:szCs w:val="16"/>
        </w:rPr>
      </w:pPr>
    </w:p>
    <w:p w14:paraId="2ABFD82D" w14:textId="77777777" w:rsidR="00764DDE" w:rsidRPr="00781112" w:rsidRDefault="00764DDE" w:rsidP="00764DDE">
      <w:pPr>
        <w:spacing w:before="0" w:after="200" w:line="276" w:lineRule="auto"/>
        <w:rPr>
          <w:color w:val="000000" w:themeColor="text1"/>
          <w:szCs w:val="16"/>
        </w:rPr>
      </w:pPr>
    </w:p>
    <w:p w14:paraId="1CD50F37" w14:textId="6334E2E5" w:rsidR="00764DDE" w:rsidRPr="00781112" w:rsidRDefault="00764DDE" w:rsidP="00764DDE">
      <w:pPr>
        <w:pStyle w:val="Heading2"/>
      </w:pPr>
      <w:r w:rsidRPr="00781112">
        <w:t>3D - Prior FFY Required Actions</w:t>
      </w:r>
    </w:p>
    <w:p w14:paraId="34B574CB" w14:textId="14B02F6F" w:rsidR="00764DDE" w:rsidRPr="00781112" w:rsidRDefault="00764DDE" w:rsidP="00764DDE">
      <w:pPr>
        <w:rPr>
          <w:rFonts w:cs="Arial"/>
          <w:color w:val="000000" w:themeColor="text1"/>
          <w:szCs w:val="16"/>
        </w:rPr>
      </w:pPr>
      <w:r w:rsidRPr="00781112">
        <w:rPr>
          <w:rFonts w:cs="Arial"/>
          <w:color w:val="000000" w:themeColor="text1"/>
          <w:szCs w:val="16"/>
        </w:rPr>
        <w:t>None</w:t>
      </w:r>
    </w:p>
    <w:p w14:paraId="02AADAEE" w14:textId="09BE2C66" w:rsidR="00764DDE" w:rsidRPr="00781112" w:rsidRDefault="00764DDE" w:rsidP="00764DDE">
      <w:pPr>
        <w:pStyle w:val="Heading2"/>
      </w:pPr>
      <w:r w:rsidRPr="00781112">
        <w:t>3D - OSEP Response</w:t>
      </w:r>
    </w:p>
    <w:p w14:paraId="6F9D8957" w14:textId="2AADB119" w:rsidR="00764DDE" w:rsidRPr="00781112" w:rsidRDefault="00764DDE" w:rsidP="00764DDE">
      <w:pPr>
        <w:rPr>
          <w:rFonts w:cs="Arial"/>
          <w:color w:val="000000" w:themeColor="text1"/>
          <w:szCs w:val="16"/>
        </w:rPr>
      </w:pPr>
    </w:p>
    <w:p w14:paraId="09AAC73F" w14:textId="7E96F305" w:rsidR="00764DDE" w:rsidRPr="00781112" w:rsidRDefault="00764DDE" w:rsidP="00764DDE">
      <w:pPr>
        <w:pStyle w:val="Heading2"/>
      </w:pPr>
      <w:r w:rsidRPr="00781112">
        <w:lastRenderedPageBreak/>
        <w:t>3D - Required Actions</w:t>
      </w:r>
    </w:p>
    <w:p w14:paraId="77AA7102" w14:textId="5725FBB6" w:rsidR="00764DDE" w:rsidRPr="00781112" w:rsidRDefault="00764DDE" w:rsidP="00764DDE">
      <w:pPr>
        <w:rPr>
          <w:rFonts w:cs="Arial"/>
          <w:color w:val="000000" w:themeColor="text1"/>
          <w:szCs w:val="16"/>
        </w:rPr>
      </w:pPr>
    </w:p>
    <w:p w14:paraId="72857535" w14:textId="77777777" w:rsidR="00764DDE" w:rsidRPr="00781112" w:rsidRDefault="00764DDE">
      <w:pPr>
        <w:spacing w:before="0" w:after="200" w:line="276" w:lineRule="auto"/>
        <w:rPr>
          <w:rFonts w:eastAsiaTheme="majorEastAsia" w:cstheme="majorBidi"/>
          <w:b/>
          <w:bCs/>
          <w:color w:val="000000" w:themeColor="text1"/>
          <w:sz w:val="22"/>
          <w:szCs w:val="28"/>
        </w:rPr>
      </w:pPr>
      <w:r w:rsidRPr="00781112">
        <w:rPr>
          <w:color w:val="000000" w:themeColor="text1"/>
          <w:sz w:val="22"/>
        </w:rPr>
        <w:br w:type="page"/>
      </w:r>
    </w:p>
    <w:p w14:paraId="1E2B07DD" w14:textId="7F0EB6BD" w:rsidR="00D03701" w:rsidRPr="00781112" w:rsidRDefault="00D03701" w:rsidP="000444E2">
      <w:pPr>
        <w:pStyle w:val="Heading1"/>
        <w:rPr>
          <w:color w:val="000000" w:themeColor="text1"/>
          <w:sz w:val="22"/>
        </w:rPr>
      </w:pPr>
      <w:r w:rsidRPr="00781112">
        <w:rPr>
          <w:color w:val="000000" w:themeColor="text1"/>
          <w:sz w:val="22"/>
        </w:rPr>
        <w:lastRenderedPageBreak/>
        <w:t>Indicator 4A: Suspension/Expulsion</w:t>
      </w:r>
      <w:bookmarkEnd w:id="17"/>
      <w:bookmarkEnd w:id="18"/>
    </w:p>
    <w:p w14:paraId="6B24B370" w14:textId="77777777" w:rsidR="006E5AE4" w:rsidRPr="00781112" w:rsidRDefault="006E5AE4" w:rsidP="00A018D4">
      <w:pPr>
        <w:rPr>
          <w:color w:val="000000" w:themeColor="text1"/>
          <w:szCs w:val="20"/>
        </w:rPr>
      </w:pPr>
      <w:bookmarkStart w:id="20" w:name="_Toc384383331"/>
      <w:bookmarkStart w:id="21" w:name="_Toc392159283"/>
      <w:r w:rsidRPr="00781112">
        <w:rPr>
          <w:b/>
          <w:color w:val="000000" w:themeColor="text1"/>
          <w:sz w:val="20"/>
          <w:szCs w:val="20"/>
        </w:rPr>
        <w:t xml:space="preserve">Instructions and Measurement </w:t>
      </w:r>
    </w:p>
    <w:p w14:paraId="73D979E8" w14:textId="6D1D1338" w:rsidR="00DD1D55" w:rsidRPr="00781112" w:rsidRDefault="00DD1D55" w:rsidP="004369B2">
      <w:pPr>
        <w:rPr>
          <w:color w:val="000000" w:themeColor="text1"/>
        </w:rPr>
      </w:pPr>
      <w:r w:rsidRPr="00781112">
        <w:rPr>
          <w:b/>
          <w:color w:val="000000" w:themeColor="text1"/>
        </w:rPr>
        <w:t>Monitoring Priority:</w:t>
      </w:r>
      <w:r w:rsidRPr="00781112">
        <w:rPr>
          <w:color w:val="000000" w:themeColor="text1"/>
        </w:rPr>
        <w:t xml:space="preserve"> FAPE in the LRE</w:t>
      </w:r>
    </w:p>
    <w:p w14:paraId="1281AA40" w14:textId="5BDAB0D4" w:rsidR="000A5A2E" w:rsidRPr="00781112" w:rsidRDefault="00DD1D55" w:rsidP="00286BDF">
      <w:pPr>
        <w:rPr>
          <w:rFonts w:cs="Arial"/>
          <w:color w:val="000000" w:themeColor="text1"/>
          <w:szCs w:val="16"/>
        </w:rPr>
      </w:pPr>
      <w:r w:rsidRPr="00781112">
        <w:rPr>
          <w:rFonts w:cs="Arial"/>
          <w:b/>
          <w:color w:val="000000" w:themeColor="text1"/>
          <w:szCs w:val="16"/>
        </w:rPr>
        <w:t>Results Indicator:</w:t>
      </w:r>
      <w:r w:rsidR="00286BDF" w:rsidRPr="00781112">
        <w:rPr>
          <w:rFonts w:cs="Arial"/>
          <w:color w:val="000000" w:themeColor="text1"/>
          <w:szCs w:val="16"/>
        </w:rPr>
        <w:t xml:space="preserve"> </w:t>
      </w:r>
      <w:r w:rsidR="000A5A2E" w:rsidRPr="00781112">
        <w:rPr>
          <w:rFonts w:cs="Arial"/>
          <w:color w:val="000000" w:themeColor="text1"/>
          <w:szCs w:val="16"/>
        </w:rPr>
        <w:t>Rates of suspension and expulsion:</w:t>
      </w:r>
    </w:p>
    <w:p w14:paraId="075F6BB9" w14:textId="62CB55C8" w:rsidR="000A5A2E" w:rsidRPr="00781112" w:rsidRDefault="001D5BAF" w:rsidP="006A01BD">
      <w:pPr>
        <w:ind w:left="720"/>
        <w:rPr>
          <w:color w:val="000000" w:themeColor="text1"/>
        </w:rPr>
      </w:pPr>
      <w:r w:rsidRPr="00781112">
        <w:rPr>
          <w:rFonts w:cs="Arial"/>
          <w:color w:val="000000" w:themeColor="text1"/>
          <w:szCs w:val="16"/>
        </w:rPr>
        <w:t xml:space="preserve">A. Percent of </w:t>
      </w:r>
      <w:r w:rsidR="00752D76" w:rsidRPr="00781112">
        <w:rPr>
          <w:rFonts w:cs="Arial"/>
          <w:szCs w:val="16"/>
        </w:rPr>
        <w:t>local educational agencies (LEA)</w:t>
      </w:r>
      <w:r w:rsidRPr="00781112">
        <w:rPr>
          <w:rFonts w:cs="Arial"/>
          <w:color w:val="000000" w:themeColor="text1"/>
          <w:szCs w:val="16"/>
        </w:rPr>
        <w:t xml:space="preserve"> that have a significant discrepancy</w:t>
      </w:r>
      <w:r w:rsidR="00F46CC4" w:rsidRPr="00781112">
        <w:rPr>
          <w:rFonts w:cs="Arial"/>
          <w:szCs w:val="16"/>
        </w:rPr>
        <w:t>, as defined by the State,</w:t>
      </w:r>
      <w:r w:rsidRPr="00781112">
        <w:rPr>
          <w:rFonts w:cs="Arial"/>
          <w:color w:val="000000" w:themeColor="text1"/>
          <w:szCs w:val="16"/>
        </w:rPr>
        <w:t xml:space="preserve"> in the rate of suspensions and expulsions of greater than 10 days in a school </w:t>
      </w:r>
      <w:r w:rsidR="00DD1D55" w:rsidRPr="00781112">
        <w:rPr>
          <w:color w:val="000000" w:themeColor="text1"/>
        </w:rPr>
        <w:t>year for children with IEPs</w:t>
      </w:r>
      <w:r w:rsidR="00E97863" w:rsidRPr="00781112">
        <w:rPr>
          <w:color w:val="000000" w:themeColor="text1"/>
        </w:rPr>
        <w:t>; and</w:t>
      </w:r>
    </w:p>
    <w:p w14:paraId="269BA1CE" w14:textId="0C66D8C5" w:rsidR="00E97863" w:rsidRPr="002529C8" w:rsidRDefault="00BA66ED" w:rsidP="002529C8">
      <w:pPr>
        <w:ind w:left="720"/>
        <w:rPr>
          <w:rFonts w:cs="Arial"/>
          <w:szCs w:val="16"/>
        </w:rPr>
      </w:pPr>
      <w:r w:rsidRPr="00781112">
        <w:rPr>
          <w:rFonts w:cs="Arial"/>
          <w:color w:val="000000" w:themeColor="text1"/>
          <w:szCs w:val="16"/>
        </w:rPr>
        <w:t xml:space="preserve">B. </w:t>
      </w:r>
      <w:r w:rsidR="00E97863" w:rsidRPr="00856B0E">
        <w:rPr>
          <w:rFonts w:cs="Arial"/>
          <w:szCs w:val="16"/>
        </w:rPr>
        <w:t>Percent of LEAs that have:</w:t>
      </w:r>
      <w:r w:rsidR="00E97863" w:rsidRPr="00781112">
        <w:rPr>
          <w:rFonts w:cs="Arial"/>
          <w:szCs w:val="16"/>
        </w:rPr>
        <w:t xml:space="preserve"> (a) a significant discrepancy, as defined by the State, by race or ethnicity, in the rate of suspensions and</w:t>
      </w:r>
      <w:r w:rsidR="002529C8">
        <w:rPr>
          <w:rFonts w:cs="Arial"/>
          <w:szCs w:val="16"/>
        </w:rPr>
        <w:t xml:space="preserve"> </w:t>
      </w:r>
      <w:r w:rsidR="00E97863" w:rsidRPr="002529C8">
        <w:rPr>
          <w:rFonts w:cs="Arial"/>
          <w:szCs w:val="16"/>
        </w:rPr>
        <w:t>expulsions of greater than 10 days in a school year for</w:t>
      </w:r>
      <w:r w:rsidR="002529C8">
        <w:rPr>
          <w:rFonts w:cs="Arial"/>
          <w:szCs w:val="16"/>
        </w:rPr>
        <w:t xml:space="preserve"> </w:t>
      </w:r>
      <w:r w:rsidR="00E97863" w:rsidRPr="002529C8">
        <w:rPr>
          <w:rFonts w:cs="Arial"/>
          <w:szCs w:val="16"/>
        </w:rPr>
        <w:t>children with IEPs; and (b) policies, procedures or practices that contribute to the significant discrepancy, as defined by the State, and do not comply with requirements relating to the development</w:t>
      </w:r>
      <w:r w:rsidR="002529C8">
        <w:rPr>
          <w:rFonts w:cs="Arial"/>
          <w:szCs w:val="16"/>
        </w:rPr>
        <w:t xml:space="preserve"> </w:t>
      </w:r>
      <w:r w:rsidR="00E97863" w:rsidRPr="002529C8">
        <w:rPr>
          <w:rFonts w:cs="Arial"/>
          <w:szCs w:val="16"/>
        </w:rPr>
        <w:t>and implementation of IEPs, the use of positive behavioral interventions and supports, and procedural safeguards.</w:t>
      </w:r>
    </w:p>
    <w:p w14:paraId="104900D3" w14:textId="4D6824EB" w:rsidR="0011074D" w:rsidRPr="00781112" w:rsidRDefault="0011074D" w:rsidP="0011074D">
      <w:pPr>
        <w:rPr>
          <w:rFonts w:cs="Arial"/>
          <w:color w:val="000000" w:themeColor="text1"/>
          <w:szCs w:val="16"/>
        </w:rPr>
      </w:pPr>
      <w:r w:rsidRPr="00781112">
        <w:rPr>
          <w:rFonts w:cs="Arial"/>
          <w:color w:val="000000" w:themeColor="text1"/>
          <w:szCs w:val="16"/>
        </w:rPr>
        <w:t>(20 U.S.C. 1416(a)(3)(A); 1412(a)(22))</w:t>
      </w:r>
    </w:p>
    <w:p w14:paraId="09801465" w14:textId="77777777" w:rsidR="000A5A2E" w:rsidRPr="00781112" w:rsidRDefault="000A5A2E" w:rsidP="004369B2">
      <w:pPr>
        <w:rPr>
          <w:color w:val="000000" w:themeColor="text1"/>
        </w:rPr>
      </w:pPr>
      <w:r w:rsidRPr="00781112">
        <w:rPr>
          <w:b/>
          <w:color w:val="000000" w:themeColor="text1"/>
        </w:rPr>
        <w:t>Data Source</w:t>
      </w:r>
    </w:p>
    <w:p w14:paraId="06368193" w14:textId="2006ADF5" w:rsidR="000A5A2E" w:rsidRPr="00781112" w:rsidRDefault="000A5A2E" w:rsidP="00286BDF">
      <w:pPr>
        <w:rPr>
          <w:rFonts w:cs="Arial"/>
          <w:color w:val="000000" w:themeColor="text1"/>
          <w:szCs w:val="16"/>
        </w:rPr>
      </w:pPr>
      <w:r w:rsidRPr="00781112">
        <w:rPr>
          <w:rFonts w:cs="Arial"/>
          <w:color w:val="000000" w:themeColor="text1"/>
          <w:szCs w:val="16"/>
        </w:rPr>
        <w:t xml:space="preserve">State </w:t>
      </w:r>
      <w:r w:rsidRPr="00781112">
        <w:rPr>
          <w:rFonts w:cs="Arial"/>
          <w:color w:val="000000" w:themeColor="text1"/>
          <w:szCs w:val="16"/>
          <w:shd w:val="clear" w:color="auto" w:fill="FFFFFF"/>
        </w:rPr>
        <w:t>discipline data, including State’s analysis of State’s Discipline data collected under IDEA Section 618, where applicable. Discrepancy can be computed by either comparing the rates of suspensions and expulsions for children with IEPs to rates for nondisabled children within the LEA or by comparing the rates of suspensions and expulsions for children with IEPs among LEAs within the State.</w:t>
      </w:r>
    </w:p>
    <w:p w14:paraId="74159870" w14:textId="77777777" w:rsidR="000A5A2E" w:rsidRPr="00781112" w:rsidRDefault="000A5A2E" w:rsidP="004369B2">
      <w:pPr>
        <w:rPr>
          <w:color w:val="000000" w:themeColor="text1"/>
        </w:rPr>
      </w:pPr>
      <w:r w:rsidRPr="00781112">
        <w:rPr>
          <w:b/>
          <w:color w:val="000000" w:themeColor="text1"/>
        </w:rPr>
        <w:t>Measurement</w:t>
      </w:r>
    </w:p>
    <w:p w14:paraId="5CD903C0" w14:textId="4C799C0D" w:rsidR="000A5A2E" w:rsidRPr="00781112" w:rsidRDefault="000A5A2E" w:rsidP="00286BDF">
      <w:pPr>
        <w:rPr>
          <w:rFonts w:cs="Arial"/>
          <w:color w:val="000000" w:themeColor="text1"/>
          <w:szCs w:val="16"/>
        </w:rPr>
      </w:pPr>
      <w:r w:rsidRPr="00781112">
        <w:rPr>
          <w:rFonts w:cs="Arial"/>
          <w:color w:val="000000" w:themeColor="text1"/>
          <w:szCs w:val="16"/>
        </w:rPr>
        <w:t xml:space="preserve">Percent </w:t>
      </w:r>
      <w:r w:rsidRPr="00781112">
        <w:rPr>
          <w:rFonts w:cs="Arial"/>
          <w:color w:val="000000" w:themeColor="text1"/>
          <w:szCs w:val="16"/>
          <w:shd w:val="clear" w:color="auto" w:fill="FFFFFF"/>
        </w:rPr>
        <w:t xml:space="preserve">= </w:t>
      </w:r>
      <w:r w:rsidR="009B02BC" w:rsidRPr="00781112">
        <w:rPr>
          <w:rFonts w:cs="Arial"/>
          <w:color w:val="000000" w:themeColor="text1"/>
          <w:szCs w:val="16"/>
          <w:shd w:val="clear" w:color="auto" w:fill="FFFFFF"/>
        </w:rPr>
        <w:t>[</w:t>
      </w:r>
      <w:r w:rsidRPr="00781112">
        <w:rPr>
          <w:rFonts w:cs="Arial"/>
          <w:color w:val="000000" w:themeColor="text1"/>
          <w:szCs w:val="16"/>
          <w:shd w:val="clear" w:color="auto" w:fill="FFFFFF"/>
        </w:rPr>
        <w:t xml:space="preserve">(# of </w:t>
      </w:r>
      <w:r w:rsidR="00315E88" w:rsidRPr="00781112">
        <w:rPr>
          <w:rFonts w:cs="Arial"/>
          <w:color w:val="000000" w:themeColor="text1"/>
          <w:szCs w:val="16"/>
          <w:shd w:val="clear" w:color="auto" w:fill="FFFFFF"/>
        </w:rPr>
        <w:t xml:space="preserve">LEAs </w:t>
      </w:r>
      <w:r w:rsidRPr="00781112">
        <w:rPr>
          <w:rFonts w:cs="Arial"/>
          <w:color w:val="000000" w:themeColor="text1"/>
          <w:szCs w:val="16"/>
          <w:shd w:val="clear" w:color="auto" w:fill="FFFFFF"/>
        </w:rPr>
        <w:t>that meet the State-established n</w:t>
      </w:r>
      <w:r w:rsidR="0087130D" w:rsidRPr="00781112">
        <w:rPr>
          <w:rFonts w:cs="Arial"/>
          <w:color w:val="000000" w:themeColor="text1"/>
          <w:szCs w:val="16"/>
          <w:shd w:val="clear" w:color="auto" w:fill="FFFFFF"/>
        </w:rPr>
        <w:t xml:space="preserve"> </w:t>
      </w:r>
      <w:r w:rsidR="0087130D" w:rsidRPr="00781112">
        <w:rPr>
          <w:rFonts w:cs="Arial"/>
          <w:szCs w:val="16"/>
          <w:shd w:val="clear" w:color="auto" w:fill="FFFFFF"/>
        </w:rPr>
        <w:t>and/or cell</w:t>
      </w:r>
      <w:r w:rsidRPr="00781112">
        <w:rPr>
          <w:rFonts w:cs="Arial"/>
          <w:color w:val="000000" w:themeColor="text1"/>
          <w:szCs w:val="16"/>
          <w:shd w:val="clear" w:color="auto" w:fill="FFFFFF"/>
        </w:rPr>
        <w:t xml:space="preserve"> size (if applicable) that have a significant discrepancy</w:t>
      </w:r>
      <w:r w:rsidR="00770816" w:rsidRPr="00781112">
        <w:rPr>
          <w:rFonts w:cs="Arial"/>
          <w:color w:val="000000" w:themeColor="text1"/>
          <w:szCs w:val="16"/>
          <w:shd w:val="clear" w:color="auto" w:fill="FFFFFF"/>
        </w:rPr>
        <w:t xml:space="preserve">, </w:t>
      </w:r>
      <w:r w:rsidR="00770816" w:rsidRPr="00781112">
        <w:rPr>
          <w:rFonts w:cs="Arial"/>
          <w:szCs w:val="16"/>
          <w:shd w:val="clear" w:color="auto" w:fill="FFFFFF"/>
        </w:rPr>
        <w:t>as defined by the State,</w:t>
      </w:r>
      <w:r w:rsidRPr="00781112">
        <w:rPr>
          <w:rFonts w:cs="Arial"/>
          <w:color w:val="000000" w:themeColor="text1"/>
          <w:szCs w:val="16"/>
          <w:shd w:val="clear" w:color="auto" w:fill="FFFFFF"/>
        </w:rPr>
        <w:t xml:space="preserve"> in the rates of suspensions and expulsions for </w:t>
      </w:r>
      <w:r w:rsidR="001F6583" w:rsidRPr="00781112">
        <w:rPr>
          <w:rFonts w:cs="Arial"/>
          <w:color w:val="000000" w:themeColor="text1"/>
          <w:szCs w:val="16"/>
          <w:shd w:val="clear" w:color="auto" w:fill="FFFFFF"/>
        </w:rPr>
        <w:t xml:space="preserve">more </w:t>
      </w:r>
      <w:r w:rsidRPr="00781112">
        <w:rPr>
          <w:rFonts w:cs="Arial"/>
          <w:color w:val="000000" w:themeColor="text1"/>
          <w:szCs w:val="16"/>
          <w:shd w:val="clear" w:color="auto" w:fill="FFFFFF"/>
        </w:rPr>
        <w:t xml:space="preserve">than 10 days </w:t>
      </w:r>
      <w:r w:rsidR="001F6583" w:rsidRPr="00781112">
        <w:rPr>
          <w:rFonts w:cs="Arial"/>
          <w:color w:val="000000" w:themeColor="text1"/>
          <w:szCs w:val="16"/>
          <w:shd w:val="clear" w:color="auto" w:fill="FFFFFF"/>
        </w:rPr>
        <w:t xml:space="preserve">during </w:t>
      </w:r>
      <w:r w:rsidR="00041274" w:rsidRPr="00781112">
        <w:rPr>
          <w:rFonts w:cs="Arial"/>
          <w:color w:val="000000" w:themeColor="text1"/>
          <w:szCs w:val="16"/>
          <w:shd w:val="clear" w:color="auto" w:fill="FFFFFF"/>
        </w:rPr>
        <w:t xml:space="preserve">the </w:t>
      </w:r>
      <w:r w:rsidRPr="00781112">
        <w:rPr>
          <w:rFonts w:cs="Arial"/>
          <w:color w:val="000000" w:themeColor="text1"/>
          <w:szCs w:val="16"/>
          <w:shd w:val="clear" w:color="auto" w:fill="FFFFFF"/>
        </w:rPr>
        <w:t xml:space="preserve">school year of children with IEPs) divided by the (# of </w:t>
      </w:r>
      <w:r w:rsidR="00041274" w:rsidRPr="00781112">
        <w:rPr>
          <w:rFonts w:cs="Arial"/>
          <w:color w:val="000000" w:themeColor="text1"/>
          <w:szCs w:val="16"/>
          <w:shd w:val="clear" w:color="auto" w:fill="FFFFFF"/>
        </w:rPr>
        <w:t xml:space="preserve">LEAs </w:t>
      </w:r>
      <w:r w:rsidRPr="00781112">
        <w:rPr>
          <w:rFonts w:cs="Arial"/>
          <w:color w:val="000000" w:themeColor="text1"/>
          <w:szCs w:val="16"/>
          <w:shd w:val="clear" w:color="auto" w:fill="FFFFFF"/>
        </w:rPr>
        <w:t>in the State that meet the State-established n</w:t>
      </w:r>
      <w:r w:rsidR="00041274" w:rsidRPr="00781112">
        <w:rPr>
          <w:rFonts w:cs="Arial"/>
          <w:color w:val="000000" w:themeColor="text1"/>
          <w:szCs w:val="16"/>
          <w:shd w:val="clear" w:color="auto" w:fill="FFFFFF"/>
        </w:rPr>
        <w:t xml:space="preserve"> and</w:t>
      </w:r>
      <w:r w:rsidR="00742DCB" w:rsidRPr="00781112">
        <w:rPr>
          <w:rFonts w:cs="Arial"/>
          <w:color w:val="000000" w:themeColor="text1"/>
          <w:szCs w:val="16"/>
          <w:shd w:val="clear" w:color="auto" w:fill="FFFFFF"/>
        </w:rPr>
        <w:t>/or cell</w:t>
      </w:r>
      <w:r w:rsidRPr="00781112">
        <w:rPr>
          <w:rFonts w:cs="Arial"/>
          <w:color w:val="000000" w:themeColor="text1"/>
          <w:szCs w:val="16"/>
          <w:shd w:val="clear" w:color="auto" w:fill="FFFFFF"/>
        </w:rPr>
        <w:t xml:space="preserve"> size (if applicable))</w:t>
      </w:r>
      <w:r w:rsidR="009B02BC" w:rsidRPr="00781112">
        <w:rPr>
          <w:rFonts w:cs="Arial"/>
          <w:color w:val="000000" w:themeColor="text1"/>
          <w:szCs w:val="16"/>
          <w:shd w:val="clear" w:color="auto" w:fill="FFFFFF"/>
        </w:rPr>
        <w:t>]</w:t>
      </w:r>
      <w:r w:rsidRPr="00781112">
        <w:rPr>
          <w:rFonts w:cs="Arial"/>
          <w:color w:val="000000" w:themeColor="text1"/>
          <w:szCs w:val="16"/>
          <w:shd w:val="clear" w:color="auto" w:fill="FFFFFF"/>
        </w:rPr>
        <w:t xml:space="preserve"> times 100.</w:t>
      </w:r>
    </w:p>
    <w:p w14:paraId="4D7272B6" w14:textId="2A0B0F5F" w:rsidR="00636061" w:rsidRPr="00781112" w:rsidRDefault="00636061" w:rsidP="00286BDF">
      <w:pPr>
        <w:rPr>
          <w:rFonts w:cs="Arial"/>
          <w:color w:val="000000" w:themeColor="text1"/>
          <w:szCs w:val="16"/>
        </w:rPr>
      </w:pPr>
      <w:r w:rsidRPr="00781112">
        <w:rPr>
          <w:rFonts w:cs="Arial"/>
          <w:color w:val="000000" w:themeColor="text1"/>
          <w:szCs w:val="16"/>
          <w:shd w:val="clear" w:color="auto" w:fill="FFFFFF"/>
        </w:rPr>
        <w:t>Include State’s definition of “significant discrepancy.”</w:t>
      </w:r>
    </w:p>
    <w:p w14:paraId="0C71C487" w14:textId="316E6449" w:rsidR="000A5A2E" w:rsidRPr="00781112" w:rsidRDefault="000A5A2E" w:rsidP="004369B2">
      <w:pPr>
        <w:rPr>
          <w:color w:val="000000" w:themeColor="text1"/>
        </w:rPr>
      </w:pPr>
      <w:r w:rsidRPr="00781112">
        <w:rPr>
          <w:b/>
          <w:color w:val="000000" w:themeColor="text1"/>
        </w:rPr>
        <w:t>Instructions</w:t>
      </w:r>
    </w:p>
    <w:p w14:paraId="20DD9B9C" w14:textId="5B313E3D" w:rsidR="000A5A2E" w:rsidRPr="00781112" w:rsidRDefault="00636061" w:rsidP="00BB7BC9">
      <w:pPr>
        <w:rPr>
          <w:rFonts w:cs="Arial"/>
          <w:color w:val="000000" w:themeColor="text1"/>
          <w:szCs w:val="16"/>
        </w:rPr>
      </w:pPr>
      <w:r w:rsidRPr="00781112">
        <w:rPr>
          <w:rFonts w:cs="Arial"/>
          <w:color w:val="000000" w:themeColor="text1"/>
          <w:szCs w:val="16"/>
        </w:rPr>
        <w:t xml:space="preserve">If the State has established a minimum n and/or cell size requirement, the State may only include, in both the numerator and the denominator, LEAs that met that State-established n and/or cell size. If the State used a minimum n and/or cell size requirement, report the number of LEAs </w:t>
      </w:r>
      <w:r w:rsidR="00F65586">
        <w:rPr>
          <w:rFonts w:cs="Arial"/>
          <w:color w:val="000000" w:themeColor="text1"/>
          <w:szCs w:val="16"/>
        </w:rPr>
        <w:t>to</w:t>
      </w:r>
      <w:r w:rsidR="00862019">
        <w:rPr>
          <w:rFonts w:cs="Arial"/>
          <w:color w:val="000000" w:themeColor="text1"/>
          <w:szCs w:val="16"/>
        </w:rPr>
        <w:t>t</w:t>
      </w:r>
      <w:r w:rsidR="00F65586">
        <w:rPr>
          <w:rFonts w:cs="Arial"/>
          <w:color w:val="000000" w:themeColor="text1"/>
          <w:szCs w:val="16"/>
        </w:rPr>
        <w:t xml:space="preserve">ally </w:t>
      </w:r>
      <w:r w:rsidRPr="00781112">
        <w:rPr>
          <w:rFonts w:cs="Arial"/>
          <w:color w:val="000000" w:themeColor="text1"/>
          <w:szCs w:val="16"/>
        </w:rPr>
        <w:t xml:space="preserve">excluded from the calculation </w:t>
      </w:r>
      <w:proofErr w:type="gramStart"/>
      <w:r w:rsidRPr="00781112">
        <w:rPr>
          <w:rFonts w:cs="Arial"/>
          <w:color w:val="000000" w:themeColor="text1"/>
          <w:szCs w:val="16"/>
        </w:rPr>
        <w:t>as a result of</w:t>
      </w:r>
      <w:proofErr w:type="gramEnd"/>
      <w:r w:rsidRPr="00781112">
        <w:rPr>
          <w:rFonts w:cs="Arial"/>
          <w:color w:val="000000" w:themeColor="text1"/>
          <w:szCs w:val="16"/>
        </w:rPr>
        <w:t xml:space="preserve"> this requirement.</w:t>
      </w:r>
    </w:p>
    <w:p w14:paraId="3AD8FD7E" w14:textId="170B3CE4" w:rsidR="00636061" w:rsidRPr="00781112" w:rsidRDefault="00A14B5D" w:rsidP="00BB7BC9">
      <w:pPr>
        <w:rPr>
          <w:rFonts w:cs="Arial"/>
          <w:color w:val="000000" w:themeColor="text1"/>
          <w:szCs w:val="16"/>
        </w:rPr>
      </w:pPr>
      <w:r w:rsidRPr="00781112">
        <w:rPr>
          <w:rFonts w:cs="Arial"/>
          <w:color w:val="000000" w:themeColor="text1"/>
          <w:szCs w:val="16"/>
        </w:rPr>
        <w:t>Describe the results of the State’s examination of the data for the year before the reporting year (e.g., for the FFY 2022 SPP/APR, use data from 2021-2022), including data disaggregated by race and ethnicity to determine if significant discrepancies</w:t>
      </w:r>
      <w:r w:rsidR="001E6FDD" w:rsidRPr="00781112">
        <w:rPr>
          <w:rFonts w:cs="Arial"/>
          <w:szCs w:val="16"/>
        </w:rPr>
        <w:t xml:space="preserve">, as defined by the State, </w:t>
      </w:r>
      <w:r w:rsidRPr="00781112">
        <w:rPr>
          <w:rFonts w:cs="Arial"/>
          <w:color w:val="000000" w:themeColor="text1"/>
          <w:szCs w:val="16"/>
        </w:rPr>
        <w:t xml:space="preserve">are occurring in the rates of long-term suspensions and expulsions </w:t>
      </w:r>
      <w:r w:rsidR="00E14CF0" w:rsidRPr="00781112">
        <w:rPr>
          <w:rFonts w:cs="Arial"/>
          <w:szCs w:val="16"/>
        </w:rPr>
        <w:t xml:space="preserve">(more than 10 days during the school year) </w:t>
      </w:r>
      <w:r w:rsidRPr="00781112">
        <w:rPr>
          <w:rFonts w:cs="Arial"/>
          <w:color w:val="000000" w:themeColor="text1"/>
          <w:szCs w:val="16"/>
        </w:rPr>
        <w:t>of children with IEPs, as required at 20 U.S.C. 1412(a)(22). The State’s examination must include one of the following comparisons:</w:t>
      </w:r>
    </w:p>
    <w:p w14:paraId="4D5D1D9E" w14:textId="3C303A84" w:rsidR="00636061" w:rsidRPr="00781112" w:rsidRDefault="006279F2" w:rsidP="006A01BD">
      <w:pPr>
        <w:ind w:firstLine="720"/>
        <w:rPr>
          <w:rFonts w:cs="Arial"/>
          <w:color w:val="000000" w:themeColor="text1"/>
          <w:szCs w:val="16"/>
        </w:rPr>
      </w:pPr>
      <w:r w:rsidRPr="00781112">
        <w:rPr>
          <w:rFonts w:cs="Arial"/>
          <w:color w:val="000000" w:themeColor="text1"/>
          <w:szCs w:val="16"/>
        </w:rPr>
        <w:t>--The rates of suspensions and expulsions for children with IEPs among LEAs within the State; or</w:t>
      </w:r>
    </w:p>
    <w:p w14:paraId="671599A1" w14:textId="4BC66802" w:rsidR="00636061" w:rsidRPr="00781112" w:rsidRDefault="006279F2" w:rsidP="00BA3DBE">
      <w:pPr>
        <w:ind w:left="720"/>
        <w:rPr>
          <w:rFonts w:cs="Arial"/>
          <w:color w:val="000000" w:themeColor="text1"/>
          <w:szCs w:val="16"/>
        </w:rPr>
      </w:pPr>
      <w:r w:rsidRPr="00781112">
        <w:rPr>
          <w:rFonts w:cs="Arial"/>
          <w:color w:val="000000" w:themeColor="text1"/>
          <w:szCs w:val="16"/>
        </w:rPr>
        <w:t>--The rates of suspensions and expulsions for children with IEPs to</w:t>
      </w:r>
      <w:r w:rsidR="00F65586">
        <w:rPr>
          <w:rFonts w:cs="Arial"/>
          <w:color w:val="000000" w:themeColor="text1"/>
          <w:szCs w:val="16"/>
        </w:rPr>
        <w:t xml:space="preserve"> </w:t>
      </w:r>
      <w:bookmarkStart w:id="22" w:name="_Hlk150863518"/>
      <w:r w:rsidR="00F65586">
        <w:rPr>
          <w:rFonts w:cs="Arial"/>
          <w:color w:val="000000" w:themeColor="text1"/>
          <w:szCs w:val="16"/>
        </w:rPr>
        <w:t>rates of suspensions and expulsions for</w:t>
      </w:r>
      <w:r w:rsidRPr="00781112">
        <w:rPr>
          <w:rFonts w:cs="Arial"/>
          <w:color w:val="000000" w:themeColor="text1"/>
          <w:szCs w:val="16"/>
        </w:rPr>
        <w:t xml:space="preserve"> </w:t>
      </w:r>
      <w:bookmarkEnd w:id="22"/>
      <w:r w:rsidRPr="00781112">
        <w:rPr>
          <w:rFonts w:cs="Arial"/>
          <w:color w:val="000000" w:themeColor="text1"/>
          <w:szCs w:val="16"/>
        </w:rPr>
        <w:t>nondisabled children within the</w:t>
      </w:r>
      <w:r w:rsidR="00F65586">
        <w:rPr>
          <w:rFonts w:cs="Arial"/>
          <w:color w:val="000000" w:themeColor="text1"/>
          <w:szCs w:val="16"/>
        </w:rPr>
        <w:t xml:space="preserve"> </w:t>
      </w:r>
      <w:r w:rsidRPr="00781112">
        <w:rPr>
          <w:rFonts w:cs="Arial"/>
          <w:color w:val="000000" w:themeColor="text1"/>
          <w:szCs w:val="16"/>
        </w:rPr>
        <w:t>LEAs</w:t>
      </w:r>
      <w:r w:rsidR="00F65586">
        <w:rPr>
          <w:rFonts w:cs="Arial"/>
          <w:color w:val="000000" w:themeColor="text1"/>
          <w:szCs w:val="16"/>
        </w:rPr>
        <w:t>.</w:t>
      </w:r>
    </w:p>
    <w:p w14:paraId="64CB6014" w14:textId="58F4D965" w:rsidR="00636061" w:rsidRPr="00781112" w:rsidRDefault="00636061" w:rsidP="00BB7BC9">
      <w:pPr>
        <w:rPr>
          <w:rFonts w:cs="Arial"/>
          <w:color w:val="000000" w:themeColor="text1"/>
          <w:szCs w:val="16"/>
        </w:rPr>
      </w:pPr>
      <w:r w:rsidRPr="00781112">
        <w:rPr>
          <w:rFonts w:cs="Arial"/>
          <w:color w:val="000000" w:themeColor="text1"/>
          <w:szCs w:val="16"/>
        </w:rPr>
        <w:t>In the description, specify which method the State used to determine possible discrepancies and explain what constitutes those discrepancies.</w:t>
      </w:r>
    </w:p>
    <w:p w14:paraId="222C5D4B" w14:textId="2B719143" w:rsidR="004F019B" w:rsidRPr="00781112" w:rsidRDefault="004F019B" w:rsidP="004F019B">
      <w:pPr>
        <w:rPr>
          <w:rFonts w:cs="Arial"/>
          <w:szCs w:val="16"/>
        </w:rPr>
      </w:pPr>
      <w:r w:rsidRPr="00781112">
        <w:rPr>
          <w:rFonts w:cs="Arial"/>
          <w:szCs w:val="16"/>
        </w:rPr>
        <w:t xml:space="preserve">Because the measurement table requires that the data examined for this indicator are lag year data, States should examine the </w:t>
      </w:r>
      <w:r w:rsidR="00D5021D">
        <w:rPr>
          <w:rFonts w:cs="Arial"/>
          <w:szCs w:val="16"/>
        </w:rPr>
        <w:t xml:space="preserve">section </w:t>
      </w:r>
      <w:r w:rsidRPr="00781112">
        <w:rPr>
          <w:rFonts w:cs="Arial"/>
          <w:szCs w:val="16"/>
        </w:rPr>
        <w:t xml:space="preserve">618 data that was submitted by LEAs that were in operation during the school year before the reporting year. For example, if a State has 100 LEAs operating in the 2021-2022 school year, those 100 LEAs would have reported </w:t>
      </w:r>
      <w:r w:rsidR="00D5021D">
        <w:rPr>
          <w:rFonts w:cs="Arial"/>
          <w:szCs w:val="16"/>
        </w:rPr>
        <w:t xml:space="preserve">section </w:t>
      </w:r>
      <w:r w:rsidRPr="00781112">
        <w:rPr>
          <w:rFonts w:cs="Arial"/>
          <w:szCs w:val="16"/>
        </w:rPr>
        <w:t xml:space="preserve">618 data in 2021-2022 on the number of children suspended/expelled. If the State then opens 15 new LEAs in 2022-2023, suspension/expulsion data from those 15 new LEAs would not be in the 2021-2022 </w:t>
      </w:r>
      <w:r w:rsidR="00D5021D">
        <w:rPr>
          <w:rFonts w:cs="Arial"/>
          <w:szCs w:val="16"/>
        </w:rPr>
        <w:t xml:space="preserve">section </w:t>
      </w:r>
      <w:r w:rsidRPr="00781112">
        <w:rPr>
          <w:rFonts w:cs="Arial"/>
          <w:szCs w:val="16"/>
        </w:rPr>
        <w:t xml:space="preserve">618 data set, and therefore, those 15 new LEAs should not be included in the denominator of the calculation. States must use the number of LEAs from the year before the reporting year in </w:t>
      </w:r>
      <w:proofErr w:type="gramStart"/>
      <w:r w:rsidRPr="00781112">
        <w:rPr>
          <w:rFonts w:cs="Arial"/>
          <w:szCs w:val="16"/>
        </w:rPr>
        <w:t>its</w:t>
      </w:r>
      <w:proofErr w:type="gramEnd"/>
      <w:r w:rsidRPr="00781112">
        <w:rPr>
          <w:rFonts w:cs="Arial"/>
          <w:szCs w:val="16"/>
        </w:rPr>
        <w:t xml:space="preserve"> calculation for this indicator. For the FFY 2022 SPP/APR submission, States must use the number of LEAs reported in 2021-2022 (which can be found in the FFY 2021 SPP/APR introduction).</w:t>
      </w:r>
    </w:p>
    <w:p w14:paraId="2CD8E267" w14:textId="1590FF94" w:rsidR="00636061" w:rsidRPr="00781112" w:rsidRDefault="00636061" w:rsidP="00BB7BC9">
      <w:pPr>
        <w:rPr>
          <w:rFonts w:cs="Arial"/>
          <w:color w:val="000000" w:themeColor="text1"/>
          <w:szCs w:val="16"/>
        </w:rPr>
      </w:pPr>
      <w:r w:rsidRPr="00781112">
        <w:rPr>
          <w:rFonts w:cs="Arial"/>
          <w:color w:val="000000" w:themeColor="text1"/>
          <w:szCs w:val="16"/>
        </w:rPr>
        <w:t xml:space="preserve">Indicator 4A: Provide the actual numbers used in the calculation (based upon </w:t>
      </w:r>
      <w:r w:rsidR="00FC69E3">
        <w:rPr>
          <w:rFonts w:cs="Arial"/>
          <w:color w:val="000000" w:themeColor="text1"/>
          <w:szCs w:val="16"/>
        </w:rPr>
        <w:t>LEAs</w:t>
      </w:r>
      <w:r w:rsidR="00FC69E3" w:rsidRPr="00781112">
        <w:rPr>
          <w:rFonts w:cs="Arial"/>
          <w:color w:val="000000" w:themeColor="text1"/>
          <w:szCs w:val="16"/>
        </w:rPr>
        <w:t xml:space="preserve"> </w:t>
      </w:r>
      <w:r w:rsidRPr="00781112">
        <w:rPr>
          <w:rFonts w:cs="Arial"/>
          <w:color w:val="000000" w:themeColor="text1"/>
          <w:szCs w:val="16"/>
        </w:rPr>
        <w:t>that met the minimum n and/or cell size requirement, if applicable). If significant discrepancies occurred, describe how the State educational agency reviewed and, if appropriate, revised (or required the affected local educational agency to revise) its policies, procedures, and practices relating to the development and implementation of IEPs, the use of positive behavioral interventions and supports, and procedural safeguards, to ensure that such policies, procedures, and practices comply with applicable requirements.</w:t>
      </w:r>
    </w:p>
    <w:p w14:paraId="03BDAB2D" w14:textId="605FCEE6" w:rsidR="00636061" w:rsidRPr="00781112" w:rsidRDefault="00636061" w:rsidP="00BB7BC9">
      <w:pPr>
        <w:rPr>
          <w:rFonts w:cs="Arial"/>
          <w:color w:val="000000" w:themeColor="text1"/>
          <w:szCs w:val="16"/>
        </w:rPr>
      </w:pPr>
      <w:r w:rsidRPr="00781112">
        <w:rPr>
          <w:rFonts w:cs="Arial"/>
          <w:color w:val="000000" w:themeColor="text1"/>
          <w:szCs w:val="16"/>
        </w:rPr>
        <w:t xml:space="preserve">Provide detailed information about the timely correction of </w:t>
      </w:r>
      <w:bookmarkStart w:id="23" w:name="_Hlk150863571"/>
      <w:r w:rsidR="00FC69E3">
        <w:rPr>
          <w:rFonts w:cs="Arial"/>
          <w:color w:val="000000" w:themeColor="text1"/>
          <w:szCs w:val="16"/>
        </w:rPr>
        <w:t xml:space="preserve">child-specific and regulatory/systemic </w:t>
      </w:r>
      <w:bookmarkEnd w:id="23"/>
      <w:r w:rsidRPr="00781112">
        <w:rPr>
          <w:rFonts w:cs="Arial"/>
          <w:color w:val="000000" w:themeColor="text1"/>
          <w:szCs w:val="16"/>
        </w:rPr>
        <w:t>noncompliance as noted in OSEP’s response for the previous SPP/APR. If discrepancies occurred and the LEA with discrepancies had policies, procedures or practices that contributed to the significant discrepancy,</w:t>
      </w:r>
      <w:r w:rsidR="00ED1949" w:rsidRPr="00781112">
        <w:rPr>
          <w:rFonts w:cs="Arial"/>
          <w:szCs w:val="16"/>
        </w:rPr>
        <w:t xml:space="preserve"> as defined by the State,</w:t>
      </w:r>
      <w:r w:rsidRPr="00781112">
        <w:rPr>
          <w:rFonts w:cs="Arial"/>
          <w:color w:val="000000" w:themeColor="text1"/>
          <w:szCs w:val="16"/>
        </w:rPr>
        <w:t xml:space="preserve"> and that do not comply with requirements relating to the development and implementation of IEPs, the use of positive behavioral interventions and supports, and procedural safeguards, describe how the State ensured that such policies, procedures, and practices were revised to comply with applicable requirements consistent with OSEP</w:t>
      </w:r>
      <w:r w:rsidR="004D1797">
        <w:rPr>
          <w:rFonts w:cs="Arial"/>
          <w:color w:val="000000" w:themeColor="text1"/>
          <w:szCs w:val="16"/>
        </w:rPr>
        <w:t xml:space="preserve"> </w:t>
      </w:r>
      <w:r w:rsidR="004D1797" w:rsidRPr="00BA3DBE">
        <w:rPr>
          <w:rFonts w:cs="Arial"/>
          <w:bCs/>
          <w:color w:val="000000" w:themeColor="text1"/>
          <w:szCs w:val="16"/>
        </w:rPr>
        <w:t>QA 23-01, dated July 24, 2023</w:t>
      </w:r>
      <w:r w:rsidRPr="00781112">
        <w:rPr>
          <w:rFonts w:cs="Arial"/>
          <w:color w:val="000000" w:themeColor="text1"/>
          <w:szCs w:val="16"/>
        </w:rPr>
        <w:t>.</w:t>
      </w:r>
    </w:p>
    <w:p w14:paraId="6D645554" w14:textId="56914A76" w:rsidR="00636061" w:rsidRPr="00781112" w:rsidRDefault="00636061" w:rsidP="00BB7BC9">
      <w:pPr>
        <w:rPr>
          <w:rFonts w:cs="Arial"/>
          <w:color w:val="000000" w:themeColor="text1"/>
          <w:szCs w:val="16"/>
        </w:rPr>
      </w:pPr>
      <w:r w:rsidRPr="00781112">
        <w:rPr>
          <w:rFonts w:cs="Arial"/>
          <w:color w:val="000000" w:themeColor="text1"/>
          <w:szCs w:val="16"/>
        </w:rPr>
        <w:t>If the State did not ensure timely correction of the previous noncompliance, provide information on the extent to which noncompliance was subsequently corrected (more than one year after identification). In addition, provide information regarding the nature of any continuing noncompliance, improvement activities completed (e.g., review of policies and procedures, technical assistance, training) and any enforcement actions that were taken.</w:t>
      </w:r>
    </w:p>
    <w:p w14:paraId="406A7CC3" w14:textId="5FE1C245" w:rsidR="00636061" w:rsidRPr="00781112" w:rsidRDefault="00A14B5D" w:rsidP="00BB7BC9">
      <w:pPr>
        <w:rPr>
          <w:rFonts w:cs="Arial"/>
          <w:color w:val="000000" w:themeColor="text1"/>
          <w:szCs w:val="16"/>
        </w:rPr>
      </w:pPr>
      <w:r w:rsidRPr="00781112">
        <w:rPr>
          <w:rFonts w:cs="Arial"/>
          <w:color w:val="000000" w:themeColor="text1"/>
          <w:szCs w:val="16"/>
        </w:rPr>
        <w:t>If the State reported less than 100% compliance for the previous reporting period (e.g., for the FFY 2022 SPP/APR, the data for FFY 2021), and the State did not identify any findings of noncompliance, provide an explanation of why the State did not identify any findings of noncompliance.</w:t>
      </w:r>
    </w:p>
    <w:p w14:paraId="216100ED" w14:textId="6483EA1E" w:rsidR="006E5AE4" w:rsidRPr="00781112" w:rsidRDefault="00697434" w:rsidP="008645AD">
      <w:pPr>
        <w:pStyle w:val="Heading2"/>
      </w:pPr>
      <w:bookmarkStart w:id="24" w:name="_Toc384383332"/>
      <w:bookmarkStart w:id="25" w:name="_Toc392159284"/>
      <w:bookmarkEnd w:id="20"/>
      <w:bookmarkEnd w:id="21"/>
      <w:r w:rsidRPr="00781112">
        <w:t>4A</w:t>
      </w:r>
      <w:r w:rsidR="00DA3C7A" w:rsidRPr="00781112">
        <w:t xml:space="preserve"> </w:t>
      </w:r>
      <w:r w:rsidRPr="00781112">
        <w:t xml:space="preserve">- </w:t>
      </w:r>
      <w:r w:rsidR="006E5AE4" w:rsidRPr="00781112">
        <w:t>Indicator Data</w:t>
      </w:r>
    </w:p>
    <w:p w14:paraId="4E76A356" w14:textId="4BD9398E" w:rsidR="00EC46E4" w:rsidRPr="00781112" w:rsidRDefault="00EC46E4" w:rsidP="004369B2">
      <w:pPr>
        <w:rPr>
          <w:b/>
          <w:color w:val="000000" w:themeColor="text1"/>
        </w:rPr>
      </w:pPr>
      <w:r w:rsidRPr="00781112">
        <w:rPr>
          <w:b/>
          <w:color w:val="000000" w:themeColor="text1"/>
        </w:rPr>
        <w:t>Historical Data</w:t>
      </w:r>
    </w:p>
    <w:tbl>
      <w:tblPr>
        <w:tblStyle w:val="TableGrid"/>
        <w:tblW w:w="0" w:type="auto"/>
        <w:tblLook w:val="04A0" w:firstRow="1" w:lastRow="0" w:firstColumn="1" w:lastColumn="0" w:noHBand="0" w:noVBand="1"/>
        <w:tblCaption w:val="B04ABASELINEDATA"/>
      </w:tblPr>
      <w:tblGrid>
        <w:gridCol w:w="2562"/>
        <w:gridCol w:w="2563"/>
      </w:tblGrid>
      <w:tr w:rsidR="002B6965" w:rsidRPr="00781112" w14:paraId="5B1BF1C8" w14:textId="77777777" w:rsidTr="002B6965">
        <w:trPr>
          <w:trHeight w:val="311"/>
          <w:tblHeader/>
        </w:trPr>
        <w:tc>
          <w:tcPr>
            <w:tcW w:w="2562" w:type="dxa"/>
          </w:tcPr>
          <w:p w14:paraId="3EC58E83" w14:textId="77777777" w:rsidR="002B6965" w:rsidRPr="00781112" w:rsidRDefault="002B6965" w:rsidP="002B6965">
            <w:pPr>
              <w:jc w:val="center"/>
              <w:rPr>
                <w:b/>
                <w:color w:val="000000" w:themeColor="text1"/>
              </w:rPr>
            </w:pPr>
            <w:r w:rsidRPr="00781112">
              <w:rPr>
                <w:rFonts w:cs="Arial"/>
                <w:b/>
                <w:color w:val="000000" w:themeColor="text1"/>
                <w:szCs w:val="16"/>
              </w:rPr>
              <w:t>Baseline Year</w:t>
            </w:r>
          </w:p>
        </w:tc>
        <w:tc>
          <w:tcPr>
            <w:tcW w:w="2563" w:type="dxa"/>
          </w:tcPr>
          <w:p w14:paraId="3BF90404" w14:textId="77777777" w:rsidR="002B6965" w:rsidRPr="00781112" w:rsidRDefault="002B6965" w:rsidP="002B6965">
            <w:pPr>
              <w:jc w:val="center"/>
              <w:rPr>
                <w:b/>
                <w:color w:val="000000" w:themeColor="text1"/>
              </w:rPr>
            </w:pPr>
            <w:r w:rsidRPr="00781112">
              <w:rPr>
                <w:b/>
                <w:color w:val="000000" w:themeColor="text1"/>
              </w:rPr>
              <w:t>Baseline Data</w:t>
            </w:r>
          </w:p>
        </w:tc>
      </w:tr>
      <w:tr w:rsidR="002B6965" w:rsidRPr="00781112" w14:paraId="5EF83473" w14:textId="77777777" w:rsidTr="002B6965">
        <w:trPr>
          <w:trHeight w:val="311"/>
        </w:trPr>
        <w:tc>
          <w:tcPr>
            <w:tcW w:w="2562" w:type="dxa"/>
            <w:vAlign w:val="center"/>
          </w:tcPr>
          <w:p w14:paraId="5A1767D0" w14:textId="7AC9A457" w:rsidR="002B6965" w:rsidRPr="00781112" w:rsidRDefault="002B6965" w:rsidP="002B6965">
            <w:pPr>
              <w:jc w:val="center"/>
              <w:rPr>
                <w:b/>
                <w:color w:val="000000" w:themeColor="text1"/>
              </w:rPr>
            </w:pPr>
            <w:r w:rsidRPr="00781112">
              <w:rPr>
                <w:rFonts w:cs="Arial"/>
                <w:color w:val="000000" w:themeColor="text1"/>
                <w:szCs w:val="16"/>
              </w:rPr>
              <w:t>2016</w:t>
            </w:r>
          </w:p>
        </w:tc>
        <w:tc>
          <w:tcPr>
            <w:tcW w:w="2563" w:type="dxa"/>
            <w:vAlign w:val="center"/>
          </w:tcPr>
          <w:p w14:paraId="4EF66E74" w14:textId="7A5DFEFF" w:rsidR="002B6965" w:rsidRPr="00781112" w:rsidRDefault="002B6965" w:rsidP="002B6965">
            <w:pPr>
              <w:jc w:val="center"/>
              <w:rPr>
                <w:b/>
                <w:color w:val="000000" w:themeColor="text1"/>
              </w:rPr>
            </w:pPr>
            <w:r w:rsidRPr="00781112">
              <w:rPr>
                <w:rFonts w:cs="Arial"/>
                <w:color w:val="000000" w:themeColor="text1"/>
                <w:szCs w:val="16"/>
              </w:rPr>
              <w:t>0.00%</w:t>
            </w:r>
          </w:p>
        </w:tc>
      </w:tr>
    </w:tbl>
    <w:p w14:paraId="6781E363" w14:textId="556D76E5" w:rsidR="002B6965" w:rsidRPr="00781112" w:rsidRDefault="002E111A" w:rsidP="004369B2">
      <w:pPr>
        <w:rPr>
          <w:color w:val="000000" w:themeColor="text1"/>
        </w:rPr>
      </w:pPr>
      <w:r w:rsidRPr="00781112">
        <w:rPr>
          <w:color w:val="000000" w:themeColor="text1"/>
        </w:rPr>
        <w:tab/>
      </w:r>
      <w:r w:rsidRPr="00781112">
        <w:rPr>
          <w:color w:val="000000" w:themeColor="text1"/>
        </w:rPr>
        <w:tab/>
      </w:r>
      <w:r w:rsidRPr="00781112">
        <w:rPr>
          <w:color w:val="000000" w:themeColor="text1"/>
        </w:rPr>
        <w:tab/>
      </w:r>
      <w:r w:rsidRPr="00781112">
        <w:rPr>
          <w:color w:val="000000" w:themeColor="text1"/>
        </w:rPr>
        <w:tab/>
      </w:r>
      <w:r w:rsidRPr="00781112">
        <w:rPr>
          <w:color w:val="000000" w:themeColor="text1"/>
        </w:rPr>
        <w:tab/>
      </w:r>
      <w:r w:rsidRPr="00781112">
        <w:rPr>
          <w:color w:val="000000" w:themeColor="text1"/>
        </w:rPr>
        <w:tab/>
      </w:r>
      <w:r w:rsidRPr="00781112">
        <w:rPr>
          <w:color w:val="000000" w:themeColor="text1"/>
        </w:rPr>
        <w:tab/>
      </w:r>
      <w:r w:rsidRPr="00781112">
        <w:rPr>
          <w:color w:val="000000" w:themeColor="text1"/>
        </w:rPr>
        <w:tab/>
      </w:r>
      <w:r w:rsidRPr="00781112">
        <w:rPr>
          <w:color w:val="000000" w:themeColor="text1"/>
        </w:rPr>
        <w:tab/>
      </w:r>
      <w:r w:rsidRPr="00781112">
        <w:rPr>
          <w:color w:val="000000" w:themeColor="text1"/>
        </w:rPr>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B04AHISTDATA"/>
      </w:tblPr>
      <w:tblGrid>
        <w:gridCol w:w="1798"/>
        <w:gridCol w:w="1798"/>
        <w:gridCol w:w="1798"/>
        <w:gridCol w:w="1798"/>
        <w:gridCol w:w="1798"/>
        <w:gridCol w:w="1800"/>
      </w:tblGrid>
      <w:tr w:rsidR="005C29F8" w:rsidRPr="00781112" w14:paraId="2DAF49AB" w14:textId="32F9B748" w:rsidTr="00E95FBF">
        <w:trPr>
          <w:trHeight w:val="350"/>
        </w:trPr>
        <w:tc>
          <w:tcPr>
            <w:tcW w:w="833" w:type="pct"/>
            <w:tcBorders>
              <w:bottom w:val="single" w:sz="4" w:space="0" w:color="auto"/>
            </w:tcBorders>
            <w:shd w:val="clear" w:color="auto" w:fill="auto"/>
          </w:tcPr>
          <w:p w14:paraId="7844FE4C" w14:textId="77777777" w:rsidR="00E4112E" w:rsidRPr="00781112" w:rsidRDefault="00E4112E" w:rsidP="004369B2">
            <w:pPr>
              <w:jc w:val="center"/>
              <w:rPr>
                <w:b/>
                <w:color w:val="000000" w:themeColor="text1"/>
              </w:rPr>
            </w:pPr>
            <w:r w:rsidRPr="00781112">
              <w:rPr>
                <w:b/>
                <w:color w:val="000000" w:themeColor="text1"/>
              </w:rPr>
              <w:t>FFY</w:t>
            </w:r>
          </w:p>
        </w:tc>
        <w:tc>
          <w:tcPr>
            <w:tcW w:w="833" w:type="pct"/>
            <w:shd w:val="clear" w:color="auto" w:fill="auto"/>
          </w:tcPr>
          <w:p w14:paraId="09DCA0E6" w14:textId="614607D6" w:rsidR="00E4112E" w:rsidRPr="00781112" w:rsidRDefault="002B7490">
            <w:pPr>
              <w:jc w:val="center"/>
              <w:rPr>
                <w:b/>
                <w:color w:val="000000" w:themeColor="text1"/>
              </w:rPr>
            </w:pPr>
            <w:r w:rsidRPr="00781112">
              <w:rPr>
                <w:b/>
                <w:color w:val="000000" w:themeColor="text1"/>
              </w:rPr>
              <w:t>2017</w:t>
            </w:r>
          </w:p>
        </w:tc>
        <w:tc>
          <w:tcPr>
            <w:tcW w:w="833" w:type="pct"/>
            <w:shd w:val="clear" w:color="auto" w:fill="auto"/>
          </w:tcPr>
          <w:p w14:paraId="7015519F" w14:textId="3BECE8C5" w:rsidR="00E4112E" w:rsidRPr="00781112" w:rsidRDefault="002B7490">
            <w:pPr>
              <w:jc w:val="center"/>
              <w:rPr>
                <w:b/>
                <w:color w:val="000000" w:themeColor="text1"/>
              </w:rPr>
            </w:pPr>
            <w:r w:rsidRPr="00781112">
              <w:rPr>
                <w:b/>
                <w:color w:val="000000" w:themeColor="text1"/>
              </w:rPr>
              <w:t>2018</w:t>
            </w:r>
          </w:p>
        </w:tc>
        <w:tc>
          <w:tcPr>
            <w:tcW w:w="833" w:type="pct"/>
            <w:shd w:val="clear" w:color="auto" w:fill="auto"/>
          </w:tcPr>
          <w:p w14:paraId="7CE93832" w14:textId="3E179BB5" w:rsidR="00E4112E" w:rsidRPr="00781112" w:rsidRDefault="002B7490">
            <w:pPr>
              <w:jc w:val="center"/>
              <w:rPr>
                <w:b/>
                <w:color w:val="000000" w:themeColor="text1"/>
              </w:rPr>
            </w:pPr>
            <w:r w:rsidRPr="00781112">
              <w:rPr>
                <w:b/>
                <w:color w:val="000000" w:themeColor="text1"/>
              </w:rPr>
              <w:t>2019</w:t>
            </w:r>
          </w:p>
        </w:tc>
        <w:tc>
          <w:tcPr>
            <w:tcW w:w="833" w:type="pct"/>
            <w:shd w:val="clear" w:color="auto" w:fill="auto"/>
          </w:tcPr>
          <w:p w14:paraId="1A1DC4B0" w14:textId="32B92E1C" w:rsidR="00E4112E" w:rsidRPr="00781112" w:rsidRDefault="002B7490">
            <w:pPr>
              <w:jc w:val="center"/>
              <w:rPr>
                <w:b/>
                <w:color w:val="000000" w:themeColor="text1"/>
              </w:rPr>
            </w:pPr>
            <w:r w:rsidRPr="00781112">
              <w:rPr>
                <w:b/>
                <w:color w:val="000000" w:themeColor="text1"/>
              </w:rPr>
              <w:t>2020</w:t>
            </w:r>
          </w:p>
        </w:tc>
        <w:tc>
          <w:tcPr>
            <w:tcW w:w="834" w:type="pct"/>
            <w:shd w:val="clear" w:color="auto" w:fill="auto"/>
          </w:tcPr>
          <w:p w14:paraId="030F446C" w14:textId="279E0CA2" w:rsidR="00E4112E" w:rsidRPr="00781112" w:rsidRDefault="002B7490">
            <w:pPr>
              <w:jc w:val="center"/>
              <w:rPr>
                <w:b/>
                <w:color w:val="000000" w:themeColor="text1"/>
              </w:rPr>
            </w:pPr>
            <w:r w:rsidRPr="00781112">
              <w:rPr>
                <w:b/>
                <w:color w:val="000000" w:themeColor="text1"/>
              </w:rPr>
              <w:t>2021</w:t>
            </w:r>
          </w:p>
        </w:tc>
      </w:tr>
      <w:tr w:rsidR="005C29F8" w:rsidRPr="00781112" w14:paraId="166D6AFF" w14:textId="0C956946" w:rsidTr="00E95FBF">
        <w:trPr>
          <w:trHeight w:val="357"/>
        </w:trPr>
        <w:tc>
          <w:tcPr>
            <w:tcW w:w="833" w:type="pct"/>
            <w:shd w:val="clear" w:color="auto" w:fill="auto"/>
            <w:vAlign w:val="center"/>
          </w:tcPr>
          <w:p w14:paraId="38AA0076" w14:textId="731BFD6B" w:rsidR="00BB7BC9" w:rsidRPr="00781112" w:rsidRDefault="00BB7BC9" w:rsidP="00BA3DBE">
            <w:pPr>
              <w:jc w:val="center"/>
              <w:rPr>
                <w:rFonts w:cs="Arial"/>
                <w:color w:val="000000" w:themeColor="text1"/>
                <w:szCs w:val="16"/>
              </w:rPr>
            </w:pPr>
            <w:r w:rsidRPr="00781112">
              <w:rPr>
                <w:rFonts w:cs="Arial"/>
                <w:color w:val="000000" w:themeColor="text1"/>
                <w:szCs w:val="16"/>
              </w:rPr>
              <w:t xml:space="preserve">Target </w:t>
            </w:r>
            <w:r w:rsidR="009B02BC" w:rsidRPr="00781112">
              <w:rPr>
                <w:rFonts w:cs="Arial"/>
                <w:color w:val="000000" w:themeColor="text1"/>
                <w:szCs w:val="16"/>
                <w:shd w:val="clear" w:color="auto" w:fill="FFFFFF"/>
              </w:rPr>
              <w:t>&lt;=</w:t>
            </w:r>
          </w:p>
        </w:tc>
        <w:tc>
          <w:tcPr>
            <w:tcW w:w="833" w:type="pct"/>
            <w:shd w:val="clear" w:color="auto" w:fill="auto"/>
            <w:vAlign w:val="center"/>
          </w:tcPr>
          <w:p w14:paraId="6CE07273" w14:textId="702A47D4" w:rsidR="00BB7BC9" w:rsidRPr="00781112" w:rsidRDefault="002B7490" w:rsidP="00A018D4">
            <w:pPr>
              <w:jc w:val="center"/>
              <w:rPr>
                <w:rFonts w:cs="Arial"/>
                <w:color w:val="000000" w:themeColor="text1"/>
                <w:szCs w:val="16"/>
              </w:rPr>
            </w:pPr>
            <w:r w:rsidRPr="00781112">
              <w:rPr>
                <w:rFonts w:cs="Arial"/>
                <w:color w:val="000000" w:themeColor="text1"/>
                <w:szCs w:val="16"/>
              </w:rPr>
              <w:t>0.00%</w:t>
            </w:r>
          </w:p>
        </w:tc>
        <w:tc>
          <w:tcPr>
            <w:tcW w:w="833" w:type="pct"/>
            <w:shd w:val="clear" w:color="auto" w:fill="auto"/>
            <w:vAlign w:val="center"/>
          </w:tcPr>
          <w:p w14:paraId="79939FD5" w14:textId="354F468A" w:rsidR="00BB7BC9" w:rsidRPr="00781112" w:rsidRDefault="002B7490" w:rsidP="00A018D4">
            <w:pPr>
              <w:jc w:val="center"/>
              <w:rPr>
                <w:rFonts w:cs="Arial"/>
                <w:color w:val="000000" w:themeColor="text1"/>
                <w:szCs w:val="16"/>
              </w:rPr>
            </w:pPr>
            <w:r w:rsidRPr="00781112">
              <w:rPr>
                <w:rFonts w:cs="Arial"/>
                <w:color w:val="000000" w:themeColor="text1"/>
                <w:szCs w:val="16"/>
              </w:rPr>
              <w:t>0.00%</w:t>
            </w:r>
          </w:p>
        </w:tc>
        <w:tc>
          <w:tcPr>
            <w:tcW w:w="833" w:type="pct"/>
            <w:shd w:val="clear" w:color="auto" w:fill="auto"/>
            <w:vAlign w:val="center"/>
          </w:tcPr>
          <w:p w14:paraId="2F67AA89" w14:textId="7720B113" w:rsidR="00BB7BC9" w:rsidRPr="00781112" w:rsidRDefault="002B7490" w:rsidP="00A018D4">
            <w:pPr>
              <w:jc w:val="center"/>
              <w:rPr>
                <w:rFonts w:cs="Arial"/>
                <w:color w:val="000000" w:themeColor="text1"/>
                <w:szCs w:val="16"/>
              </w:rPr>
            </w:pPr>
            <w:r w:rsidRPr="00781112">
              <w:rPr>
                <w:rFonts w:cs="Arial"/>
                <w:color w:val="000000" w:themeColor="text1"/>
                <w:szCs w:val="16"/>
              </w:rPr>
              <w:t>0.00%</w:t>
            </w:r>
          </w:p>
        </w:tc>
        <w:tc>
          <w:tcPr>
            <w:tcW w:w="833" w:type="pct"/>
            <w:shd w:val="clear" w:color="auto" w:fill="auto"/>
            <w:vAlign w:val="center"/>
          </w:tcPr>
          <w:p w14:paraId="370622DC" w14:textId="1DC834EA" w:rsidR="00BB7BC9" w:rsidRPr="00781112" w:rsidRDefault="002B7490" w:rsidP="00A018D4">
            <w:pPr>
              <w:jc w:val="center"/>
              <w:rPr>
                <w:rFonts w:cs="Arial"/>
                <w:color w:val="000000" w:themeColor="text1"/>
                <w:szCs w:val="16"/>
              </w:rPr>
            </w:pPr>
            <w:r w:rsidRPr="00781112">
              <w:rPr>
                <w:rFonts w:cs="Arial"/>
                <w:color w:val="000000" w:themeColor="text1"/>
                <w:szCs w:val="16"/>
              </w:rPr>
              <w:t>0.00%</w:t>
            </w:r>
          </w:p>
        </w:tc>
        <w:tc>
          <w:tcPr>
            <w:tcW w:w="834" w:type="pct"/>
            <w:shd w:val="clear" w:color="auto" w:fill="auto"/>
            <w:vAlign w:val="center"/>
          </w:tcPr>
          <w:p w14:paraId="01742AA4" w14:textId="72802F04" w:rsidR="00BB7BC9" w:rsidRPr="00781112" w:rsidRDefault="002B7490" w:rsidP="00A018D4">
            <w:pPr>
              <w:jc w:val="center"/>
              <w:rPr>
                <w:rFonts w:cs="Arial"/>
                <w:color w:val="000000" w:themeColor="text1"/>
                <w:szCs w:val="16"/>
              </w:rPr>
            </w:pPr>
            <w:r w:rsidRPr="00781112">
              <w:rPr>
                <w:rFonts w:cs="Arial"/>
                <w:color w:val="000000" w:themeColor="text1"/>
                <w:szCs w:val="16"/>
              </w:rPr>
              <w:t>0.00%</w:t>
            </w:r>
          </w:p>
        </w:tc>
      </w:tr>
      <w:tr w:rsidR="005C29F8" w:rsidRPr="00781112" w14:paraId="7A0B9513" w14:textId="222C1F8D" w:rsidTr="00E95FBF">
        <w:trPr>
          <w:trHeight w:val="85"/>
        </w:trPr>
        <w:tc>
          <w:tcPr>
            <w:tcW w:w="833" w:type="pct"/>
            <w:shd w:val="clear" w:color="auto" w:fill="auto"/>
            <w:vAlign w:val="center"/>
          </w:tcPr>
          <w:p w14:paraId="7EAE8715" w14:textId="77777777" w:rsidR="00BB7BC9" w:rsidRPr="00781112" w:rsidRDefault="00BB7BC9" w:rsidP="00BA3DBE">
            <w:pPr>
              <w:jc w:val="center"/>
              <w:rPr>
                <w:rFonts w:cs="Arial"/>
                <w:color w:val="000000" w:themeColor="text1"/>
                <w:szCs w:val="16"/>
              </w:rPr>
            </w:pPr>
            <w:r w:rsidRPr="00781112">
              <w:rPr>
                <w:rFonts w:cs="Arial"/>
                <w:color w:val="000000" w:themeColor="text1"/>
                <w:szCs w:val="16"/>
              </w:rPr>
              <w:t>Data</w:t>
            </w:r>
          </w:p>
        </w:tc>
        <w:tc>
          <w:tcPr>
            <w:tcW w:w="833" w:type="pct"/>
            <w:shd w:val="clear" w:color="auto" w:fill="auto"/>
            <w:vAlign w:val="center"/>
          </w:tcPr>
          <w:p w14:paraId="088137A7" w14:textId="7782C22E" w:rsidR="00BB7BC9" w:rsidRPr="00781112" w:rsidRDefault="002B7490" w:rsidP="00A018D4">
            <w:pPr>
              <w:jc w:val="center"/>
              <w:rPr>
                <w:rFonts w:cs="Arial"/>
                <w:color w:val="000000" w:themeColor="text1"/>
                <w:szCs w:val="16"/>
              </w:rPr>
            </w:pPr>
            <w:r w:rsidRPr="00781112">
              <w:rPr>
                <w:rFonts w:cs="Arial"/>
                <w:color w:val="000000" w:themeColor="text1"/>
                <w:szCs w:val="16"/>
              </w:rPr>
              <w:t>0.00%</w:t>
            </w:r>
          </w:p>
        </w:tc>
        <w:tc>
          <w:tcPr>
            <w:tcW w:w="833" w:type="pct"/>
            <w:shd w:val="clear" w:color="auto" w:fill="auto"/>
            <w:vAlign w:val="center"/>
          </w:tcPr>
          <w:p w14:paraId="6040C16E" w14:textId="1898F821" w:rsidR="00BB7BC9" w:rsidRPr="00781112" w:rsidRDefault="002B7490" w:rsidP="00A018D4">
            <w:pPr>
              <w:jc w:val="center"/>
              <w:rPr>
                <w:rFonts w:cs="Arial"/>
                <w:color w:val="000000" w:themeColor="text1"/>
                <w:szCs w:val="16"/>
              </w:rPr>
            </w:pPr>
            <w:r w:rsidRPr="00781112">
              <w:rPr>
                <w:rFonts w:cs="Arial"/>
                <w:color w:val="000000" w:themeColor="text1"/>
                <w:szCs w:val="16"/>
              </w:rPr>
              <w:t>0.00%</w:t>
            </w:r>
          </w:p>
        </w:tc>
        <w:tc>
          <w:tcPr>
            <w:tcW w:w="833" w:type="pct"/>
            <w:tcBorders>
              <w:bottom w:val="single" w:sz="4" w:space="0" w:color="auto"/>
            </w:tcBorders>
            <w:shd w:val="clear" w:color="auto" w:fill="auto"/>
            <w:vAlign w:val="center"/>
          </w:tcPr>
          <w:p w14:paraId="2F4988E8" w14:textId="56ECA0F8" w:rsidR="00BB7BC9" w:rsidRPr="00781112" w:rsidRDefault="002B7490" w:rsidP="00A018D4">
            <w:pPr>
              <w:jc w:val="center"/>
              <w:rPr>
                <w:rFonts w:cs="Arial"/>
                <w:color w:val="000000" w:themeColor="text1"/>
                <w:szCs w:val="16"/>
              </w:rPr>
            </w:pPr>
            <w:r w:rsidRPr="00781112">
              <w:rPr>
                <w:rFonts w:cs="Arial"/>
                <w:color w:val="000000" w:themeColor="text1"/>
                <w:szCs w:val="16"/>
              </w:rPr>
              <w:t>0.00%</w:t>
            </w:r>
          </w:p>
        </w:tc>
        <w:tc>
          <w:tcPr>
            <w:tcW w:w="833" w:type="pct"/>
            <w:tcBorders>
              <w:bottom w:val="single" w:sz="4" w:space="0" w:color="auto"/>
            </w:tcBorders>
            <w:shd w:val="clear" w:color="auto" w:fill="auto"/>
            <w:vAlign w:val="center"/>
          </w:tcPr>
          <w:p w14:paraId="3315EDFF" w14:textId="1943A2C3" w:rsidR="00BB7BC9" w:rsidRPr="00781112" w:rsidRDefault="002B7490" w:rsidP="00A018D4">
            <w:pPr>
              <w:jc w:val="center"/>
              <w:rPr>
                <w:rFonts w:cs="Arial"/>
                <w:color w:val="000000" w:themeColor="text1"/>
                <w:szCs w:val="16"/>
              </w:rPr>
            </w:pPr>
            <w:r w:rsidRPr="00781112">
              <w:rPr>
                <w:rFonts w:cs="Arial"/>
                <w:color w:val="000000" w:themeColor="text1"/>
                <w:szCs w:val="16"/>
              </w:rPr>
              <w:t>0.00%</w:t>
            </w:r>
          </w:p>
        </w:tc>
        <w:tc>
          <w:tcPr>
            <w:tcW w:w="834" w:type="pct"/>
            <w:tcBorders>
              <w:bottom w:val="single" w:sz="4" w:space="0" w:color="auto"/>
            </w:tcBorders>
            <w:shd w:val="clear" w:color="auto" w:fill="auto"/>
            <w:vAlign w:val="center"/>
          </w:tcPr>
          <w:p w14:paraId="6B580E93" w14:textId="6155D799" w:rsidR="00BB7BC9" w:rsidRPr="00781112" w:rsidRDefault="002B7490" w:rsidP="00A018D4">
            <w:pPr>
              <w:jc w:val="center"/>
              <w:rPr>
                <w:rFonts w:cs="Arial"/>
                <w:color w:val="000000" w:themeColor="text1"/>
                <w:szCs w:val="16"/>
              </w:rPr>
            </w:pPr>
            <w:r w:rsidRPr="00781112">
              <w:rPr>
                <w:rFonts w:cs="Arial"/>
                <w:color w:val="000000" w:themeColor="text1"/>
                <w:szCs w:val="16"/>
              </w:rPr>
              <w:t>0.00%</w:t>
            </w:r>
          </w:p>
        </w:tc>
      </w:tr>
    </w:tbl>
    <w:p w14:paraId="5F34812B" w14:textId="77777777" w:rsidR="006478FC" w:rsidRPr="00781112" w:rsidRDefault="006478FC" w:rsidP="004369B2">
      <w:pPr>
        <w:rPr>
          <w:color w:val="000000" w:themeColor="text1"/>
        </w:rPr>
      </w:pPr>
    </w:p>
    <w:p w14:paraId="4841771C" w14:textId="2E3FC34F" w:rsidR="00ED5FCE" w:rsidRPr="00781112" w:rsidRDefault="00ED5FCE" w:rsidP="004369B2">
      <w:pPr>
        <w:rPr>
          <w:color w:val="000000" w:themeColor="text1"/>
        </w:rPr>
      </w:pPr>
      <w:r w:rsidRPr="00781112">
        <w:rPr>
          <w:b/>
          <w:color w:val="000000" w:themeColor="text1"/>
        </w:rPr>
        <w:t>Targets</w:t>
      </w:r>
    </w:p>
    <w:tbl>
      <w:tblPr>
        <w:tblW w:w="403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B04ATARGETS"/>
      </w:tblPr>
      <w:tblGrid>
        <w:gridCol w:w="679"/>
        <w:gridCol w:w="1912"/>
        <w:gridCol w:w="2042"/>
        <w:gridCol w:w="2042"/>
        <w:gridCol w:w="2041"/>
      </w:tblGrid>
      <w:tr w:rsidR="00B67FCE" w:rsidRPr="00781112" w14:paraId="00255703" w14:textId="57B86D35" w:rsidTr="006A7621">
        <w:trPr>
          <w:trHeight w:val="350"/>
        </w:trPr>
        <w:tc>
          <w:tcPr>
            <w:tcW w:w="316" w:type="pct"/>
            <w:tcBorders>
              <w:bottom w:val="single" w:sz="4" w:space="0" w:color="auto"/>
            </w:tcBorders>
            <w:shd w:val="clear" w:color="auto" w:fill="auto"/>
          </w:tcPr>
          <w:p w14:paraId="12833EEC" w14:textId="77777777" w:rsidR="00B67FCE" w:rsidRPr="00781112" w:rsidRDefault="00B67FCE" w:rsidP="00373F78">
            <w:pPr>
              <w:jc w:val="center"/>
              <w:rPr>
                <w:b/>
                <w:color w:val="000000" w:themeColor="text1"/>
              </w:rPr>
            </w:pPr>
            <w:r w:rsidRPr="00781112">
              <w:rPr>
                <w:b/>
                <w:color w:val="000000" w:themeColor="text1"/>
              </w:rPr>
              <w:t>FFY</w:t>
            </w:r>
          </w:p>
        </w:tc>
        <w:tc>
          <w:tcPr>
            <w:tcW w:w="1115" w:type="pct"/>
            <w:shd w:val="clear" w:color="auto" w:fill="auto"/>
          </w:tcPr>
          <w:p w14:paraId="50119DBA" w14:textId="04DC2A77" w:rsidR="00B67FCE" w:rsidRPr="00781112" w:rsidRDefault="00B67FCE" w:rsidP="00373F78">
            <w:pPr>
              <w:jc w:val="center"/>
              <w:rPr>
                <w:b/>
                <w:color w:val="000000" w:themeColor="text1"/>
              </w:rPr>
            </w:pPr>
            <w:r w:rsidRPr="00781112">
              <w:rPr>
                <w:b/>
                <w:color w:val="000000" w:themeColor="text1"/>
              </w:rPr>
              <w:t>2022</w:t>
            </w:r>
          </w:p>
        </w:tc>
        <w:tc>
          <w:tcPr>
            <w:tcW w:w="1190" w:type="pct"/>
          </w:tcPr>
          <w:p w14:paraId="59425E52" w14:textId="30A73A95" w:rsidR="00B67FCE" w:rsidRPr="00781112" w:rsidRDefault="00B67FCE" w:rsidP="00373F78">
            <w:pPr>
              <w:jc w:val="center"/>
              <w:rPr>
                <w:b/>
                <w:color w:val="000000" w:themeColor="text1"/>
              </w:rPr>
            </w:pPr>
            <w:r w:rsidRPr="00781112">
              <w:rPr>
                <w:rFonts w:cs="Arial"/>
                <w:b/>
                <w:color w:val="000000" w:themeColor="text1"/>
                <w:szCs w:val="16"/>
              </w:rPr>
              <w:t>2023</w:t>
            </w:r>
          </w:p>
        </w:tc>
        <w:tc>
          <w:tcPr>
            <w:tcW w:w="1190" w:type="pct"/>
          </w:tcPr>
          <w:p w14:paraId="62296859" w14:textId="1A7F3D46" w:rsidR="00B67FCE" w:rsidRPr="00781112" w:rsidRDefault="00B67FCE" w:rsidP="00373F78">
            <w:pPr>
              <w:jc w:val="center"/>
              <w:rPr>
                <w:b/>
                <w:color w:val="000000" w:themeColor="text1"/>
              </w:rPr>
            </w:pPr>
            <w:r w:rsidRPr="00781112">
              <w:rPr>
                <w:rFonts w:cs="Arial"/>
                <w:b/>
                <w:color w:val="000000" w:themeColor="text1"/>
                <w:szCs w:val="16"/>
              </w:rPr>
              <w:t>2024</w:t>
            </w:r>
          </w:p>
        </w:tc>
        <w:tc>
          <w:tcPr>
            <w:tcW w:w="1190" w:type="pct"/>
          </w:tcPr>
          <w:p w14:paraId="69950222" w14:textId="1E5E636C" w:rsidR="00B67FCE" w:rsidRPr="00781112" w:rsidRDefault="00B67FCE" w:rsidP="00373F78">
            <w:pPr>
              <w:jc w:val="center"/>
              <w:rPr>
                <w:b/>
                <w:color w:val="000000" w:themeColor="text1"/>
              </w:rPr>
            </w:pPr>
            <w:r w:rsidRPr="00781112">
              <w:rPr>
                <w:rFonts w:cs="Arial"/>
                <w:b/>
                <w:color w:val="000000" w:themeColor="text1"/>
                <w:szCs w:val="16"/>
              </w:rPr>
              <w:t>2025</w:t>
            </w:r>
          </w:p>
        </w:tc>
      </w:tr>
      <w:tr w:rsidR="00B67FCE" w:rsidRPr="00781112" w14:paraId="1ACE760A" w14:textId="1AE21F6E" w:rsidTr="006A7621">
        <w:trPr>
          <w:trHeight w:val="357"/>
        </w:trPr>
        <w:tc>
          <w:tcPr>
            <w:tcW w:w="316" w:type="pct"/>
            <w:shd w:val="clear" w:color="auto" w:fill="auto"/>
            <w:vAlign w:val="center"/>
          </w:tcPr>
          <w:p w14:paraId="3387B9B3" w14:textId="0ED5756F" w:rsidR="00B67FCE" w:rsidRPr="00781112" w:rsidRDefault="00B67FCE" w:rsidP="00BA3DBE">
            <w:pPr>
              <w:jc w:val="center"/>
              <w:rPr>
                <w:rFonts w:cs="Arial"/>
                <w:color w:val="000000" w:themeColor="text1"/>
                <w:szCs w:val="16"/>
              </w:rPr>
            </w:pPr>
            <w:r w:rsidRPr="00781112">
              <w:rPr>
                <w:rFonts w:cs="Arial"/>
                <w:color w:val="000000" w:themeColor="text1"/>
                <w:szCs w:val="16"/>
              </w:rPr>
              <w:t xml:space="preserve">Target </w:t>
            </w:r>
            <w:r w:rsidRPr="00781112">
              <w:rPr>
                <w:rFonts w:cs="Arial"/>
                <w:color w:val="000000" w:themeColor="text1"/>
                <w:szCs w:val="16"/>
                <w:shd w:val="clear" w:color="auto" w:fill="FFFFFF"/>
              </w:rPr>
              <w:t>&lt;=</w:t>
            </w:r>
          </w:p>
        </w:tc>
        <w:tc>
          <w:tcPr>
            <w:tcW w:w="1115" w:type="pct"/>
            <w:shd w:val="clear" w:color="auto" w:fill="auto"/>
            <w:vAlign w:val="center"/>
          </w:tcPr>
          <w:p w14:paraId="78EBD6ED" w14:textId="4FA09BBD" w:rsidR="00B67FCE" w:rsidRPr="00781112" w:rsidRDefault="00B67FCE" w:rsidP="00373F78">
            <w:pPr>
              <w:jc w:val="center"/>
              <w:rPr>
                <w:rFonts w:cs="Arial"/>
                <w:color w:val="000000" w:themeColor="text1"/>
                <w:szCs w:val="16"/>
              </w:rPr>
            </w:pPr>
            <w:r w:rsidRPr="00781112">
              <w:rPr>
                <w:rFonts w:cs="Arial"/>
                <w:color w:val="000000" w:themeColor="text1"/>
                <w:szCs w:val="16"/>
              </w:rPr>
              <w:t>0.00%</w:t>
            </w:r>
          </w:p>
        </w:tc>
        <w:tc>
          <w:tcPr>
            <w:tcW w:w="1190" w:type="pct"/>
          </w:tcPr>
          <w:p w14:paraId="6FDC82B2" w14:textId="0C85D604" w:rsidR="00B67FCE" w:rsidRPr="00781112" w:rsidRDefault="00B67FCE" w:rsidP="00373F78">
            <w:pPr>
              <w:jc w:val="center"/>
              <w:rPr>
                <w:rFonts w:cs="Arial"/>
                <w:color w:val="000000" w:themeColor="text1"/>
                <w:szCs w:val="16"/>
              </w:rPr>
            </w:pPr>
            <w:r w:rsidRPr="00781112">
              <w:rPr>
                <w:color w:val="000000" w:themeColor="text1"/>
                <w:szCs w:val="16"/>
              </w:rPr>
              <w:t>0.00%</w:t>
            </w:r>
          </w:p>
        </w:tc>
        <w:tc>
          <w:tcPr>
            <w:tcW w:w="1190" w:type="pct"/>
          </w:tcPr>
          <w:p w14:paraId="798EC84B" w14:textId="0E47DBF4" w:rsidR="00B67FCE" w:rsidRPr="00781112" w:rsidRDefault="00B67FCE" w:rsidP="00373F78">
            <w:pPr>
              <w:jc w:val="center"/>
              <w:rPr>
                <w:rFonts w:cs="Arial"/>
                <w:color w:val="000000" w:themeColor="text1"/>
                <w:szCs w:val="16"/>
              </w:rPr>
            </w:pPr>
            <w:r w:rsidRPr="00781112">
              <w:rPr>
                <w:color w:val="000000" w:themeColor="text1"/>
                <w:szCs w:val="16"/>
              </w:rPr>
              <w:t>0.00%</w:t>
            </w:r>
          </w:p>
        </w:tc>
        <w:tc>
          <w:tcPr>
            <w:tcW w:w="1190" w:type="pct"/>
          </w:tcPr>
          <w:p w14:paraId="75A6D928" w14:textId="791A7001" w:rsidR="00B67FCE" w:rsidRPr="00781112" w:rsidRDefault="00B67FCE" w:rsidP="00373F78">
            <w:pPr>
              <w:jc w:val="center"/>
              <w:rPr>
                <w:rFonts w:cs="Arial"/>
                <w:color w:val="000000" w:themeColor="text1"/>
                <w:szCs w:val="16"/>
              </w:rPr>
            </w:pPr>
            <w:r w:rsidRPr="00781112">
              <w:rPr>
                <w:color w:val="000000" w:themeColor="text1"/>
                <w:szCs w:val="16"/>
              </w:rPr>
              <w:t>0.00%</w:t>
            </w:r>
          </w:p>
        </w:tc>
      </w:tr>
    </w:tbl>
    <w:p w14:paraId="05EA20CB" w14:textId="0A0E8C80" w:rsidR="002D145D" w:rsidRPr="00781112" w:rsidRDefault="002D145D" w:rsidP="004369B2">
      <w:pPr>
        <w:rPr>
          <w:b/>
          <w:color w:val="000000" w:themeColor="text1"/>
        </w:rPr>
      </w:pPr>
      <w:r w:rsidRPr="00781112">
        <w:rPr>
          <w:b/>
          <w:color w:val="000000" w:themeColor="text1"/>
        </w:rPr>
        <w:t xml:space="preserve">Targets: Description of Stakeholder Input </w:t>
      </w:r>
    </w:p>
    <w:p w14:paraId="3FD5337B" w14:textId="54E74935" w:rsidR="002D145D" w:rsidRPr="00781112" w:rsidRDefault="002B7490" w:rsidP="002D145D">
      <w:pPr>
        <w:rPr>
          <w:rFonts w:cs="Arial"/>
          <w:color w:val="000000" w:themeColor="text1"/>
          <w:szCs w:val="16"/>
        </w:rPr>
      </w:pPr>
      <w:r w:rsidRPr="00781112">
        <w:rPr>
          <w:rFonts w:cs="Arial"/>
          <w:color w:val="000000" w:themeColor="text1"/>
          <w:szCs w:val="16"/>
        </w:rPr>
        <w:t xml:space="preserve">On 9/26/2023, Colorado Department of Education (CDE), with support and in-person facilitation by staff from the IDEA Data Center (IDC), convened a broad stakeholder group composed of parent and community representatives from Colorado Disability Law, Advocacy Denver, the Arc of Colorado, PEAK Parent Center, and the Colorado State Education Advisory Counsil in addition to Special Education Directors. The </w:t>
      </w:r>
      <w:proofErr w:type="gramStart"/>
      <w:r w:rsidRPr="00781112">
        <w:rPr>
          <w:rFonts w:cs="Arial"/>
          <w:color w:val="000000" w:themeColor="text1"/>
          <w:szCs w:val="16"/>
        </w:rPr>
        <w:t>Indicator</w:t>
      </w:r>
      <w:proofErr w:type="gramEnd"/>
      <w:r w:rsidRPr="00781112">
        <w:rPr>
          <w:rFonts w:cs="Arial"/>
          <w:color w:val="000000" w:themeColor="text1"/>
          <w:szCs w:val="16"/>
        </w:rPr>
        <w:t xml:space="preserve"> 4A and 4B definitions and Colorado’s current calculations were explained in detail. IDC staff led a discussion on the intended outcomes on students and AUs of collecting and reporting this Indicator data. IDC presented various scenarios and the group examined the impact of each of the changes in determining significant discrepancies to the State’s methodology. IDC staff led a consensus building activity that led to the stakeholder recommendation to the state to:</w:t>
      </w:r>
      <w:r w:rsidRPr="00781112">
        <w:rPr>
          <w:rFonts w:cs="Arial"/>
          <w:color w:val="000000" w:themeColor="text1"/>
          <w:szCs w:val="16"/>
        </w:rPr>
        <w:br/>
        <w:t>1.</w:t>
      </w:r>
      <w:r w:rsidRPr="00781112">
        <w:rPr>
          <w:rFonts w:cs="Arial"/>
          <w:color w:val="000000" w:themeColor="text1"/>
          <w:szCs w:val="16"/>
        </w:rPr>
        <w:tab/>
        <w:t xml:space="preserve">Lower the threshold from 4 times the state’s rate to 2.0 times the state’s rate. </w:t>
      </w:r>
      <w:r w:rsidRPr="00781112">
        <w:rPr>
          <w:rFonts w:cs="Arial"/>
          <w:color w:val="000000" w:themeColor="text1"/>
          <w:szCs w:val="16"/>
        </w:rPr>
        <w:br/>
        <w:t>2. AUs who fall between 1.5 and 2.0 will receive a warning letter</w:t>
      </w:r>
      <w:r w:rsidRPr="00781112">
        <w:rPr>
          <w:rFonts w:cs="Arial"/>
          <w:color w:val="000000" w:themeColor="text1"/>
          <w:szCs w:val="16"/>
        </w:rPr>
        <w:br/>
        <w:t>3.</w:t>
      </w:r>
      <w:r w:rsidRPr="00781112">
        <w:rPr>
          <w:rFonts w:cs="Arial"/>
          <w:color w:val="000000" w:themeColor="text1"/>
          <w:szCs w:val="16"/>
        </w:rPr>
        <w:tab/>
        <w:t xml:space="preserve">Eliminate the 3-consecutive school years measurement period and use 1 school year </w:t>
      </w:r>
      <w:r w:rsidRPr="00781112">
        <w:rPr>
          <w:rFonts w:cs="Arial"/>
          <w:color w:val="000000" w:themeColor="text1"/>
          <w:szCs w:val="16"/>
        </w:rPr>
        <w:br/>
        <w:t>4. Target for this indicator will remain at 0%.</w:t>
      </w:r>
      <w:r w:rsidRPr="00781112">
        <w:rPr>
          <w:rFonts w:cs="Arial"/>
          <w:color w:val="000000" w:themeColor="text1"/>
          <w:szCs w:val="16"/>
        </w:rPr>
        <w:br/>
      </w:r>
      <w:r w:rsidRPr="00781112">
        <w:rPr>
          <w:rFonts w:cs="Arial"/>
          <w:color w:val="000000" w:themeColor="text1"/>
          <w:szCs w:val="16"/>
        </w:rPr>
        <w:br/>
        <w:t xml:space="preserve">The change to our threshold and removal of the consecutive school year requirement will result in a reasonably designed methodology to determine if significant discrepancies are occurring. </w:t>
      </w:r>
      <w:r w:rsidRPr="00781112">
        <w:rPr>
          <w:rFonts w:cs="Arial"/>
          <w:color w:val="000000" w:themeColor="text1"/>
          <w:szCs w:val="16"/>
        </w:rPr>
        <w:br/>
        <w:t xml:space="preserve">These changes to Colorado’s definition of significant discrepancy and methodology were announced to AUs, publicly posted to our webpage, and will be effective with SY 2024-2025 reporting period. </w:t>
      </w:r>
      <w:r w:rsidRPr="00781112">
        <w:rPr>
          <w:rFonts w:cs="Arial"/>
          <w:color w:val="000000" w:themeColor="text1"/>
          <w:szCs w:val="16"/>
        </w:rPr>
        <w:br/>
      </w:r>
      <w:r w:rsidRPr="00781112">
        <w:rPr>
          <w:rFonts w:cs="Arial"/>
          <w:color w:val="000000" w:themeColor="text1"/>
          <w:szCs w:val="16"/>
        </w:rPr>
        <w:br/>
        <w:t>For FFY 2022, CDE presented, discussed, and solicited feedback on the SPP/APR Indicators with our Colorado Special Education Advisory Committee (CSEAC).</w:t>
      </w:r>
      <w:r w:rsidRPr="00781112">
        <w:rPr>
          <w:rFonts w:cs="Arial"/>
          <w:color w:val="000000" w:themeColor="text1"/>
          <w:szCs w:val="16"/>
        </w:rPr>
        <w:br/>
      </w:r>
      <w:r w:rsidRPr="00781112">
        <w:rPr>
          <w:rFonts w:cs="Arial"/>
          <w:color w:val="000000" w:themeColor="text1"/>
          <w:szCs w:val="16"/>
        </w:rPr>
        <w:br/>
        <w:t>For FFY 2020, the following mechanisms were used to gather broad stakeholder input:</w:t>
      </w:r>
      <w:r w:rsidRPr="00781112">
        <w:rPr>
          <w:rFonts w:cs="Arial"/>
          <w:color w:val="000000" w:themeColor="text1"/>
          <w:szCs w:val="16"/>
        </w:rPr>
        <w:br/>
      </w:r>
      <w:r w:rsidRPr="00781112">
        <w:rPr>
          <w:rFonts w:cs="Arial"/>
          <w:color w:val="000000" w:themeColor="text1"/>
          <w:szCs w:val="16"/>
        </w:rPr>
        <w:br/>
        <w:t>Identified CDE internal stakeholders and content experts for each indicator:</w:t>
      </w:r>
      <w:r w:rsidRPr="00781112">
        <w:rPr>
          <w:rFonts w:cs="Arial"/>
          <w:color w:val="000000" w:themeColor="text1"/>
          <w:szCs w:val="16"/>
        </w:rPr>
        <w:br/>
        <w:t>1. Scheduled meetings for each CDE internal stakeholder indicator team.</w:t>
      </w:r>
      <w:r w:rsidRPr="00781112">
        <w:rPr>
          <w:rFonts w:cs="Arial"/>
          <w:color w:val="000000" w:themeColor="text1"/>
          <w:szCs w:val="16"/>
        </w:rPr>
        <w:br/>
        <w:t>2. Met with each CDE stakeholder team, explain rules and parameters, Colorado history of indicator, past and current improvement strategies, facilitate discussion, and solicit feedback and develop options for each of the SPP/APR targets.</w:t>
      </w:r>
      <w:r w:rsidRPr="00781112">
        <w:rPr>
          <w:rFonts w:cs="Arial"/>
          <w:color w:val="000000" w:themeColor="text1"/>
          <w:szCs w:val="16"/>
        </w:rPr>
        <w:br/>
        <w:t>3. Met with each CDE stakeholder team to facilitate discussion and come to consensus on targets and improvement strategies to present to the external stakeholder groups.</w:t>
      </w:r>
      <w:r w:rsidRPr="00781112">
        <w:rPr>
          <w:rFonts w:cs="Arial"/>
          <w:color w:val="000000" w:themeColor="text1"/>
          <w:szCs w:val="16"/>
        </w:rPr>
        <w:br/>
        <w:t xml:space="preserve">4. Requested and collected improvement strategies for each indicator from each CDE internal stakeholder team. </w:t>
      </w:r>
      <w:r w:rsidRPr="00781112">
        <w:rPr>
          <w:rFonts w:cs="Arial"/>
          <w:color w:val="000000" w:themeColor="text1"/>
          <w:szCs w:val="16"/>
        </w:rPr>
        <w:br/>
      </w:r>
      <w:r w:rsidRPr="00781112">
        <w:rPr>
          <w:rFonts w:cs="Arial"/>
          <w:color w:val="000000" w:themeColor="text1"/>
          <w:szCs w:val="16"/>
        </w:rPr>
        <w:br/>
        <w:t>Built a survey to collect evidence and information from external stakeholder groups and the public to gain feedback on current SPP/APR indicators to collect the following data:</w:t>
      </w:r>
      <w:r w:rsidRPr="00781112">
        <w:rPr>
          <w:rFonts w:cs="Arial"/>
          <w:color w:val="000000" w:themeColor="text1"/>
          <w:szCs w:val="16"/>
        </w:rPr>
        <w:br/>
        <w:t xml:space="preserve">1. Are targets too high, too low, </w:t>
      </w:r>
      <w:proofErr w:type="gramStart"/>
      <w:r w:rsidRPr="00781112">
        <w:rPr>
          <w:rFonts w:cs="Arial"/>
          <w:color w:val="000000" w:themeColor="text1"/>
          <w:szCs w:val="16"/>
        </w:rPr>
        <w:t>just</w:t>
      </w:r>
      <w:proofErr w:type="gramEnd"/>
      <w:r w:rsidRPr="00781112">
        <w:rPr>
          <w:rFonts w:cs="Arial"/>
          <w:color w:val="000000" w:themeColor="text1"/>
          <w:szCs w:val="16"/>
        </w:rPr>
        <w:t xml:space="preserve"> right?</w:t>
      </w:r>
      <w:r w:rsidRPr="00781112">
        <w:rPr>
          <w:rFonts w:cs="Arial"/>
          <w:color w:val="000000" w:themeColor="text1"/>
          <w:szCs w:val="16"/>
        </w:rPr>
        <w:br/>
        <w:t>2. If the proposed improvement strategies are reasonably calculated to help Colorado reach the proposed targets?</w:t>
      </w:r>
      <w:r w:rsidRPr="00781112">
        <w:rPr>
          <w:rFonts w:cs="Arial"/>
          <w:color w:val="000000" w:themeColor="text1"/>
          <w:szCs w:val="16"/>
        </w:rPr>
        <w:br/>
        <w:t>3. Is the proposed choice of demographic category to be analyzed for representation an appropriate selection?</w:t>
      </w:r>
      <w:r w:rsidRPr="00781112">
        <w:rPr>
          <w:rFonts w:cs="Arial"/>
          <w:color w:val="000000" w:themeColor="text1"/>
          <w:szCs w:val="16"/>
        </w:rPr>
        <w:br/>
      </w:r>
      <w:r w:rsidRPr="00781112">
        <w:rPr>
          <w:rFonts w:cs="Arial"/>
          <w:color w:val="000000" w:themeColor="text1"/>
          <w:szCs w:val="16"/>
        </w:rPr>
        <w:br/>
        <w:t>Built a web page to include:</w:t>
      </w:r>
      <w:r w:rsidRPr="00781112">
        <w:rPr>
          <w:rFonts w:cs="Arial"/>
          <w:color w:val="000000" w:themeColor="text1"/>
          <w:szCs w:val="16"/>
        </w:rPr>
        <w:br/>
        <w:t>1. basic information regarding the SPP/APR and the 6-year target resetting process.</w:t>
      </w:r>
      <w:r w:rsidRPr="00781112">
        <w:rPr>
          <w:rFonts w:cs="Arial"/>
          <w:color w:val="000000" w:themeColor="text1"/>
          <w:szCs w:val="16"/>
        </w:rPr>
        <w:br/>
        <w:t>2. asyncronys access to a series of webinars explaining each of the SPP/APR indicators, proposed targets, and improvement strategies.</w:t>
      </w:r>
      <w:r w:rsidRPr="00781112">
        <w:rPr>
          <w:rFonts w:cs="Arial"/>
          <w:color w:val="000000" w:themeColor="text1"/>
          <w:szCs w:val="16"/>
        </w:rPr>
        <w:br/>
        <w:t>3. a link to an indicator survey to gather information from the public during the comment period. This survey was designed to solicit the following information: (a) Are the proposed targets too high, too low, or appropriate? (b) Are the proposed improvement strategies reasonably calculated to help Colorado reach the proposed targets? (c) Is the proposed demographic group to be analyzed for representation an appropriate selection?</w:t>
      </w:r>
      <w:r w:rsidRPr="00781112">
        <w:rPr>
          <w:rFonts w:cs="Arial"/>
          <w:color w:val="000000" w:themeColor="text1"/>
          <w:szCs w:val="16"/>
        </w:rPr>
        <w:br/>
      </w:r>
      <w:r w:rsidRPr="00781112">
        <w:rPr>
          <w:rFonts w:cs="Arial"/>
          <w:color w:val="000000" w:themeColor="text1"/>
          <w:szCs w:val="16"/>
        </w:rPr>
        <w:br/>
        <w:t>Presented and requested input on agreed on targets and improvement strategies to the following indicator specific advisory councils: Preschool School Special Education Advisory Committee (PSSEAC), and the Secondary Transition Task Force Advisory Committee. Review and incorporate feedback into the final draft of the new targets and share proposed version with ESSU Executive Director for approval.</w:t>
      </w:r>
      <w:r w:rsidRPr="00781112">
        <w:rPr>
          <w:rFonts w:cs="Arial"/>
          <w:color w:val="000000" w:themeColor="text1"/>
          <w:szCs w:val="16"/>
        </w:rPr>
        <w:br/>
        <w:t>Presented proposed targets and gathered additional feedback to the following State advisory groups and advocacy groups: Colorado Special Education Advisory Committee (CSEAC) and Parent Partnerships for Equity Advisory Committee, The Arc of Colorado, PEAK Parent Center, and Disability Law Colorado.</w:t>
      </w:r>
      <w:r w:rsidRPr="00781112">
        <w:rPr>
          <w:rFonts w:cs="Arial"/>
          <w:color w:val="000000" w:themeColor="text1"/>
          <w:szCs w:val="16"/>
        </w:rPr>
        <w:br/>
        <w:t>Presented proposed targets for all indicators to Colorado LEA Special Education Directors.</w:t>
      </w:r>
      <w:r w:rsidRPr="00781112">
        <w:rPr>
          <w:rFonts w:cs="Arial"/>
          <w:color w:val="000000" w:themeColor="text1"/>
          <w:szCs w:val="16"/>
        </w:rPr>
        <w:br/>
        <w:t>Held a 2-month public comment period to solicit public comments through a broad CDE-wide communication plan made up of a dedicated webpage with short videos and surveys for each indicator, CDE Facebook page, CDE Twitter Account, a CDE webpage news story, CDE’s Weekly Newsletter, and notifications to our parent advocacy agencies.</w:t>
      </w:r>
      <w:r w:rsidRPr="00781112">
        <w:rPr>
          <w:rFonts w:cs="Arial"/>
          <w:color w:val="000000" w:themeColor="text1"/>
          <w:szCs w:val="16"/>
        </w:rPr>
        <w:br/>
        <w:t xml:space="preserve"> </w:t>
      </w:r>
      <w:r w:rsidRPr="00781112">
        <w:rPr>
          <w:rFonts w:cs="Arial"/>
          <w:color w:val="000000" w:themeColor="text1"/>
          <w:szCs w:val="16"/>
        </w:rPr>
        <w:br/>
        <w:t>Reviewed and considered public comments received through the indicator survey mechanism, finalize all targets with ESSU Executive Director, and published targets on CDE webpage.</w:t>
      </w:r>
    </w:p>
    <w:p w14:paraId="2AE297AB" w14:textId="77777777" w:rsidR="007E6F97" w:rsidRPr="00781112" w:rsidRDefault="007E6F97" w:rsidP="004369B2">
      <w:pPr>
        <w:rPr>
          <w:color w:val="000000" w:themeColor="text1"/>
        </w:rPr>
      </w:pPr>
    </w:p>
    <w:bookmarkEnd w:id="24"/>
    <w:bookmarkEnd w:id="25"/>
    <w:p w14:paraId="2E616696" w14:textId="72E6A91B" w:rsidR="00D03701" w:rsidRPr="00781112" w:rsidRDefault="0047313F">
      <w:pPr>
        <w:rPr>
          <w:b/>
          <w:color w:val="000000" w:themeColor="text1"/>
        </w:rPr>
      </w:pPr>
      <w:r>
        <w:rPr>
          <w:b/>
          <w:color w:val="000000" w:themeColor="text1"/>
        </w:rPr>
        <w:t>FFY 2022 SPP/APR Data</w:t>
      </w:r>
    </w:p>
    <w:p w14:paraId="01DBD317" w14:textId="57913AA7" w:rsidR="009B02BC" w:rsidRPr="00781112" w:rsidRDefault="009B02BC">
      <w:pPr>
        <w:rPr>
          <w:rFonts w:cs="Arial"/>
          <w:b/>
          <w:color w:val="000000" w:themeColor="text1"/>
          <w:szCs w:val="16"/>
        </w:rPr>
      </w:pPr>
      <w:r w:rsidRPr="00781112">
        <w:rPr>
          <w:rFonts w:cs="Arial"/>
          <w:b/>
          <w:color w:val="000000" w:themeColor="text1"/>
          <w:szCs w:val="16"/>
        </w:rPr>
        <w:t>Has the state established a minimum n/cell-size requirement? (yes/no)</w:t>
      </w:r>
    </w:p>
    <w:p w14:paraId="6A8BDBAB" w14:textId="22481006" w:rsidR="009B02BC" w:rsidRPr="00781112" w:rsidRDefault="009B02BC">
      <w:pPr>
        <w:rPr>
          <w:rFonts w:cs="Arial"/>
          <w:color w:val="000000" w:themeColor="text1"/>
          <w:szCs w:val="16"/>
        </w:rPr>
      </w:pPr>
      <w:r w:rsidRPr="00781112">
        <w:rPr>
          <w:rFonts w:cs="Arial"/>
          <w:color w:val="000000" w:themeColor="text1"/>
          <w:szCs w:val="16"/>
        </w:rPr>
        <w:t>NO</w:t>
      </w:r>
    </w:p>
    <w:p w14:paraId="4E14BC0D" w14:textId="77777777" w:rsidR="00A14B5D" w:rsidRPr="00781112" w:rsidRDefault="00A14B5D" w:rsidP="004369B2">
      <w:pPr>
        <w:rPr>
          <w:color w:val="000000" w:themeColor="text1"/>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B04ACFFYAPRDATA"/>
      </w:tblPr>
      <w:tblGrid>
        <w:gridCol w:w="1410"/>
        <w:gridCol w:w="1897"/>
        <w:gridCol w:w="1368"/>
        <w:gridCol w:w="1890"/>
        <w:gridCol w:w="1260"/>
        <w:gridCol w:w="1439"/>
        <w:gridCol w:w="1526"/>
      </w:tblGrid>
      <w:tr w:rsidR="00450F98" w:rsidRPr="00781112" w14:paraId="25961F2E" w14:textId="5D241BED" w:rsidTr="00E95FBF">
        <w:trPr>
          <w:trHeight w:val="994"/>
          <w:jc w:val="center"/>
        </w:trPr>
        <w:tc>
          <w:tcPr>
            <w:tcW w:w="653" w:type="pct"/>
            <w:shd w:val="clear" w:color="auto" w:fill="auto"/>
            <w:vAlign w:val="bottom"/>
          </w:tcPr>
          <w:p w14:paraId="1D711F21" w14:textId="471FE8E2" w:rsidR="00450F98" w:rsidRPr="00781112" w:rsidRDefault="00450F98" w:rsidP="00450F98">
            <w:pPr>
              <w:jc w:val="center"/>
              <w:rPr>
                <w:rFonts w:cs="Arial"/>
                <w:b/>
                <w:color w:val="000000" w:themeColor="text1"/>
                <w:szCs w:val="16"/>
              </w:rPr>
            </w:pPr>
            <w:r w:rsidRPr="00781112">
              <w:rPr>
                <w:rFonts w:cs="Arial"/>
                <w:b/>
                <w:color w:val="000000" w:themeColor="text1"/>
                <w:szCs w:val="16"/>
              </w:rPr>
              <w:t>Number of LEAs that have a significant discrepancy</w:t>
            </w:r>
          </w:p>
        </w:tc>
        <w:tc>
          <w:tcPr>
            <w:tcW w:w="879" w:type="pct"/>
            <w:shd w:val="clear" w:color="auto" w:fill="auto"/>
            <w:vAlign w:val="bottom"/>
          </w:tcPr>
          <w:p w14:paraId="196C509D" w14:textId="54B65E72" w:rsidR="00450F98" w:rsidRPr="00781112" w:rsidRDefault="00450F98" w:rsidP="00450F98">
            <w:pPr>
              <w:jc w:val="center"/>
              <w:rPr>
                <w:rFonts w:cs="Arial"/>
                <w:b/>
                <w:color w:val="000000" w:themeColor="text1"/>
                <w:szCs w:val="16"/>
              </w:rPr>
            </w:pPr>
            <w:r w:rsidRPr="00781112">
              <w:rPr>
                <w:rFonts w:cs="Arial"/>
                <w:b/>
                <w:color w:val="000000" w:themeColor="text1"/>
                <w:szCs w:val="16"/>
              </w:rPr>
              <w:t>Number of LEAs in the State</w:t>
            </w:r>
          </w:p>
        </w:tc>
        <w:tc>
          <w:tcPr>
            <w:tcW w:w="634" w:type="pct"/>
            <w:shd w:val="clear" w:color="auto" w:fill="auto"/>
            <w:vAlign w:val="bottom"/>
          </w:tcPr>
          <w:p w14:paraId="20C8255F" w14:textId="15F25B0F" w:rsidR="00450F98" w:rsidRPr="00073BD7" w:rsidRDefault="00450F98" w:rsidP="00450F98">
            <w:pPr>
              <w:jc w:val="center"/>
              <w:rPr>
                <w:rFonts w:cs="Arial"/>
                <w:b/>
                <w:bCs/>
                <w:color w:val="000000" w:themeColor="text1"/>
                <w:szCs w:val="16"/>
              </w:rPr>
            </w:pPr>
            <w:r w:rsidRPr="00073BD7">
              <w:rPr>
                <w:b/>
                <w:bCs/>
              </w:rPr>
              <w:t>FFY 2021 Data</w:t>
            </w:r>
          </w:p>
        </w:tc>
        <w:tc>
          <w:tcPr>
            <w:tcW w:w="876" w:type="pct"/>
            <w:shd w:val="clear" w:color="auto" w:fill="auto"/>
            <w:vAlign w:val="bottom"/>
          </w:tcPr>
          <w:p w14:paraId="2298BC2C" w14:textId="0D9C17CF" w:rsidR="00450F98" w:rsidRPr="00073BD7" w:rsidRDefault="00450F98" w:rsidP="00450F98">
            <w:pPr>
              <w:jc w:val="center"/>
              <w:rPr>
                <w:rFonts w:cs="Arial"/>
                <w:b/>
                <w:bCs/>
                <w:color w:val="000000" w:themeColor="text1"/>
                <w:szCs w:val="16"/>
              </w:rPr>
            </w:pPr>
            <w:r w:rsidRPr="00073BD7">
              <w:rPr>
                <w:b/>
                <w:bCs/>
              </w:rPr>
              <w:t>FFY 2022 Target</w:t>
            </w:r>
          </w:p>
        </w:tc>
        <w:tc>
          <w:tcPr>
            <w:tcW w:w="584" w:type="pct"/>
            <w:shd w:val="clear" w:color="auto" w:fill="auto"/>
            <w:vAlign w:val="bottom"/>
          </w:tcPr>
          <w:p w14:paraId="3E9B682A" w14:textId="384A0D02" w:rsidR="00450F98" w:rsidRPr="00073BD7" w:rsidRDefault="00450F98" w:rsidP="00450F98">
            <w:pPr>
              <w:jc w:val="center"/>
              <w:rPr>
                <w:rFonts w:cs="Arial"/>
                <w:b/>
                <w:bCs/>
                <w:color w:val="000000" w:themeColor="text1"/>
                <w:szCs w:val="16"/>
              </w:rPr>
            </w:pPr>
            <w:r w:rsidRPr="00073BD7">
              <w:rPr>
                <w:b/>
                <w:bCs/>
              </w:rPr>
              <w:t>FFY 2022 Data</w:t>
            </w:r>
          </w:p>
        </w:tc>
        <w:tc>
          <w:tcPr>
            <w:tcW w:w="667" w:type="pct"/>
            <w:shd w:val="clear" w:color="auto" w:fill="auto"/>
            <w:vAlign w:val="bottom"/>
          </w:tcPr>
          <w:p w14:paraId="7B5A071B" w14:textId="6C45C0BB" w:rsidR="00450F98" w:rsidRPr="00781112" w:rsidRDefault="00450F98" w:rsidP="00450F98">
            <w:pPr>
              <w:jc w:val="center"/>
              <w:rPr>
                <w:rFonts w:cs="Arial"/>
                <w:b/>
                <w:color w:val="000000" w:themeColor="text1"/>
                <w:szCs w:val="16"/>
              </w:rPr>
            </w:pPr>
            <w:r w:rsidRPr="00781112">
              <w:rPr>
                <w:rFonts w:cs="Arial"/>
                <w:b/>
                <w:color w:val="000000" w:themeColor="text1"/>
                <w:szCs w:val="16"/>
              </w:rPr>
              <w:t>Status</w:t>
            </w:r>
          </w:p>
        </w:tc>
        <w:tc>
          <w:tcPr>
            <w:tcW w:w="707" w:type="pct"/>
            <w:shd w:val="clear" w:color="auto" w:fill="auto"/>
            <w:vAlign w:val="bottom"/>
          </w:tcPr>
          <w:p w14:paraId="4D50491C" w14:textId="7F184394" w:rsidR="00450F98" w:rsidRPr="00781112" w:rsidRDefault="00450F98" w:rsidP="00450F98">
            <w:pPr>
              <w:jc w:val="center"/>
              <w:rPr>
                <w:rFonts w:cs="Arial"/>
                <w:b/>
                <w:color w:val="000000" w:themeColor="text1"/>
                <w:szCs w:val="16"/>
              </w:rPr>
            </w:pPr>
            <w:r w:rsidRPr="00781112">
              <w:rPr>
                <w:rFonts w:cs="Arial"/>
                <w:b/>
                <w:color w:val="000000" w:themeColor="text1"/>
                <w:szCs w:val="16"/>
              </w:rPr>
              <w:t>Slippage</w:t>
            </w:r>
          </w:p>
        </w:tc>
      </w:tr>
      <w:tr w:rsidR="005C29F8" w:rsidRPr="00781112" w14:paraId="0246961D" w14:textId="1C11943C" w:rsidTr="00E95FBF">
        <w:trPr>
          <w:trHeight w:val="233"/>
          <w:jc w:val="center"/>
        </w:trPr>
        <w:tc>
          <w:tcPr>
            <w:tcW w:w="653" w:type="pct"/>
            <w:shd w:val="clear" w:color="auto" w:fill="auto"/>
            <w:vAlign w:val="center"/>
          </w:tcPr>
          <w:p w14:paraId="0B36F15E" w14:textId="239D7181" w:rsidR="00A862C3" w:rsidRPr="00781112" w:rsidRDefault="002B7490" w:rsidP="00A018D4">
            <w:pPr>
              <w:jc w:val="center"/>
              <w:rPr>
                <w:rFonts w:cs="Arial"/>
                <w:color w:val="000000" w:themeColor="text1"/>
                <w:szCs w:val="16"/>
              </w:rPr>
            </w:pPr>
            <w:r w:rsidRPr="00781112">
              <w:rPr>
                <w:rFonts w:cs="Arial"/>
                <w:color w:val="000000" w:themeColor="text1"/>
                <w:szCs w:val="16"/>
              </w:rPr>
              <w:lastRenderedPageBreak/>
              <w:t>0</w:t>
            </w:r>
          </w:p>
        </w:tc>
        <w:tc>
          <w:tcPr>
            <w:tcW w:w="879" w:type="pct"/>
            <w:shd w:val="clear" w:color="auto" w:fill="auto"/>
          </w:tcPr>
          <w:p w14:paraId="77E03427" w14:textId="31D4B2F4" w:rsidR="00A862C3" w:rsidRPr="00781112" w:rsidRDefault="002B7490" w:rsidP="00A018D4">
            <w:pPr>
              <w:jc w:val="center"/>
              <w:rPr>
                <w:rFonts w:cs="Arial"/>
                <w:color w:val="000000" w:themeColor="text1"/>
                <w:szCs w:val="16"/>
              </w:rPr>
            </w:pPr>
            <w:r w:rsidRPr="00781112">
              <w:rPr>
                <w:rFonts w:cs="Arial"/>
                <w:color w:val="000000" w:themeColor="text1"/>
                <w:szCs w:val="16"/>
              </w:rPr>
              <w:t>65</w:t>
            </w:r>
          </w:p>
        </w:tc>
        <w:tc>
          <w:tcPr>
            <w:tcW w:w="634" w:type="pct"/>
            <w:shd w:val="clear" w:color="auto" w:fill="auto"/>
          </w:tcPr>
          <w:p w14:paraId="12EAED8C" w14:textId="23973C25" w:rsidR="00A862C3" w:rsidRPr="00781112" w:rsidRDefault="002B7490" w:rsidP="00A018D4">
            <w:pPr>
              <w:jc w:val="center"/>
              <w:rPr>
                <w:rFonts w:cs="Arial"/>
                <w:color w:val="000000" w:themeColor="text1"/>
                <w:szCs w:val="16"/>
              </w:rPr>
            </w:pPr>
            <w:r w:rsidRPr="00781112">
              <w:rPr>
                <w:rFonts w:cs="Arial"/>
                <w:color w:val="000000" w:themeColor="text1"/>
                <w:szCs w:val="16"/>
              </w:rPr>
              <w:t>0.00%</w:t>
            </w:r>
          </w:p>
        </w:tc>
        <w:tc>
          <w:tcPr>
            <w:tcW w:w="876" w:type="pct"/>
            <w:shd w:val="clear" w:color="auto" w:fill="auto"/>
          </w:tcPr>
          <w:p w14:paraId="0310AC78" w14:textId="48F7D944" w:rsidR="00A862C3" w:rsidRPr="00781112" w:rsidRDefault="002B7490" w:rsidP="00A018D4">
            <w:pPr>
              <w:jc w:val="center"/>
              <w:rPr>
                <w:rFonts w:cs="Arial"/>
                <w:color w:val="000000" w:themeColor="text1"/>
                <w:szCs w:val="16"/>
              </w:rPr>
            </w:pPr>
            <w:r w:rsidRPr="00781112">
              <w:rPr>
                <w:rFonts w:cs="Arial"/>
                <w:color w:val="000000" w:themeColor="text1"/>
                <w:szCs w:val="16"/>
              </w:rPr>
              <w:t>0.00%</w:t>
            </w:r>
          </w:p>
        </w:tc>
        <w:tc>
          <w:tcPr>
            <w:tcW w:w="584" w:type="pct"/>
            <w:shd w:val="clear" w:color="auto" w:fill="auto"/>
          </w:tcPr>
          <w:p w14:paraId="411F4E7C" w14:textId="0AFD7B4B" w:rsidR="00A862C3" w:rsidRPr="00781112" w:rsidRDefault="002B7490" w:rsidP="00A018D4">
            <w:pPr>
              <w:jc w:val="center"/>
              <w:rPr>
                <w:rFonts w:cs="Arial"/>
                <w:color w:val="000000" w:themeColor="text1"/>
                <w:szCs w:val="16"/>
              </w:rPr>
            </w:pPr>
            <w:r w:rsidRPr="00781112">
              <w:rPr>
                <w:rFonts w:cs="Arial"/>
                <w:color w:val="000000" w:themeColor="text1"/>
                <w:szCs w:val="16"/>
              </w:rPr>
              <w:t>0.00%</w:t>
            </w:r>
          </w:p>
        </w:tc>
        <w:tc>
          <w:tcPr>
            <w:tcW w:w="667" w:type="pct"/>
            <w:shd w:val="clear" w:color="auto" w:fill="auto"/>
          </w:tcPr>
          <w:p w14:paraId="000F74CB" w14:textId="0986D493" w:rsidR="00A862C3" w:rsidRPr="00781112" w:rsidRDefault="002B7490" w:rsidP="00A018D4">
            <w:pPr>
              <w:jc w:val="center"/>
              <w:rPr>
                <w:rFonts w:cs="Arial"/>
                <w:color w:val="000000" w:themeColor="text1"/>
                <w:szCs w:val="16"/>
              </w:rPr>
            </w:pPr>
            <w:r w:rsidRPr="00781112">
              <w:rPr>
                <w:rFonts w:cs="Arial"/>
                <w:color w:val="000000" w:themeColor="text1"/>
                <w:szCs w:val="16"/>
              </w:rPr>
              <w:t>Met target</w:t>
            </w:r>
          </w:p>
        </w:tc>
        <w:tc>
          <w:tcPr>
            <w:tcW w:w="707" w:type="pct"/>
            <w:shd w:val="clear" w:color="auto" w:fill="auto"/>
          </w:tcPr>
          <w:p w14:paraId="69708C33" w14:textId="1D4517AD" w:rsidR="00A862C3" w:rsidRPr="00781112" w:rsidRDefault="002B7490" w:rsidP="00A018D4">
            <w:pPr>
              <w:jc w:val="center"/>
              <w:rPr>
                <w:rFonts w:cs="Arial"/>
                <w:color w:val="000000" w:themeColor="text1"/>
                <w:szCs w:val="16"/>
              </w:rPr>
            </w:pPr>
            <w:r w:rsidRPr="00781112">
              <w:rPr>
                <w:rFonts w:cs="Arial"/>
                <w:color w:val="000000" w:themeColor="text1"/>
                <w:szCs w:val="16"/>
              </w:rPr>
              <w:t>No Slippage</w:t>
            </w:r>
          </w:p>
        </w:tc>
      </w:tr>
    </w:tbl>
    <w:p w14:paraId="278EEC3E" w14:textId="77777777" w:rsidR="006D741F" w:rsidRPr="00781112" w:rsidRDefault="00082667" w:rsidP="00286BDF">
      <w:pPr>
        <w:rPr>
          <w:rFonts w:cs="Arial"/>
          <w:b/>
          <w:color w:val="000000" w:themeColor="text1"/>
          <w:szCs w:val="16"/>
        </w:rPr>
      </w:pPr>
      <w:r w:rsidRPr="00781112">
        <w:rPr>
          <w:rFonts w:cs="Arial"/>
          <w:b/>
          <w:color w:val="000000" w:themeColor="text1"/>
          <w:szCs w:val="16"/>
        </w:rPr>
        <w:t xml:space="preserve">Choose one of the following comparison methodologies to determine whether significant discrepancies are occurring (34 CFR §300.170(a)) </w:t>
      </w:r>
    </w:p>
    <w:p w14:paraId="444FB8E0" w14:textId="3109DE1E" w:rsidR="002C705B" w:rsidRPr="00781112" w:rsidRDefault="002B7490" w:rsidP="00286BDF">
      <w:pPr>
        <w:rPr>
          <w:rFonts w:cs="Arial"/>
          <w:color w:val="000000" w:themeColor="text1"/>
          <w:szCs w:val="16"/>
        </w:rPr>
      </w:pPr>
      <w:r w:rsidRPr="00781112">
        <w:rPr>
          <w:rFonts w:cs="Arial"/>
          <w:color w:val="000000" w:themeColor="text1"/>
          <w:szCs w:val="16"/>
        </w:rPr>
        <w:t>Compare the rates of suspensions and expulsions of greater than 10 days in a school year for children with IEPs among LEAs in the State</w:t>
      </w:r>
    </w:p>
    <w:p w14:paraId="4F94634D" w14:textId="77777777" w:rsidR="00082667" w:rsidRPr="00781112" w:rsidRDefault="00082667" w:rsidP="00286BDF">
      <w:pPr>
        <w:rPr>
          <w:rFonts w:cs="Arial"/>
          <w:b/>
          <w:color w:val="000000" w:themeColor="text1"/>
          <w:szCs w:val="16"/>
        </w:rPr>
      </w:pPr>
      <w:r w:rsidRPr="00781112">
        <w:rPr>
          <w:rFonts w:cs="Arial"/>
          <w:b/>
          <w:color w:val="000000" w:themeColor="text1"/>
          <w:szCs w:val="16"/>
        </w:rPr>
        <w:t>State’s definition of “significant discrepancy” and methodology</w:t>
      </w:r>
    </w:p>
    <w:p w14:paraId="37248070" w14:textId="1657C005" w:rsidR="00A869E9" w:rsidRPr="00781112" w:rsidRDefault="002B7490" w:rsidP="0085119E">
      <w:pPr>
        <w:rPr>
          <w:rFonts w:cs="Arial"/>
          <w:color w:val="000000" w:themeColor="text1"/>
          <w:szCs w:val="16"/>
        </w:rPr>
      </w:pPr>
      <w:r w:rsidRPr="00781112">
        <w:rPr>
          <w:rFonts w:cs="Arial"/>
          <w:color w:val="000000" w:themeColor="text1"/>
          <w:szCs w:val="16"/>
        </w:rPr>
        <w:t>Colorado identifies an AU as having a “significant discrepancy” if an AU's out-of-school greater-than-</w:t>
      </w:r>
      <w:proofErr w:type="gramStart"/>
      <w:r w:rsidRPr="00781112">
        <w:rPr>
          <w:rFonts w:cs="Arial"/>
          <w:color w:val="000000" w:themeColor="text1"/>
          <w:szCs w:val="16"/>
        </w:rPr>
        <w:t>10 day</w:t>
      </w:r>
      <w:proofErr w:type="gramEnd"/>
      <w:r w:rsidRPr="00781112">
        <w:rPr>
          <w:rFonts w:cs="Arial"/>
          <w:color w:val="000000" w:themeColor="text1"/>
          <w:szCs w:val="16"/>
        </w:rPr>
        <w:t xml:space="preserve"> suspension/expulsion rate is more than 4 times of the State's out-of-school greater-than-10-day suspension/expulsion rate for 3 consecutive school years.</w:t>
      </w:r>
    </w:p>
    <w:p w14:paraId="47F07052" w14:textId="77777777" w:rsidR="00BB504D" w:rsidRPr="00781112" w:rsidRDefault="00BB504D" w:rsidP="004369B2">
      <w:pPr>
        <w:rPr>
          <w:b/>
          <w:color w:val="000000" w:themeColor="text1"/>
        </w:rPr>
      </w:pPr>
      <w:bookmarkStart w:id="26" w:name="_Toc384383334"/>
      <w:bookmarkStart w:id="27" w:name="_Toc392159286"/>
      <w:r w:rsidRPr="00781112">
        <w:rPr>
          <w:b/>
          <w:color w:val="000000" w:themeColor="text1"/>
        </w:rPr>
        <w:t>Provide additional information about this indicator (optional)</w:t>
      </w:r>
    </w:p>
    <w:p w14:paraId="0275E470" w14:textId="5748926D" w:rsidR="00A869E9" w:rsidRPr="00781112" w:rsidRDefault="002B7490" w:rsidP="000E33D0">
      <w:pPr>
        <w:rPr>
          <w:rFonts w:cs="Arial"/>
          <w:color w:val="000000" w:themeColor="text1"/>
          <w:szCs w:val="16"/>
        </w:rPr>
      </w:pPr>
      <w:r w:rsidRPr="00781112">
        <w:rPr>
          <w:rFonts w:cs="Arial"/>
          <w:color w:val="000000" w:themeColor="text1"/>
          <w:szCs w:val="16"/>
        </w:rPr>
        <w:t>Three AUs (2 correctional facilities and 1 mental-health facility) were excluded from the calculation of this indicator; they do not participate in the discipline data collection because they cannot suspend/expel the students in their facilities.</w:t>
      </w:r>
    </w:p>
    <w:bookmarkEnd w:id="26"/>
    <w:bookmarkEnd w:id="27"/>
    <w:p w14:paraId="227CCB46" w14:textId="77777777" w:rsidR="007E6F97" w:rsidRPr="00781112" w:rsidRDefault="007E6F97" w:rsidP="004369B2">
      <w:pPr>
        <w:rPr>
          <w:color w:val="000000" w:themeColor="text1"/>
        </w:rPr>
      </w:pPr>
    </w:p>
    <w:p w14:paraId="3F63E777" w14:textId="7D0DE3EE" w:rsidR="00082667" w:rsidRPr="00781112" w:rsidRDefault="00082667" w:rsidP="004369B2">
      <w:pPr>
        <w:rPr>
          <w:color w:val="000000" w:themeColor="text1"/>
        </w:rPr>
      </w:pPr>
      <w:r w:rsidRPr="00781112">
        <w:rPr>
          <w:b/>
          <w:color w:val="000000" w:themeColor="text1"/>
        </w:rPr>
        <w:t>Review of Policies, Procedures, and Practices (completed in FFY 2022 using 2021-2022 data)</w:t>
      </w:r>
    </w:p>
    <w:p w14:paraId="76B39D83" w14:textId="1E1AB613" w:rsidR="00082667" w:rsidRPr="00781112" w:rsidRDefault="00571EAB" w:rsidP="00162F4A">
      <w:pPr>
        <w:rPr>
          <w:b/>
          <w:color w:val="000000" w:themeColor="text1"/>
        </w:rPr>
      </w:pPr>
      <w:r w:rsidRPr="00781112">
        <w:rPr>
          <w:b/>
          <w:color w:val="000000" w:themeColor="text1"/>
        </w:rPr>
        <w:t>Provide a description of the review of policies, procedures, and practices relating to the development and implementation of IEPs, the use of positive behavioral interventions and supports, and procedural safeguards.</w:t>
      </w:r>
    </w:p>
    <w:p w14:paraId="040DE8B4" w14:textId="52454A8A" w:rsidR="002D57DA" w:rsidRPr="00781112" w:rsidRDefault="002B7490" w:rsidP="00082667">
      <w:pPr>
        <w:rPr>
          <w:rFonts w:cs="Arial"/>
          <w:color w:val="000000" w:themeColor="text1"/>
          <w:szCs w:val="16"/>
        </w:rPr>
      </w:pPr>
      <w:r w:rsidRPr="00781112">
        <w:rPr>
          <w:rFonts w:cs="Arial"/>
          <w:color w:val="000000" w:themeColor="text1"/>
          <w:szCs w:val="16"/>
        </w:rPr>
        <w:t>Colorado did not conduct the review of policies, procedures, and practices, because there were no AUs identified as significantly discrepant.</w:t>
      </w:r>
    </w:p>
    <w:p w14:paraId="47497C41" w14:textId="77777777" w:rsidR="003B64C0" w:rsidRPr="00781112" w:rsidRDefault="003B64C0" w:rsidP="00082667">
      <w:pPr>
        <w:rPr>
          <w:rFonts w:cs="Arial"/>
          <w:color w:val="000000" w:themeColor="text1"/>
          <w:szCs w:val="16"/>
        </w:rPr>
      </w:pPr>
    </w:p>
    <w:p w14:paraId="38E1E629" w14:textId="1EF02333" w:rsidR="003B64C0" w:rsidRPr="00781112" w:rsidRDefault="003B64C0" w:rsidP="00082667">
      <w:pPr>
        <w:rPr>
          <w:rFonts w:cs="Arial"/>
          <w:color w:val="000000" w:themeColor="text1"/>
          <w:szCs w:val="16"/>
        </w:rPr>
      </w:pPr>
      <w:r w:rsidRPr="00781112">
        <w:rPr>
          <w:rFonts w:cs="Arial"/>
          <w:color w:val="000000" w:themeColor="text1"/>
          <w:szCs w:val="16"/>
        </w:rPr>
        <w:t xml:space="preserve">The State DID NOT identify noncompliance with Part B requirements </w:t>
      </w:r>
      <w:proofErr w:type="gramStart"/>
      <w:r w:rsidRPr="00781112">
        <w:rPr>
          <w:rFonts w:cs="Arial"/>
          <w:color w:val="000000" w:themeColor="text1"/>
          <w:szCs w:val="16"/>
        </w:rPr>
        <w:t>as a result of</w:t>
      </w:r>
      <w:proofErr w:type="gramEnd"/>
      <w:r w:rsidRPr="00781112">
        <w:rPr>
          <w:rFonts w:cs="Arial"/>
          <w:color w:val="000000" w:themeColor="text1"/>
          <w:szCs w:val="16"/>
        </w:rPr>
        <w:t xml:space="preserve"> the review required by 34 CFR §300.170(b)</w:t>
      </w:r>
    </w:p>
    <w:p w14:paraId="1295BAEB" w14:textId="77777777" w:rsidR="007E6F97" w:rsidRPr="00781112" w:rsidRDefault="007E6F97" w:rsidP="004369B2">
      <w:pPr>
        <w:rPr>
          <w:color w:val="000000" w:themeColor="text1"/>
        </w:rPr>
      </w:pPr>
      <w:bookmarkStart w:id="28" w:name="_Toc381956335"/>
      <w:bookmarkStart w:id="29" w:name="_Toc384383336"/>
      <w:bookmarkStart w:id="30" w:name="_Toc392159288"/>
    </w:p>
    <w:p w14:paraId="0496594E" w14:textId="18EE1A2C" w:rsidR="00B9048A" w:rsidRPr="00781112" w:rsidRDefault="00450F98" w:rsidP="004369B2">
      <w:pPr>
        <w:rPr>
          <w:color w:val="000000" w:themeColor="text1"/>
        </w:rPr>
      </w:pPr>
      <w:r>
        <w:rPr>
          <w:b/>
          <w:color w:val="000000" w:themeColor="text1"/>
        </w:rPr>
        <w:t>Correction of Findings of Noncompliance Identified in FFY 2021</w:t>
      </w:r>
    </w:p>
    <w:tbl>
      <w:tblPr>
        <w:tblStyle w:val="TableGrid"/>
        <w:tblW w:w="5000" w:type="pct"/>
        <w:tblLook w:val="04A0" w:firstRow="1" w:lastRow="0" w:firstColumn="1" w:lastColumn="0" w:noHBand="0" w:noVBand="1"/>
        <w:tblCaption w:val="PFFYNCFINDINGS"/>
      </w:tblPr>
      <w:tblGrid>
        <w:gridCol w:w="2613"/>
        <w:gridCol w:w="2743"/>
        <w:gridCol w:w="2620"/>
        <w:gridCol w:w="2814"/>
      </w:tblGrid>
      <w:tr w:rsidR="005C29F8" w:rsidRPr="00781112" w14:paraId="5E5B522D" w14:textId="77777777" w:rsidTr="000D3273">
        <w:trPr>
          <w:trHeight w:val="389"/>
          <w:tblHeader/>
        </w:trPr>
        <w:tc>
          <w:tcPr>
            <w:tcW w:w="1211" w:type="pct"/>
            <w:shd w:val="clear" w:color="auto" w:fill="auto"/>
            <w:vAlign w:val="bottom"/>
          </w:tcPr>
          <w:p w14:paraId="16ECB6B7" w14:textId="77777777" w:rsidR="00B9048A" w:rsidRPr="00781112" w:rsidRDefault="00B9048A" w:rsidP="001F692C">
            <w:pPr>
              <w:jc w:val="center"/>
              <w:rPr>
                <w:rFonts w:cs="Arial"/>
                <w:b/>
                <w:color w:val="000000" w:themeColor="text1"/>
                <w:szCs w:val="16"/>
              </w:rPr>
            </w:pPr>
            <w:r w:rsidRPr="00781112">
              <w:rPr>
                <w:rFonts w:cs="Arial"/>
                <w:b/>
                <w:color w:val="000000" w:themeColor="text1"/>
                <w:szCs w:val="16"/>
              </w:rPr>
              <w:t>Findings of Noncompliance Identified</w:t>
            </w:r>
          </w:p>
        </w:tc>
        <w:tc>
          <w:tcPr>
            <w:tcW w:w="1271" w:type="pct"/>
            <w:shd w:val="clear" w:color="auto" w:fill="auto"/>
            <w:vAlign w:val="bottom"/>
          </w:tcPr>
          <w:p w14:paraId="122A58DC" w14:textId="77777777" w:rsidR="00B9048A" w:rsidRPr="00781112" w:rsidRDefault="00B9048A" w:rsidP="001F692C">
            <w:pPr>
              <w:jc w:val="center"/>
              <w:rPr>
                <w:rFonts w:cs="Arial"/>
                <w:b/>
                <w:color w:val="000000" w:themeColor="text1"/>
                <w:szCs w:val="16"/>
              </w:rPr>
            </w:pPr>
            <w:r w:rsidRPr="00781112">
              <w:rPr>
                <w:rFonts w:cs="Arial"/>
                <w:b/>
                <w:color w:val="000000" w:themeColor="text1"/>
                <w:szCs w:val="16"/>
              </w:rPr>
              <w:t>Findings of Noncompliance Verified as Corrected Within One Year</w:t>
            </w:r>
          </w:p>
        </w:tc>
        <w:tc>
          <w:tcPr>
            <w:tcW w:w="1214" w:type="pct"/>
            <w:shd w:val="clear" w:color="auto" w:fill="auto"/>
            <w:vAlign w:val="bottom"/>
          </w:tcPr>
          <w:p w14:paraId="7D9FA33F" w14:textId="77777777" w:rsidR="00B9048A" w:rsidRPr="00781112" w:rsidRDefault="00B9048A" w:rsidP="001F692C">
            <w:pPr>
              <w:jc w:val="center"/>
              <w:rPr>
                <w:rFonts w:cs="Arial"/>
                <w:b/>
                <w:color w:val="000000" w:themeColor="text1"/>
                <w:szCs w:val="16"/>
              </w:rPr>
            </w:pPr>
            <w:r w:rsidRPr="00781112">
              <w:rPr>
                <w:rFonts w:cs="Arial"/>
                <w:b/>
                <w:color w:val="000000" w:themeColor="text1"/>
                <w:szCs w:val="16"/>
              </w:rPr>
              <w:t>Findings of Noncompliance Subsequently Corrected</w:t>
            </w:r>
          </w:p>
        </w:tc>
        <w:tc>
          <w:tcPr>
            <w:tcW w:w="1304" w:type="pct"/>
            <w:shd w:val="clear" w:color="auto" w:fill="auto"/>
            <w:vAlign w:val="bottom"/>
          </w:tcPr>
          <w:p w14:paraId="704691FC" w14:textId="77777777" w:rsidR="00B9048A" w:rsidRPr="00781112" w:rsidRDefault="00B9048A" w:rsidP="001F692C">
            <w:pPr>
              <w:jc w:val="center"/>
              <w:rPr>
                <w:rFonts w:cs="Arial"/>
                <w:b/>
                <w:color w:val="000000" w:themeColor="text1"/>
                <w:szCs w:val="16"/>
              </w:rPr>
            </w:pPr>
            <w:r w:rsidRPr="00781112">
              <w:rPr>
                <w:rFonts w:cs="Arial"/>
                <w:b/>
                <w:color w:val="000000" w:themeColor="text1"/>
                <w:szCs w:val="16"/>
              </w:rPr>
              <w:t>Findings Not Yet Verified as Corrected</w:t>
            </w:r>
          </w:p>
        </w:tc>
      </w:tr>
      <w:tr w:rsidR="005C29F8" w:rsidRPr="00781112" w14:paraId="41836014" w14:textId="77777777" w:rsidTr="000D3273">
        <w:tc>
          <w:tcPr>
            <w:tcW w:w="1211" w:type="pct"/>
            <w:shd w:val="clear" w:color="auto" w:fill="auto"/>
          </w:tcPr>
          <w:p w14:paraId="706C7C42" w14:textId="616D64A9" w:rsidR="00B9048A" w:rsidRPr="00781112" w:rsidRDefault="002B7490" w:rsidP="00A018D4">
            <w:pPr>
              <w:jc w:val="center"/>
              <w:rPr>
                <w:rFonts w:cs="Arial"/>
                <w:color w:val="000000" w:themeColor="text1"/>
                <w:szCs w:val="16"/>
              </w:rPr>
            </w:pPr>
            <w:r w:rsidRPr="00781112">
              <w:rPr>
                <w:rFonts w:cs="Arial"/>
                <w:color w:val="000000" w:themeColor="text1"/>
                <w:szCs w:val="16"/>
              </w:rPr>
              <w:t>0</w:t>
            </w:r>
          </w:p>
        </w:tc>
        <w:tc>
          <w:tcPr>
            <w:tcW w:w="1271" w:type="pct"/>
            <w:shd w:val="clear" w:color="auto" w:fill="auto"/>
          </w:tcPr>
          <w:p w14:paraId="0CE7F01B" w14:textId="4009BBFE" w:rsidR="00B9048A" w:rsidRPr="00781112" w:rsidRDefault="002B7490" w:rsidP="00A018D4">
            <w:pPr>
              <w:jc w:val="center"/>
              <w:rPr>
                <w:rFonts w:cs="Arial"/>
                <w:color w:val="000000" w:themeColor="text1"/>
                <w:szCs w:val="16"/>
              </w:rPr>
            </w:pPr>
            <w:r w:rsidRPr="00781112">
              <w:rPr>
                <w:rFonts w:cs="Arial"/>
                <w:color w:val="000000" w:themeColor="text1"/>
                <w:szCs w:val="16"/>
              </w:rPr>
              <w:t>0</w:t>
            </w:r>
          </w:p>
        </w:tc>
        <w:tc>
          <w:tcPr>
            <w:tcW w:w="1214" w:type="pct"/>
            <w:shd w:val="clear" w:color="auto" w:fill="auto"/>
          </w:tcPr>
          <w:p w14:paraId="38F306AA" w14:textId="2CC74FE3" w:rsidR="00B9048A" w:rsidRPr="00781112" w:rsidRDefault="002B7490" w:rsidP="00A018D4">
            <w:pPr>
              <w:jc w:val="center"/>
              <w:rPr>
                <w:rFonts w:cs="Arial"/>
                <w:color w:val="000000" w:themeColor="text1"/>
                <w:szCs w:val="16"/>
              </w:rPr>
            </w:pPr>
            <w:r w:rsidRPr="00781112">
              <w:rPr>
                <w:rFonts w:cs="Arial"/>
                <w:color w:val="000000" w:themeColor="text1"/>
                <w:szCs w:val="16"/>
              </w:rPr>
              <w:t>0</w:t>
            </w:r>
          </w:p>
        </w:tc>
        <w:tc>
          <w:tcPr>
            <w:tcW w:w="1304" w:type="pct"/>
            <w:shd w:val="clear" w:color="auto" w:fill="auto"/>
          </w:tcPr>
          <w:p w14:paraId="5E536CD7" w14:textId="387A8666" w:rsidR="00B9048A" w:rsidRPr="00781112" w:rsidRDefault="002B7490" w:rsidP="00A018D4">
            <w:pPr>
              <w:jc w:val="center"/>
              <w:rPr>
                <w:rFonts w:cs="Arial"/>
                <w:color w:val="000000" w:themeColor="text1"/>
                <w:szCs w:val="16"/>
              </w:rPr>
            </w:pPr>
            <w:r w:rsidRPr="00781112">
              <w:rPr>
                <w:rFonts w:cs="Arial"/>
                <w:color w:val="000000" w:themeColor="text1"/>
                <w:szCs w:val="16"/>
              </w:rPr>
              <w:t>0</w:t>
            </w:r>
          </w:p>
        </w:tc>
      </w:tr>
    </w:tbl>
    <w:p w14:paraId="6809AF49" w14:textId="38B5C989" w:rsidR="00B9048A" w:rsidRPr="00781112" w:rsidRDefault="00450F98" w:rsidP="004369B2">
      <w:pPr>
        <w:rPr>
          <w:color w:val="000000" w:themeColor="text1"/>
        </w:rPr>
      </w:pPr>
      <w:r>
        <w:rPr>
          <w:b/>
          <w:color w:val="000000" w:themeColor="text1"/>
        </w:rPr>
        <w:t>Correction of Findings of Noncompliance Identified Prior to FFY 2021</w:t>
      </w:r>
    </w:p>
    <w:tbl>
      <w:tblPr>
        <w:tblStyle w:val="TableGrid"/>
        <w:tblW w:w="5000" w:type="pct"/>
        <w:tblLook w:val="04A0" w:firstRow="1" w:lastRow="0" w:firstColumn="1" w:lastColumn="0" w:noHBand="0" w:noVBand="1"/>
        <w:tblCaption w:val="PPFFYNCFINDINGS"/>
      </w:tblPr>
      <w:tblGrid>
        <w:gridCol w:w="2216"/>
        <w:gridCol w:w="2922"/>
        <w:gridCol w:w="2913"/>
        <w:gridCol w:w="2739"/>
      </w:tblGrid>
      <w:tr w:rsidR="005C29F8" w:rsidRPr="00781112" w14:paraId="6E94B7A5" w14:textId="77777777" w:rsidTr="00AB0D6A">
        <w:trPr>
          <w:tblHeader/>
        </w:trPr>
        <w:tc>
          <w:tcPr>
            <w:tcW w:w="1027" w:type="pct"/>
            <w:shd w:val="clear" w:color="auto" w:fill="auto"/>
            <w:vAlign w:val="bottom"/>
          </w:tcPr>
          <w:p w14:paraId="673CA265" w14:textId="007E8E78" w:rsidR="00B9048A" w:rsidRPr="00781112" w:rsidRDefault="0016730D" w:rsidP="001F692C">
            <w:pPr>
              <w:jc w:val="center"/>
              <w:rPr>
                <w:rFonts w:cs="Arial"/>
                <w:b/>
                <w:color w:val="000000" w:themeColor="text1"/>
                <w:szCs w:val="16"/>
              </w:rPr>
            </w:pPr>
            <w:r w:rsidRPr="00781112">
              <w:rPr>
                <w:rFonts w:cs="Arial"/>
                <w:b/>
                <w:color w:val="000000" w:themeColor="text1"/>
                <w:szCs w:val="16"/>
              </w:rPr>
              <w:t>Year Findings of Noncompliance Were Identified</w:t>
            </w:r>
          </w:p>
        </w:tc>
        <w:tc>
          <w:tcPr>
            <w:tcW w:w="1354" w:type="pct"/>
            <w:shd w:val="clear" w:color="auto" w:fill="auto"/>
            <w:vAlign w:val="bottom"/>
          </w:tcPr>
          <w:p w14:paraId="1C2EE691" w14:textId="31016B4B" w:rsidR="00B9048A" w:rsidRPr="00781112" w:rsidRDefault="00450F98" w:rsidP="001F692C">
            <w:pPr>
              <w:jc w:val="center"/>
              <w:rPr>
                <w:rFonts w:cs="Arial"/>
                <w:b/>
                <w:color w:val="000000" w:themeColor="text1"/>
                <w:szCs w:val="16"/>
              </w:rPr>
            </w:pPr>
            <w:r>
              <w:rPr>
                <w:rFonts w:cs="Arial"/>
                <w:b/>
                <w:color w:val="000000" w:themeColor="text1"/>
                <w:szCs w:val="16"/>
              </w:rPr>
              <w:t>Findings of Noncompliance Not Yet Verified as Corrected as of FFY 2021 APR</w:t>
            </w:r>
          </w:p>
        </w:tc>
        <w:tc>
          <w:tcPr>
            <w:tcW w:w="1350" w:type="pct"/>
            <w:shd w:val="clear" w:color="auto" w:fill="auto"/>
            <w:vAlign w:val="bottom"/>
          </w:tcPr>
          <w:p w14:paraId="4E501567" w14:textId="77777777" w:rsidR="00B9048A" w:rsidRPr="00781112" w:rsidRDefault="00B9048A" w:rsidP="001F692C">
            <w:pPr>
              <w:jc w:val="center"/>
              <w:rPr>
                <w:rFonts w:cs="Arial"/>
                <w:b/>
                <w:color w:val="000000" w:themeColor="text1"/>
                <w:szCs w:val="16"/>
              </w:rPr>
            </w:pPr>
            <w:r w:rsidRPr="00781112">
              <w:rPr>
                <w:rFonts w:cs="Arial"/>
                <w:b/>
                <w:color w:val="000000" w:themeColor="text1"/>
                <w:szCs w:val="16"/>
              </w:rPr>
              <w:t>Findings of Noncompliance Verified as Corrected</w:t>
            </w:r>
          </w:p>
        </w:tc>
        <w:tc>
          <w:tcPr>
            <w:tcW w:w="1269" w:type="pct"/>
            <w:shd w:val="clear" w:color="auto" w:fill="auto"/>
            <w:vAlign w:val="bottom"/>
          </w:tcPr>
          <w:p w14:paraId="7151EA41" w14:textId="77777777" w:rsidR="00B9048A" w:rsidRPr="00781112" w:rsidRDefault="00B9048A" w:rsidP="001F692C">
            <w:pPr>
              <w:jc w:val="center"/>
              <w:rPr>
                <w:rFonts w:cs="Arial"/>
                <w:b/>
                <w:color w:val="000000" w:themeColor="text1"/>
                <w:szCs w:val="16"/>
              </w:rPr>
            </w:pPr>
            <w:r w:rsidRPr="00781112">
              <w:rPr>
                <w:rFonts w:cs="Arial"/>
                <w:b/>
                <w:color w:val="000000" w:themeColor="text1"/>
                <w:szCs w:val="16"/>
              </w:rPr>
              <w:t>Findings Not Yet Verified as Corrected</w:t>
            </w:r>
          </w:p>
        </w:tc>
      </w:tr>
      <w:tr w:rsidR="005C29F8" w:rsidRPr="00781112" w14:paraId="280087A2" w14:textId="77777777" w:rsidTr="00AB0D6A">
        <w:tc>
          <w:tcPr>
            <w:tcW w:w="1027" w:type="pct"/>
            <w:shd w:val="clear" w:color="auto" w:fill="auto"/>
          </w:tcPr>
          <w:p w14:paraId="5A5634D8" w14:textId="5AC3BEAC" w:rsidR="000C7B90" w:rsidRPr="00781112" w:rsidRDefault="000C7B90" w:rsidP="00A018D4">
            <w:pPr>
              <w:jc w:val="center"/>
              <w:rPr>
                <w:rFonts w:cs="Arial"/>
                <w:color w:val="000000" w:themeColor="text1"/>
                <w:szCs w:val="16"/>
              </w:rPr>
            </w:pPr>
          </w:p>
        </w:tc>
        <w:tc>
          <w:tcPr>
            <w:tcW w:w="1354" w:type="pct"/>
            <w:shd w:val="clear" w:color="auto" w:fill="auto"/>
          </w:tcPr>
          <w:p w14:paraId="38361EB5" w14:textId="479B3693" w:rsidR="000C7B90" w:rsidRPr="00781112" w:rsidRDefault="000C7B90">
            <w:pPr>
              <w:jc w:val="center"/>
              <w:rPr>
                <w:rFonts w:cs="Arial"/>
                <w:noProof/>
                <w:color w:val="000000" w:themeColor="text1"/>
                <w:szCs w:val="16"/>
              </w:rPr>
            </w:pPr>
          </w:p>
        </w:tc>
        <w:tc>
          <w:tcPr>
            <w:tcW w:w="1350" w:type="pct"/>
            <w:shd w:val="clear" w:color="auto" w:fill="auto"/>
          </w:tcPr>
          <w:p w14:paraId="0F44D03C" w14:textId="3887F715" w:rsidR="000C7B90" w:rsidRPr="00781112" w:rsidRDefault="000C7B90">
            <w:pPr>
              <w:jc w:val="center"/>
              <w:rPr>
                <w:rFonts w:cs="Arial"/>
                <w:noProof/>
                <w:color w:val="000000" w:themeColor="text1"/>
                <w:szCs w:val="16"/>
              </w:rPr>
            </w:pPr>
          </w:p>
        </w:tc>
        <w:tc>
          <w:tcPr>
            <w:tcW w:w="1269" w:type="pct"/>
            <w:shd w:val="clear" w:color="auto" w:fill="auto"/>
          </w:tcPr>
          <w:p w14:paraId="5DF55667" w14:textId="0913E6B4" w:rsidR="000C7B90" w:rsidRPr="00781112" w:rsidRDefault="000C7B90">
            <w:pPr>
              <w:jc w:val="center"/>
              <w:rPr>
                <w:rFonts w:cs="Arial"/>
                <w:noProof/>
                <w:color w:val="000000" w:themeColor="text1"/>
                <w:szCs w:val="16"/>
              </w:rPr>
            </w:pPr>
          </w:p>
        </w:tc>
      </w:tr>
      <w:tr w:rsidR="005C29F8" w:rsidRPr="00781112" w14:paraId="3BB76F7F" w14:textId="77777777" w:rsidTr="00AB0D6A">
        <w:tc>
          <w:tcPr>
            <w:tcW w:w="1027" w:type="pct"/>
            <w:shd w:val="clear" w:color="auto" w:fill="auto"/>
          </w:tcPr>
          <w:p w14:paraId="3E53BDFC" w14:textId="49B50F7D" w:rsidR="000C7B90" w:rsidRPr="00781112" w:rsidRDefault="000C7B90" w:rsidP="00A018D4">
            <w:pPr>
              <w:jc w:val="center"/>
              <w:rPr>
                <w:rFonts w:cs="Arial"/>
                <w:color w:val="000000" w:themeColor="text1"/>
                <w:szCs w:val="16"/>
              </w:rPr>
            </w:pPr>
          </w:p>
        </w:tc>
        <w:tc>
          <w:tcPr>
            <w:tcW w:w="1354" w:type="pct"/>
            <w:shd w:val="clear" w:color="auto" w:fill="auto"/>
          </w:tcPr>
          <w:p w14:paraId="2DAC4ACF" w14:textId="6DFB36C9" w:rsidR="000C7B90" w:rsidRPr="00781112" w:rsidRDefault="000C7B90">
            <w:pPr>
              <w:jc w:val="center"/>
              <w:rPr>
                <w:rFonts w:cs="Arial"/>
                <w:noProof/>
                <w:color w:val="000000" w:themeColor="text1"/>
                <w:szCs w:val="16"/>
              </w:rPr>
            </w:pPr>
          </w:p>
        </w:tc>
        <w:tc>
          <w:tcPr>
            <w:tcW w:w="1350" w:type="pct"/>
            <w:shd w:val="clear" w:color="auto" w:fill="auto"/>
          </w:tcPr>
          <w:p w14:paraId="45BEAE02" w14:textId="10E4F499" w:rsidR="000C7B90" w:rsidRPr="00781112" w:rsidRDefault="000C7B90">
            <w:pPr>
              <w:jc w:val="center"/>
              <w:rPr>
                <w:rFonts w:cs="Arial"/>
                <w:noProof/>
                <w:color w:val="000000" w:themeColor="text1"/>
                <w:szCs w:val="16"/>
              </w:rPr>
            </w:pPr>
          </w:p>
        </w:tc>
        <w:tc>
          <w:tcPr>
            <w:tcW w:w="1269" w:type="pct"/>
            <w:shd w:val="clear" w:color="auto" w:fill="auto"/>
          </w:tcPr>
          <w:p w14:paraId="3F264F27" w14:textId="46B36D97" w:rsidR="000C7B90" w:rsidRPr="00781112" w:rsidRDefault="000C7B90">
            <w:pPr>
              <w:jc w:val="center"/>
              <w:rPr>
                <w:rFonts w:cs="Arial"/>
                <w:noProof/>
                <w:color w:val="000000" w:themeColor="text1"/>
                <w:szCs w:val="16"/>
              </w:rPr>
            </w:pPr>
          </w:p>
        </w:tc>
      </w:tr>
      <w:tr w:rsidR="005C29F8" w:rsidRPr="00781112" w14:paraId="21B66B81" w14:textId="77777777" w:rsidTr="00AB0D6A">
        <w:tc>
          <w:tcPr>
            <w:tcW w:w="1027" w:type="pct"/>
            <w:shd w:val="clear" w:color="auto" w:fill="auto"/>
          </w:tcPr>
          <w:p w14:paraId="65918C5C" w14:textId="6650DAE7" w:rsidR="000C7B90" w:rsidRPr="00781112" w:rsidRDefault="000C7B90" w:rsidP="00A018D4">
            <w:pPr>
              <w:jc w:val="center"/>
              <w:rPr>
                <w:rFonts w:cs="Arial"/>
                <w:color w:val="000000" w:themeColor="text1"/>
                <w:szCs w:val="16"/>
              </w:rPr>
            </w:pPr>
          </w:p>
        </w:tc>
        <w:tc>
          <w:tcPr>
            <w:tcW w:w="1354" w:type="pct"/>
            <w:shd w:val="clear" w:color="auto" w:fill="auto"/>
          </w:tcPr>
          <w:p w14:paraId="1BC28F5F" w14:textId="383929AE" w:rsidR="000C7B90" w:rsidRPr="00781112" w:rsidRDefault="000C7B90">
            <w:pPr>
              <w:jc w:val="center"/>
              <w:rPr>
                <w:rFonts w:cs="Arial"/>
                <w:noProof/>
                <w:color w:val="000000" w:themeColor="text1"/>
                <w:szCs w:val="16"/>
              </w:rPr>
            </w:pPr>
          </w:p>
        </w:tc>
        <w:tc>
          <w:tcPr>
            <w:tcW w:w="1350" w:type="pct"/>
            <w:shd w:val="clear" w:color="auto" w:fill="auto"/>
          </w:tcPr>
          <w:p w14:paraId="12030336" w14:textId="25AE5462" w:rsidR="000C7B90" w:rsidRPr="00781112" w:rsidRDefault="000C7B90">
            <w:pPr>
              <w:jc w:val="center"/>
              <w:rPr>
                <w:rFonts w:cs="Arial"/>
                <w:noProof/>
                <w:color w:val="000000" w:themeColor="text1"/>
                <w:szCs w:val="16"/>
              </w:rPr>
            </w:pPr>
          </w:p>
        </w:tc>
        <w:tc>
          <w:tcPr>
            <w:tcW w:w="1269" w:type="pct"/>
            <w:shd w:val="clear" w:color="auto" w:fill="auto"/>
          </w:tcPr>
          <w:p w14:paraId="189EDDF9" w14:textId="00F3EE08" w:rsidR="000C7B90" w:rsidRPr="00781112" w:rsidRDefault="000C7B90">
            <w:pPr>
              <w:jc w:val="center"/>
              <w:rPr>
                <w:rFonts w:cs="Arial"/>
                <w:noProof/>
                <w:color w:val="000000" w:themeColor="text1"/>
                <w:szCs w:val="16"/>
              </w:rPr>
            </w:pPr>
          </w:p>
        </w:tc>
      </w:tr>
      <w:tr w:rsidR="004C5DF4" w:rsidRPr="00781112" w14:paraId="7C579D4A" w14:textId="77777777" w:rsidTr="00AB0D6A">
        <w:tc>
          <w:tcPr>
            <w:tcW w:w="1027" w:type="pct"/>
            <w:shd w:val="clear" w:color="auto" w:fill="auto"/>
          </w:tcPr>
          <w:p w14:paraId="2B92F4F2" w14:textId="5AAF6AE3" w:rsidR="004C5DF4" w:rsidRPr="00781112" w:rsidRDefault="004C5DF4" w:rsidP="004C5DF4">
            <w:pPr>
              <w:jc w:val="center"/>
              <w:rPr>
                <w:rFonts w:cs="Arial"/>
                <w:color w:val="000000" w:themeColor="text1"/>
                <w:szCs w:val="16"/>
              </w:rPr>
            </w:pPr>
          </w:p>
        </w:tc>
        <w:tc>
          <w:tcPr>
            <w:tcW w:w="1354" w:type="pct"/>
            <w:shd w:val="clear" w:color="auto" w:fill="auto"/>
          </w:tcPr>
          <w:p w14:paraId="3FCBA488" w14:textId="7394AB3D" w:rsidR="004C5DF4" w:rsidRPr="00781112" w:rsidRDefault="004C5DF4" w:rsidP="004C5DF4">
            <w:pPr>
              <w:jc w:val="center"/>
              <w:rPr>
                <w:rFonts w:cs="Arial"/>
                <w:color w:val="000000" w:themeColor="text1"/>
                <w:szCs w:val="16"/>
              </w:rPr>
            </w:pPr>
          </w:p>
        </w:tc>
        <w:tc>
          <w:tcPr>
            <w:tcW w:w="1350" w:type="pct"/>
            <w:shd w:val="clear" w:color="auto" w:fill="auto"/>
          </w:tcPr>
          <w:p w14:paraId="0273CD3A" w14:textId="76228D3D" w:rsidR="004C5DF4" w:rsidRPr="00781112" w:rsidRDefault="004C5DF4" w:rsidP="004C5DF4">
            <w:pPr>
              <w:jc w:val="center"/>
              <w:rPr>
                <w:rFonts w:cs="Arial"/>
                <w:color w:val="000000" w:themeColor="text1"/>
                <w:szCs w:val="16"/>
              </w:rPr>
            </w:pPr>
          </w:p>
        </w:tc>
        <w:tc>
          <w:tcPr>
            <w:tcW w:w="1269" w:type="pct"/>
            <w:shd w:val="clear" w:color="auto" w:fill="auto"/>
          </w:tcPr>
          <w:p w14:paraId="2F94D90D" w14:textId="46195C23" w:rsidR="004C5DF4" w:rsidRPr="00781112" w:rsidRDefault="004C5DF4" w:rsidP="004C5DF4">
            <w:pPr>
              <w:jc w:val="center"/>
              <w:rPr>
                <w:rFonts w:cs="Arial"/>
                <w:color w:val="000000" w:themeColor="text1"/>
                <w:szCs w:val="16"/>
              </w:rPr>
            </w:pPr>
          </w:p>
        </w:tc>
      </w:tr>
      <w:tr w:rsidR="004C5DF4" w:rsidRPr="00781112" w14:paraId="7E70640E" w14:textId="77777777" w:rsidTr="00AB0D6A">
        <w:tc>
          <w:tcPr>
            <w:tcW w:w="1027" w:type="pct"/>
            <w:shd w:val="clear" w:color="auto" w:fill="auto"/>
          </w:tcPr>
          <w:p w14:paraId="32E87A6E" w14:textId="4CC65F23" w:rsidR="004C5DF4" w:rsidRPr="00781112" w:rsidRDefault="004C5DF4" w:rsidP="004C5DF4">
            <w:pPr>
              <w:jc w:val="center"/>
              <w:rPr>
                <w:rFonts w:cs="Arial"/>
                <w:color w:val="000000" w:themeColor="text1"/>
                <w:szCs w:val="16"/>
              </w:rPr>
            </w:pPr>
          </w:p>
        </w:tc>
        <w:tc>
          <w:tcPr>
            <w:tcW w:w="1354" w:type="pct"/>
            <w:shd w:val="clear" w:color="auto" w:fill="auto"/>
          </w:tcPr>
          <w:p w14:paraId="1BAD93A6" w14:textId="0DBDC82C" w:rsidR="004C5DF4" w:rsidRPr="00781112" w:rsidRDefault="004C5DF4" w:rsidP="004C5DF4">
            <w:pPr>
              <w:jc w:val="center"/>
              <w:rPr>
                <w:rFonts w:cs="Arial"/>
                <w:color w:val="000000" w:themeColor="text1"/>
                <w:szCs w:val="16"/>
              </w:rPr>
            </w:pPr>
          </w:p>
        </w:tc>
        <w:tc>
          <w:tcPr>
            <w:tcW w:w="1350" w:type="pct"/>
            <w:shd w:val="clear" w:color="auto" w:fill="auto"/>
          </w:tcPr>
          <w:p w14:paraId="6D05F7EE" w14:textId="2C1BB100" w:rsidR="004C5DF4" w:rsidRPr="00781112" w:rsidRDefault="004C5DF4" w:rsidP="004C5DF4">
            <w:pPr>
              <w:jc w:val="center"/>
              <w:rPr>
                <w:rFonts w:cs="Arial"/>
                <w:color w:val="000000" w:themeColor="text1"/>
                <w:szCs w:val="16"/>
              </w:rPr>
            </w:pPr>
          </w:p>
        </w:tc>
        <w:tc>
          <w:tcPr>
            <w:tcW w:w="1269" w:type="pct"/>
            <w:shd w:val="clear" w:color="auto" w:fill="auto"/>
          </w:tcPr>
          <w:p w14:paraId="1905613F" w14:textId="4451076C" w:rsidR="004C5DF4" w:rsidRPr="00781112" w:rsidRDefault="004C5DF4" w:rsidP="004C5DF4">
            <w:pPr>
              <w:jc w:val="center"/>
              <w:rPr>
                <w:rFonts w:cs="Arial"/>
                <w:color w:val="000000" w:themeColor="text1"/>
                <w:szCs w:val="16"/>
              </w:rPr>
            </w:pPr>
          </w:p>
        </w:tc>
      </w:tr>
    </w:tbl>
    <w:p w14:paraId="5AF33F49" w14:textId="77777777" w:rsidR="00685C73" w:rsidRPr="00781112" w:rsidRDefault="00685C73" w:rsidP="000C7B90">
      <w:pPr>
        <w:rPr>
          <w:rFonts w:cs="Arial"/>
          <w:color w:val="000000" w:themeColor="text1"/>
          <w:szCs w:val="16"/>
        </w:rPr>
      </w:pPr>
    </w:p>
    <w:p w14:paraId="21AE82C7" w14:textId="33B9781C" w:rsidR="004E2151" w:rsidRPr="00781112" w:rsidRDefault="00697434" w:rsidP="008645AD">
      <w:pPr>
        <w:pStyle w:val="Heading2"/>
      </w:pPr>
      <w:r w:rsidRPr="00781112">
        <w:t>4A</w:t>
      </w:r>
      <w:r w:rsidR="00DA3C7A" w:rsidRPr="00781112">
        <w:t xml:space="preserve"> </w:t>
      </w:r>
      <w:r w:rsidRPr="00781112">
        <w:t xml:space="preserve">- </w:t>
      </w:r>
      <w:r w:rsidR="004E2151" w:rsidRPr="00781112">
        <w:t>Prior FFY Required Actions</w:t>
      </w:r>
    </w:p>
    <w:p w14:paraId="3EDBC3E4" w14:textId="0BA98152" w:rsidR="004E2151" w:rsidRPr="00781112" w:rsidRDefault="002B7490" w:rsidP="004E2151">
      <w:pPr>
        <w:rPr>
          <w:rFonts w:cs="Arial"/>
          <w:color w:val="000000" w:themeColor="text1"/>
          <w:szCs w:val="16"/>
        </w:rPr>
      </w:pPr>
      <w:r w:rsidRPr="00781112">
        <w:rPr>
          <w:rFonts w:cs="Arial"/>
          <w:color w:val="000000" w:themeColor="text1"/>
          <w:szCs w:val="16"/>
        </w:rPr>
        <w:t xml:space="preserve">In the FFY 2022 SPP/APR, the State must explain how its methodology is reasonably designed to determine if significant discrepancies are occurring in the rate of suspensions and expulsions of greater than 10 days in a school year for children with IEPs, including how the State’s threshold for measuring significant discrepancy in the rate of long-term suspensions and expulsions is reasonably designed. </w:t>
      </w:r>
    </w:p>
    <w:p w14:paraId="54E863CC" w14:textId="77777777" w:rsidR="009B02BC" w:rsidRPr="00781112" w:rsidRDefault="009B02BC" w:rsidP="004E2151">
      <w:pPr>
        <w:rPr>
          <w:rFonts w:cs="Arial"/>
          <w:color w:val="000000" w:themeColor="text1"/>
          <w:szCs w:val="16"/>
        </w:rPr>
      </w:pPr>
    </w:p>
    <w:p w14:paraId="0FF6D321" w14:textId="1CF07C61" w:rsidR="004E2151" w:rsidRPr="00781112" w:rsidRDefault="007639D7" w:rsidP="004369B2">
      <w:pPr>
        <w:rPr>
          <w:b/>
          <w:color w:val="000000" w:themeColor="text1"/>
        </w:rPr>
      </w:pPr>
      <w:r>
        <w:rPr>
          <w:b/>
          <w:color w:val="000000" w:themeColor="text1"/>
        </w:rPr>
        <w:t>Response to actions required in FFY 2021 SPP/APR</w:t>
      </w:r>
    </w:p>
    <w:p w14:paraId="0B0E4F8A" w14:textId="671C6BE6" w:rsidR="004E2151" w:rsidRPr="00781112" w:rsidRDefault="002B7490" w:rsidP="004E2151">
      <w:pPr>
        <w:rPr>
          <w:rFonts w:cs="Arial"/>
          <w:color w:val="000000" w:themeColor="text1"/>
          <w:szCs w:val="16"/>
        </w:rPr>
      </w:pPr>
      <w:r w:rsidRPr="00781112">
        <w:rPr>
          <w:rFonts w:cs="Arial"/>
          <w:color w:val="000000" w:themeColor="text1"/>
          <w:szCs w:val="16"/>
        </w:rPr>
        <w:t xml:space="preserve">On 9/26/2023, Colorado Department of Education (CDE), with support and in-person facilitation by staff from the IDEA Data Center (IDC), convened a broad stakeholder group composed of parent and community representatives from Colorado Disability Law, Advocacy Denver, the Arc of Colorado, PEAK Parent Center, and the Colorado State Education Advisory Counsil in addition to Special Education Directors. The </w:t>
      </w:r>
      <w:proofErr w:type="gramStart"/>
      <w:r w:rsidRPr="00781112">
        <w:rPr>
          <w:rFonts w:cs="Arial"/>
          <w:color w:val="000000" w:themeColor="text1"/>
          <w:szCs w:val="16"/>
        </w:rPr>
        <w:t>Indicator</w:t>
      </w:r>
      <w:proofErr w:type="gramEnd"/>
      <w:r w:rsidRPr="00781112">
        <w:rPr>
          <w:rFonts w:cs="Arial"/>
          <w:color w:val="000000" w:themeColor="text1"/>
          <w:szCs w:val="16"/>
        </w:rPr>
        <w:t xml:space="preserve"> 4A and 4B definitions and Colorado’s current calculations were explained in detail. IDC staff led a discussion on the intended outcomes on students and AUs of collecting and reporting this Indicator data. IDC presented various scenarios and the group examined the impact of each of the changes in determining significant discrepancies to the State’s methodology. IDC staff led a consensus building activity that led to the stakeholder recommendation to the state to:</w:t>
      </w:r>
      <w:r w:rsidRPr="00781112">
        <w:rPr>
          <w:rFonts w:cs="Arial"/>
          <w:color w:val="000000" w:themeColor="text1"/>
          <w:szCs w:val="16"/>
        </w:rPr>
        <w:br/>
        <w:t>1.</w:t>
      </w:r>
      <w:r w:rsidRPr="00781112">
        <w:rPr>
          <w:rFonts w:cs="Arial"/>
          <w:color w:val="000000" w:themeColor="text1"/>
          <w:szCs w:val="16"/>
        </w:rPr>
        <w:tab/>
        <w:t xml:space="preserve">Lower the threshold from 4 times the state’s rate to 2.0 times the state’s rate. </w:t>
      </w:r>
      <w:r w:rsidRPr="00781112">
        <w:rPr>
          <w:rFonts w:cs="Arial"/>
          <w:color w:val="000000" w:themeColor="text1"/>
          <w:szCs w:val="16"/>
        </w:rPr>
        <w:br/>
        <w:t>2. AUs who fall between 1.5 and 2.0 will receive a warning letter</w:t>
      </w:r>
      <w:r w:rsidRPr="00781112">
        <w:rPr>
          <w:rFonts w:cs="Arial"/>
          <w:color w:val="000000" w:themeColor="text1"/>
          <w:szCs w:val="16"/>
        </w:rPr>
        <w:br/>
        <w:t>3.</w:t>
      </w:r>
      <w:r w:rsidRPr="00781112">
        <w:rPr>
          <w:rFonts w:cs="Arial"/>
          <w:color w:val="000000" w:themeColor="text1"/>
          <w:szCs w:val="16"/>
        </w:rPr>
        <w:tab/>
        <w:t xml:space="preserve">Eliminate the 3-consecutive school years measurement period and use 1 school year </w:t>
      </w:r>
      <w:r w:rsidRPr="00781112">
        <w:rPr>
          <w:rFonts w:cs="Arial"/>
          <w:color w:val="000000" w:themeColor="text1"/>
          <w:szCs w:val="16"/>
        </w:rPr>
        <w:br/>
        <w:t>4. Target for this indicator will remain at 0%.</w:t>
      </w:r>
      <w:r w:rsidRPr="00781112">
        <w:rPr>
          <w:rFonts w:cs="Arial"/>
          <w:color w:val="000000" w:themeColor="text1"/>
          <w:szCs w:val="16"/>
        </w:rPr>
        <w:br/>
      </w:r>
      <w:r w:rsidRPr="00781112">
        <w:rPr>
          <w:rFonts w:cs="Arial"/>
          <w:color w:val="000000" w:themeColor="text1"/>
          <w:szCs w:val="16"/>
        </w:rPr>
        <w:br/>
        <w:t xml:space="preserve">The change to our threshold and removal of the consecutive school year requirement will result in a reasonably designed methodology to determine if significant discrepancies are occurring. </w:t>
      </w:r>
      <w:r w:rsidRPr="00781112">
        <w:rPr>
          <w:rFonts w:cs="Arial"/>
          <w:color w:val="000000" w:themeColor="text1"/>
          <w:szCs w:val="16"/>
        </w:rPr>
        <w:br/>
      </w:r>
      <w:r w:rsidRPr="00781112">
        <w:rPr>
          <w:rFonts w:cs="Arial"/>
          <w:color w:val="000000" w:themeColor="text1"/>
          <w:szCs w:val="16"/>
        </w:rPr>
        <w:br/>
        <w:t xml:space="preserve">These changes to Colorado’s definition of significant discrepancy and methodology will be announced to AUs and effective with SY 2024-2025 reporting period. </w:t>
      </w:r>
      <w:r w:rsidRPr="00781112">
        <w:rPr>
          <w:rFonts w:cs="Arial"/>
          <w:color w:val="000000" w:themeColor="text1"/>
          <w:szCs w:val="16"/>
        </w:rPr>
        <w:br/>
      </w:r>
      <w:r w:rsidRPr="00781112">
        <w:rPr>
          <w:rFonts w:cs="Arial"/>
          <w:color w:val="000000" w:themeColor="text1"/>
          <w:szCs w:val="16"/>
        </w:rPr>
        <w:br/>
        <w:t>4A - Colorado’s definition of “significant discrepancy” and methodology effective SY 2024-2025</w:t>
      </w:r>
      <w:r w:rsidRPr="00781112">
        <w:rPr>
          <w:rFonts w:cs="Arial"/>
          <w:color w:val="000000" w:themeColor="text1"/>
          <w:szCs w:val="16"/>
        </w:rPr>
        <w:br/>
      </w:r>
      <w:r w:rsidRPr="00781112">
        <w:rPr>
          <w:rFonts w:cs="Arial"/>
          <w:color w:val="000000" w:themeColor="text1"/>
          <w:szCs w:val="16"/>
        </w:rPr>
        <w:br/>
        <w:t>Colorado examines all AUs for this Indicator. Colorado identifies an AU as having a “significant discrepancy” if an AU's out-of-school greater-than-</w:t>
      </w:r>
      <w:proofErr w:type="gramStart"/>
      <w:r w:rsidRPr="00781112">
        <w:rPr>
          <w:rFonts w:cs="Arial"/>
          <w:color w:val="000000" w:themeColor="text1"/>
          <w:szCs w:val="16"/>
        </w:rPr>
        <w:t>10 day</w:t>
      </w:r>
      <w:proofErr w:type="gramEnd"/>
      <w:r w:rsidRPr="00781112">
        <w:rPr>
          <w:rFonts w:cs="Arial"/>
          <w:color w:val="000000" w:themeColor="text1"/>
          <w:szCs w:val="16"/>
        </w:rPr>
        <w:t xml:space="preserve"> suspension/expulsion rate is more than 2.0 times of the State's out-of-school greater-than-10-day suspension/expulsion rate in the school year. AUs who fall between 1.5 and 2.0 will receive a warning letter to examine their policies, procedures, and practices and the opportunity to receive CDE technical assistance. </w:t>
      </w:r>
    </w:p>
    <w:p w14:paraId="1480A7D2" w14:textId="5B38CB62" w:rsidR="009B02BC" w:rsidRPr="00781112" w:rsidRDefault="009B02BC" w:rsidP="004E2151">
      <w:pPr>
        <w:rPr>
          <w:rFonts w:cs="Arial"/>
          <w:color w:val="000000" w:themeColor="text1"/>
          <w:szCs w:val="16"/>
        </w:rPr>
      </w:pPr>
    </w:p>
    <w:p w14:paraId="537673C8" w14:textId="6D41A3A2" w:rsidR="005115D6" w:rsidRPr="00781112" w:rsidRDefault="001E2193" w:rsidP="008645AD">
      <w:pPr>
        <w:pStyle w:val="Heading2"/>
      </w:pPr>
      <w:r w:rsidRPr="00781112">
        <w:lastRenderedPageBreak/>
        <w:t>4A - OSEP Response</w:t>
      </w:r>
    </w:p>
    <w:p w14:paraId="6408916F" w14:textId="5ADBBBB9" w:rsidR="002D57DA" w:rsidRPr="00781112" w:rsidRDefault="002B7490" w:rsidP="00212954">
      <w:pPr>
        <w:rPr>
          <w:rFonts w:cs="Arial"/>
          <w:color w:val="000000" w:themeColor="text1"/>
          <w:szCs w:val="16"/>
        </w:rPr>
      </w:pPr>
      <w:r w:rsidRPr="00781112">
        <w:rPr>
          <w:rFonts w:cs="Arial"/>
          <w:color w:val="000000" w:themeColor="text1"/>
          <w:szCs w:val="16"/>
        </w:rPr>
        <w:t>OSEP’s Required Actions in response to the State’s FFY 2021 SPP/APR required the State to explain, in its FFY 2022 SPP/APR, how its methodology is reasonably designed to determine if significant discrepancies are occurring in the rate of suspensions and expulsions of greater than 10 days in a school year for children with IEPs. In the FFY 2022 SPP/APR, the State indicated that it plans to review its methodology for this indicator. OSEP appreciates the State’s efforts. However, for the FFY 2022 SPP/APR OSEP notes that the State's methodology continues to result in a threshold for measuring significant discrepancy in the rate of long-term suspension and expulsion rates of children with IEPs that falls above the median of thresholds used by all States. Therefore, OSEP could not determine whether the State's methodology is reasonably designed to determine significant discrepancies in the rate of long-term suspensions and expulsions for children with disabilities.</w:t>
      </w:r>
    </w:p>
    <w:p w14:paraId="146BDB91" w14:textId="0A2F7969" w:rsidR="005115D6" w:rsidRPr="00781112" w:rsidRDefault="00697434" w:rsidP="008645AD">
      <w:pPr>
        <w:pStyle w:val="Heading2"/>
      </w:pPr>
      <w:r w:rsidRPr="00781112">
        <w:t>4A - Required Actions</w:t>
      </w:r>
    </w:p>
    <w:p w14:paraId="37BECDFE" w14:textId="2A43AB88" w:rsidR="002D57DA" w:rsidRPr="00781112" w:rsidRDefault="002B7490" w:rsidP="00212954">
      <w:pPr>
        <w:rPr>
          <w:rFonts w:cs="Arial"/>
          <w:color w:val="000000" w:themeColor="text1"/>
          <w:szCs w:val="16"/>
        </w:rPr>
      </w:pPr>
      <w:r w:rsidRPr="00781112">
        <w:rPr>
          <w:rFonts w:cs="Arial"/>
          <w:color w:val="000000" w:themeColor="text1"/>
          <w:szCs w:val="16"/>
        </w:rPr>
        <w:t>In the FFY 2023 SPP/APR, the State must explain how its methodology is reasonably designed to determine if significant discrepancies are occurring in the rate of suspensions and expulsions of greater than 10 days in a school year for children with IEPs, including how the State's threshold for measuring significant discrepancy in the rate of long-term suspensions and expulsions is reasonably designed.</w:t>
      </w:r>
    </w:p>
    <w:p w14:paraId="5E6ED969" w14:textId="77777777" w:rsidR="00600E15" w:rsidRPr="00781112" w:rsidRDefault="00600E15">
      <w:pPr>
        <w:spacing w:before="0" w:after="200" w:line="276" w:lineRule="auto"/>
        <w:rPr>
          <w:rFonts w:eastAsiaTheme="majorEastAsia" w:cs="Arial"/>
          <w:b/>
          <w:bCs/>
          <w:color w:val="000000" w:themeColor="text1"/>
          <w:szCs w:val="16"/>
        </w:rPr>
      </w:pPr>
      <w:r w:rsidRPr="00781112">
        <w:rPr>
          <w:rFonts w:cs="Arial"/>
          <w:color w:val="000000" w:themeColor="text1"/>
          <w:szCs w:val="16"/>
        </w:rPr>
        <w:br w:type="page"/>
      </w:r>
    </w:p>
    <w:p w14:paraId="658544B7" w14:textId="204E8DB3" w:rsidR="00D03701" w:rsidRPr="00781112" w:rsidRDefault="00D03701" w:rsidP="000444E2">
      <w:pPr>
        <w:pStyle w:val="Heading1"/>
        <w:rPr>
          <w:color w:val="000000" w:themeColor="text1"/>
          <w:sz w:val="22"/>
        </w:rPr>
      </w:pPr>
      <w:r w:rsidRPr="00781112">
        <w:rPr>
          <w:color w:val="000000" w:themeColor="text1"/>
          <w:sz w:val="22"/>
        </w:rPr>
        <w:lastRenderedPageBreak/>
        <w:t>Indicator 4B: Suspension/Expulsion</w:t>
      </w:r>
      <w:bookmarkEnd w:id="28"/>
      <w:bookmarkEnd w:id="29"/>
      <w:bookmarkEnd w:id="30"/>
    </w:p>
    <w:p w14:paraId="1BA30D93" w14:textId="77777777" w:rsidR="008637F8" w:rsidRPr="00781112" w:rsidRDefault="008637F8" w:rsidP="00A018D4">
      <w:pPr>
        <w:rPr>
          <w:color w:val="000000" w:themeColor="text1"/>
          <w:szCs w:val="20"/>
        </w:rPr>
      </w:pPr>
      <w:bookmarkStart w:id="31" w:name="_Toc384383338"/>
      <w:bookmarkStart w:id="32" w:name="_Toc392159290"/>
      <w:r w:rsidRPr="00781112">
        <w:rPr>
          <w:b/>
          <w:color w:val="000000" w:themeColor="text1"/>
          <w:sz w:val="20"/>
          <w:szCs w:val="20"/>
        </w:rPr>
        <w:t xml:space="preserve">Instructions and Measurement </w:t>
      </w:r>
    </w:p>
    <w:p w14:paraId="0904D95C" w14:textId="6ABD6544" w:rsidR="00413366" w:rsidRPr="00781112" w:rsidRDefault="00413366" w:rsidP="004369B2">
      <w:pPr>
        <w:rPr>
          <w:color w:val="000000" w:themeColor="text1"/>
        </w:rPr>
      </w:pPr>
      <w:r w:rsidRPr="00781112">
        <w:rPr>
          <w:b/>
          <w:color w:val="000000" w:themeColor="text1"/>
        </w:rPr>
        <w:t>Monitoring Priority:</w:t>
      </w:r>
      <w:r w:rsidRPr="00781112">
        <w:rPr>
          <w:color w:val="000000" w:themeColor="text1"/>
        </w:rPr>
        <w:t xml:space="preserve"> FAPE in the LRE</w:t>
      </w:r>
    </w:p>
    <w:p w14:paraId="7516B53F" w14:textId="25CEE127" w:rsidR="00413366" w:rsidRPr="00781112" w:rsidRDefault="00C56D79" w:rsidP="009A755E">
      <w:pPr>
        <w:rPr>
          <w:rFonts w:cs="Arial"/>
          <w:color w:val="000000" w:themeColor="text1"/>
          <w:szCs w:val="16"/>
        </w:rPr>
      </w:pPr>
      <w:r w:rsidRPr="00781112">
        <w:rPr>
          <w:rFonts w:cs="Arial"/>
          <w:b/>
          <w:color w:val="000000" w:themeColor="text1"/>
          <w:szCs w:val="16"/>
        </w:rPr>
        <w:t>Compliance Indicator:</w:t>
      </w:r>
      <w:r w:rsidR="009A755E" w:rsidRPr="00781112">
        <w:rPr>
          <w:rFonts w:cs="Arial"/>
          <w:color w:val="000000" w:themeColor="text1"/>
          <w:szCs w:val="16"/>
        </w:rPr>
        <w:t xml:space="preserve"> </w:t>
      </w:r>
      <w:r w:rsidR="00413366" w:rsidRPr="00781112">
        <w:rPr>
          <w:rFonts w:cs="Arial"/>
          <w:color w:val="000000" w:themeColor="text1"/>
          <w:szCs w:val="16"/>
        </w:rPr>
        <w:t>Rates of suspension and expulsion:</w:t>
      </w:r>
    </w:p>
    <w:p w14:paraId="3739388D" w14:textId="512C0A32" w:rsidR="00B01978" w:rsidRPr="00781112" w:rsidRDefault="00B01978" w:rsidP="00360DD6">
      <w:pPr>
        <w:ind w:left="360"/>
        <w:rPr>
          <w:rFonts w:cs="Arial"/>
          <w:szCs w:val="16"/>
        </w:rPr>
      </w:pPr>
      <w:r w:rsidRPr="00781112">
        <w:rPr>
          <w:rFonts w:cs="Arial"/>
          <w:color w:val="000000" w:themeColor="text1"/>
          <w:szCs w:val="16"/>
        </w:rPr>
        <w:tab/>
        <w:t xml:space="preserve">A. </w:t>
      </w:r>
      <w:r w:rsidRPr="00741A36">
        <w:rPr>
          <w:rFonts w:cs="Arial"/>
          <w:szCs w:val="16"/>
        </w:rPr>
        <w:t>Percent of local educational</w:t>
      </w:r>
      <w:r w:rsidRPr="00781112">
        <w:rPr>
          <w:rFonts w:cs="Arial"/>
          <w:szCs w:val="16"/>
        </w:rPr>
        <w:t xml:space="preserve"> agencies (LEA) that have a significant discrepancy, as defined by the State, in the rate of suspensions and </w:t>
      </w:r>
      <w:r w:rsidR="002D3270" w:rsidRPr="00781112">
        <w:rPr>
          <w:rFonts w:cs="Arial"/>
          <w:szCs w:val="16"/>
        </w:rPr>
        <w:tab/>
      </w:r>
      <w:r w:rsidRPr="00781112">
        <w:rPr>
          <w:rFonts w:cs="Arial"/>
          <w:szCs w:val="16"/>
        </w:rPr>
        <w:t>expulsions of greater than 10 days in a school year for children with IEPs; and</w:t>
      </w:r>
    </w:p>
    <w:p w14:paraId="021F68CD" w14:textId="4F839DD4" w:rsidR="00413366" w:rsidRPr="00781112" w:rsidRDefault="001D5BAF" w:rsidP="006A01BD">
      <w:pPr>
        <w:ind w:left="720"/>
        <w:rPr>
          <w:rFonts w:cs="Arial"/>
          <w:color w:val="000000" w:themeColor="text1"/>
          <w:szCs w:val="16"/>
        </w:rPr>
      </w:pPr>
      <w:r w:rsidRPr="00781112">
        <w:rPr>
          <w:rFonts w:cs="Arial"/>
          <w:color w:val="000000" w:themeColor="text1"/>
          <w:szCs w:val="16"/>
        </w:rPr>
        <w:t>B. Percent of LEAs that have: (a) a significant discrepancy,</w:t>
      </w:r>
      <w:r w:rsidR="007F1D12" w:rsidRPr="00781112">
        <w:rPr>
          <w:rFonts w:cs="Arial"/>
          <w:szCs w:val="16"/>
        </w:rPr>
        <w:t xml:space="preserve"> as defined by the State, </w:t>
      </w:r>
      <w:r w:rsidRPr="00781112">
        <w:rPr>
          <w:rFonts w:cs="Arial"/>
          <w:color w:val="000000" w:themeColor="text1"/>
          <w:szCs w:val="16"/>
        </w:rPr>
        <w:t>by race or ethnicity</w:t>
      </w:r>
      <w:r w:rsidR="00413366" w:rsidRPr="00781112">
        <w:rPr>
          <w:rFonts w:cs="Arial"/>
          <w:bCs/>
          <w:color w:val="000000" w:themeColor="text1"/>
          <w:szCs w:val="16"/>
          <w:shd w:val="clear" w:color="auto" w:fill="FFFFFF"/>
        </w:rPr>
        <w:t>, in the rate of suspensions and expulsions of greater than 10 days in a school year for children with IEPs; and (b) policies, procedures or practices that contribute to the significant discrepancy</w:t>
      </w:r>
      <w:r w:rsidR="000C0565" w:rsidRPr="00781112">
        <w:rPr>
          <w:rFonts w:cs="Arial"/>
          <w:bCs/>
          <w:color w:val="000000" w:themeColor="text1"/>
          <w:szCs w:val="16"/>
          <w:shd w:val="clear" w:color="auto" w:fill="FFFFFF"/>
        </w:rPr>
        <w:t xml:space="preserve">, </w:t>
      </w:r>
      <w:r w:rsidR="000C0565" w:rsidRPr="00781112">
        <w:rPr>
          <w:rFonts w:cs="Arial"/>
          <w:szCs w:val="16"/>
        </w:rPr>
        <w:t xml:space="preserve">as defined by the State, </w:t>
      </w:r>
      <w:r w:rsidR="00413366" w:rsidRPr="00781112">
        <w:rPr>
          <w:rFonts w:cs="Arial"/>
          <w:bCs/>
          <w:color w:val="000000" w:themeColor="text1"/>
          <w:szCs w:val="16"/>
          <w:shd w:val="clear" w:color="auto" w:fill="FFFFFF"/>
        </w:rPr>
        <w:t>and do not comply with requirements relating to the development and implementation of IEPs, the use of positive behavioral interventions and supports, and procedural safeguards.</w:t>
      </w:r>
    </w:p>
    <w:p w14:paraId="7034F485" w14:textId="41B53DB5" w:rsidR="0011074D" w:rsidRPr="00781112" w:rsidRDefault="0011074D" w:rsidP="0011074D">
      <w:pPr>
        <w:rPr>
          <w:rFonts w:cs="Arial"/>
          <w:color w:val="000000" w:themeColor="text1"/>
          <w:szCs w:val="16"/>
        </w:rPr>
      </w:pPr>
      <w:r w:rsidRPr="00781112">
        <w:rPr>
          <w:rFonts w:cs="Arial"/>
          <w:color w:val="000000" w:themeColor="text1"/>
          <w:szCs w:val="16"/>
        </w:rPr>
        <w:t>(20 U.S.C. 1416(a)(3)(A); 1412(a)(22))</w:t>
      </w:r>
    </w:p>
    <w:p w14:paraId="5F946B13" w14:textId="77777777" w:rsidR="00413366" w:rsidRPr="00781112" w:rsidRDefault="00413366" w:rsidP="004369B2">
      <w:pPr>
        <w:rPr>
          <w:color w:val="000000" w:themeColor="text1"/>
        </w:rPr>
      </w:pPr>
      <w:r w:rsidRPr="00781112">
        <w:rPr>
          <w:b/>
          <w:color w:val="000000" w:themeColor="text1"/>
        </w:rPr>
        <w:t>Data Source</w:t>
      </w:r>
    </w:p>
    <w:p w14:paraId="5BDC9967" w14:textId="77777777" w:rsidR="00413366" w:rsidRPr="00781112" w:rsidRDefault="00413366" w:rsidP="00BB7BC9">
      <w:pPr>
        <w:rPr>
          <w:rFonts w:cs="Arial"/>
          <w:color w:val="000000" w:themeColor="text1"/>
          <w:szCs w:val="16"/>
        </w:rPr>
      </w:pPr>
      <w:r w:rsidRPr="00781112">
        <w:rPr>
          <w:rFonts w:cs="Arial"/>
          <w:color w:val="000000" w:themeColor="text1"/>
          <w:szCs w:val="16"/>
        </w:rPr>
        <w:t xml:space="preserve">State </w:t>
      </w:r>
      <w:r w:rsidRPr="00781112">
        <w:rPr>
          <w:rFonts w:cs="Arial"/>
          <w:color w:val="000000" w:themeColor="text1"/>
          <w:szCs w:val="16"/>
          <w:shd w:val="clear" w:color="auto" w:fill="FFFFFF"/>
        </w:rPr>
        <w:t>discipline data, including State’s analysis of State’s Discipline data collected under IDEA Section 618, where applicable. Discrepancy can be computed by either comparing the rates of suspensions and expulsions for children with IEPs to rates for nondisabled children within the LEA or by comparing the rates of suspensions and expulsions for children with IEPs among LEAs within the State.</w:t>
      </w:r>
    </w:p>
    <w:p w14:paraId="38F5E274" w14:textId="77777777" w:rsidR="00413366" w:rsidRPr="00781112" w:rsidRDefault="00413366" w:rsidP="004369B2">
      <w:pPr>
        <w:rPr>
          <w:color w:val="000000" w:themeColor="text1"/>
        </w:rPr>
      </w:pPr>
      <w:r w:rsidRPr="00781112">
        <w:rPr>
          <w:b/>
          <w:color w:val="000000" w:themeColor="text1"/>
        </w:rPr>
        <w:t>Measurement</w:t>
      </w:r>
    </w:p>
    <w:p w14:paraId="509BF292" w14:textId="47666D05" w:rsidR="00413366" w:rsidRPr="00781112" w:rsidRDefault="00413366" w:rsidP="00286BDF">
      <w:pPr>
        <w:rPr>
          <w:rFonts w:cs="Arial"/>
          <w:color w:val="000000" w:themeColor="text1"/>
          <w:szCs w:val="16"/>
        </w:rPr>
      </w:pPr>
      <w:r w:rsidRPr="00781112">
        <w:rPr>
          <w:rFonts w:cs="Arial"/>
          <w:color w:val="000000" w:themeColor="text1"/>
          <w:szCs w:val="16"/>
        </w:rPr>
        <w:t xml:space="preserve">Percent </w:t>
      </w:r>
      <w:r w:rsidRPr="00781112">
        <w:rPr>
          <w:rFonts w:cs="Arial"/>
          <w:color w:val="000000" w:themeColor="text1"/>
          <w:szCs w:val="16"/>
          <w:shd w:val="clear" w:color="auto" w:fill="FFFFFF"/>
        </w:rPr>
        <w:t xml:space="preserve">= </w:t>
      </w:r>
      <w:r w:rsidR="00E726E2" w:rsidRPr="00781112">
        <w:rPr>
          <w:rFonts w:cs="Arial"/>
          <w:color w:val="000000" w:themeColor="text1"/>
          <w:szCs w:val="16"/>
          <w:shd w:val="clear" w:color="auto" w:fill="FFFFFF"/>
        </w:rPr>
        <w:t xml:space="preserve">[(# </w:t>
      </w:r>
      <w:r w:rsidRPr="00781112">
        <w:rPr>
          <w:rFonts w:cs="Arial"/>
          <w:color w:val="000000" w:themeColor="text1"/>
          <w:szCs w:val="16"/>
          <w:shd w:val="clear" w:color="auto" w:fill="FFFFFF"/>
        </w:rPr>
        <w:t xml:space="preserve">of </w:t>
      </w:r>
      <w:r w:rsidR="000C0565" w:rsidRPr="00781112">
        <w:rPr>
          <w:rFonts w:cs="Arial"/>
          <w:color w:val="000000" w:themeColor="text1"/>
          <w:szCs w:val="16"/>
          <w:shd w:val="clear" w:color="auto" w:fill="FFFFFF"/>
        </w:rPr>
        <w:t xml:space="preserve">LEAs </w:t>
      </w:r>
      <w:r w:rsidRPr="00781112">
        <w:rPr>
          <w:rFonts w:cs="Arial"/>
          <w:color w:val="000000" w:themeColor="text1"/>
          <w:szCs w:val="16"/>
          <w:shd w:val="clear" w:color="auto" w:fill="FFFFFF"/>
        </w:rPr>
        <w:t xml:space="preserve">that meet the State-established n </w:t>
      </w:r>
      <w:r w:rsidR="000C0565" w:rsidRPr="00781112">
        <w:rPr>
          <w:rFonts w:cs="Arial"/>
          <w:color w:val="000000" w:themeColor="text1"/>
          <w:szCs w:val="16"/>
          <w:shd w:val="clear" w:color="auto" w:fill="FFFFFF"/>
        </w:rPr>
        <w:t xml:space="preserve">and/or cell </w:t>
      </w:r>
      <w:r w:rsidRPr="00781112">
        <w:rPr>
          <w:rFonts w:cs="Arial"/>
          <w:color w:val="000000" w:themeColor="text1"/>
          <w:szCs w:val="16"/>
          <w:shd w:val="clear" w:color="auto" w:fill="FFFFFF"/>
        </w:rPr>
        <w:t xml:space="preserve">size (if applicable) for one or more racial/ethnic groups that have: (a) a significant discrepancy, </w:t>
      </w:r>
      <w:r w:rsidR="000C0565" w:rsidRPr="00781112">
        <w:rPr>
          <w:rFonts w:cs="Arial"/>
          <w:szCs w:val="16"/>
        </w:rPr>
        <w:t xml:space="preserve">as defined by the State, </w:t>
      </w:r>
      <w:r w:rsidRPr="00781112">
        <w:rPr>
          <w:rFonts w:cs="Arial"/>
          <w:color w:val="000000" w:themeColor="text1"/>
          <w:szCs w:val="16"/>
          <w:shd w:val="clear" w:color="auto" w:fill="FFFFFF"/>
        </w:rPr>
        <w:t xml:space="preserve">by race or ethnicity, in the rates of suspensions and expulsions of </w:t>
      </w:r>
      <w:r w:rsidR="00D124AA" w:rsidRPr="00781112">
        <w:rPr>
          <w:rFonts w:cs="Arial"/>
          <w:color w:val="000000" w:themeColor="text1"/>
          <w:szCs w:val="16"/>
          <w:shd w:val="clear" w:color="auto" w:fill="FFFFFF"/>
        </w:rPr>
        <w:t xml:space="preserve">more </w:t>
      </w:r>
      <w:r w:rsidRPr="00781112">
        <w:rPr>
          <w:rFonts w:cs="Arial"/>
          <w:color w:val="000000" w:themeColor="text1"/>
          <w:szCs w:val="16"/>
          <w:shd w:val="clear" w:color="auto" w:fill="FFFFFF"/>
        </w:rPr>
        <w:t xml:space="preserve">than 10 days </w:t>
      </w:r>
      <w:r w:rsidR="00D124AA" w:rsidRPr="00781112">
        <w:rPr>
          <w:rFonts w:cs="Arial"/>
          <w:color w:val="000000" w:themeColor="text1"/>
          <w:szCs w:val="16"/>
          <w:shd w:val="clear" w:color="auto" w:fill="FFFFFF"/>
        </w:rPr>
        <w:t xml:space="preserve">during the </w:t>
      </w:r>
      <w:r w:rsidRPr="00781112">
        <w:rPr>
          <w:rFonts w:cs="Arial"/>
          <w:color w:val="000000" w:themeColor="text1"/>
          <w:szCs w:val="16"/>
          <w:shd w:val="clear" w:color="auto" w:fill="FFFFFF"/>
        </w:rPr>
        <w:t>school year of children with IEPs; and (b) policies, procedures or practices that contribute to the significant discrepancy</w:t>
      </w:r>
      <w:r w:rsidR="0024349E" w:rsidRPr="00781112">
        <w:rPr>
          <w:rFonts w:cs="Arial"/>
          <w:color w:val="000000" w:themeColor="text1"/>
          <w:szCs w:val="16"/>
          <w:shd w:val="clear" w:color="auto" w:fill="FFFFFF"/>
        </w:rPr>
        <w:t xml:space="preserve">, as defined by the State, </w:t>
      </w:r>
      <w:r w:rsidRPr="00781112">
        <w:rPr>
          <w:rFonts w:cs="Arial"/>
          <w:color w:val="000000" w:themeColor="text1"/>
          <w:szCs w:val="16"/>
          <w:shd w:val="clear" w:color="auto" w:fill="FFFFFF"/>
        </w:rPr>
        <w:t xml:space="preserve">and do not comply with requirements relating to the development and implementation of IEPs, the use of positive behavioral interventions and supports, and procedural safeguards) divided by the (# of </w:t>
      </w:r>
      <w:r w:rsidR="003929E1" w:rsidRPr="00781112">
        <w:rPr>
          <w:rFonts w:cs="Arial"/>
          <w:color w:val="000000" w:themeColor="text1"/>
          <w:szCs w:val="16"/>
          <w:shd w:val="clear" w:color="auto" w:fill="FFFFFF"/>
        </w:rPr>
        <w:t xml:space="preserve">LEAs </w:t>
      </w:r>
      <w:r w:rsidRPr="00781112">
        <w:rPr>
          <w:rFonts w:cs="Arial"/>
          <w:color w:val="000000" w:themeColor="text1"/>
          <w:szCs w:val="16"/>
          <w:shd w:val="clear" w:color="auto" w:fill="FFFFFF"/>
        </w:rPr>
        <w:t xml:space="preserve">in the State that meet the State-established n </w:t>
      </w:r>
      <w:r w:rsidR="003929E1" w:rsidRPr="00781112">
        <w:rPr>
          <w:rFonts w:cs="Arial"/>
          <w:color w:val="000000" w:themeColor="text1"/>
          <w:szCs w:val="16"/>
          <w:shd w:val="clear" w:color="auto" w:fill="FFFFFF"/>
        </w:rPr>
        <w:t xml:space="preserve">and/or cell </w:t>
      </w:r>
      <w:r w:rsidRPr="00781112">
        <w:rPr>
          <w:rFonts w:cs="Arial"/>
          <w:color w:val="000000" w:themeColor="text1"/>
          <w:szCs w:val="16"/>
          <w:shd w:val="clear" w:color="auto" w:fill="FFFFFF"/>
        </w:rPr>
        <w:t>size (if applicable) for one or more racial/ethnic groups</w:t>
      </w:r>
      <w:r w:rsidR="00E726E2" w:rsidRPr="00781112">
        <w:rPr>
          <w:rFonts w:cs="Arial"/>
          <w:color w:val="000000" w:themeColor="text1"/>
          <w:szCs w:val="16"/>
          <w:shd w:val="clear" w:color="auto" w:fill="FFFFFF"/>
        </w:rPr>
        <w:t xml:space="preserve">)] </w:t>
      </w:r>
      <w:r w:rsidRPr="00781112">
        <w:rPr>
          <w:rFonts w:cs="Arial"/>
          <w:color w:val="000000" w:themeColor="text1"/>
          <w:szCs w:val="16"/>
          <w:shd w:val="clear" w:color="auto" w:fill="FFFFFF"/>
        </w:rPr>
        <w:t>times 100.</w:t>
      </w:r>
    </w:p>
    <w:p w14:paraId="09B5AE3F" w14:textId="77777777" w:rsidR="00413366" w:rsidRPr="00781112" w:rsidRDefault="00413366" w:rsidP="00286BDF">
      <w:pPr>
        <w:rPr>
          <w:rFonts w:cs="Arial"/>
          <w:color w:val="000000" w:themeColor="text1"/>
          <w:szCs w:val="16"/>
        </w:rPr>
      </w:pPr>
      <w:r w:rsidRPr="00781112">
        <w:rPr>
          <w:rFonts w:cs="Arial"/>
          <w:color w:val="000000" w:themeColor="text1"/>
          <w:szCs w:val="16"/>
          <w:shd w:val="clear" w:color="auto" w:fill="FFFFFF"/>
        </w:rPr>
        <w:t>Include State’s definition of “significant discrepancy.”</w:t>
      </w:r>
    </w:p>
    <w:p w14:paraId="19EA6D3F" w14:textId="77777777" w:rsidR="00413366" w:rsidRPr="00781112" w:rsidRDefault="00413366" w:rsidP="004369B2">
      <w:pPr>
        <w:rPr>
          <w:color w:val="000000" w:themeColor="text1"/>
        </w:rPr>
      </w:pPr>
      <w:r w:rsidRPr="00781112">
        <w:rPr>
          <w:b/>
          <w:color w:val="000000" w:themeColor="text1"/>
        </w:rPr>
        <w:t>Instructions</w:t>
      </w:r>
    </w:p>
    <w:p w14:paraId="516DD2DE" w14:textId="74244F0A" w:rsidR="00413366" w:rsidRPr="00781112" w:rsidRDefault="00413366" w:rsidP="00BB7BC9">
      <w:pPr>
        <w:rPr>
          <w:rFonts w:cs="Arial"/>
          <w:color w:val="000000" w:themeColor="text1"/>
          <w:szCs w:val="16"/>
        </w:rPr>
      </w:pPr>
      <w:r w:rsidRPr="00781112">
        <w:rPr>
          <w:rFonts w:cs="Arial"/>
          <w:color w:val="000000" w:themeColor="text1"/>
          <w:szCs w:val="16"/>
        </w:rPr>
        <w:t xml:space="preserve">If the State has established a minimum n and/or cell size requirement, the State may only include, in both the numerator and the denominator, LEAs that met that State-established n and/or cell size. If the State used a minimum n and/or cell size requirement, report the number of LEAs totally excluded from the calculation </w:t>
      </w:r>
      <w:proofErr w:type="gramStart"/>
      <w:r w:rsidRPr="00781112">
        <w:rPr>
          <w:rFonts w:cs="Arial"/>
          <w:color w:val="000000" w:themeColor="text1"/>
          <w:szCs w:val="16"/>
        </w:rPr>
        <w:t>as a result of</w:t>
      </w:r>
      <w:proofErr w:type="gramEnd"/>
      <w:r w:rsidRPr="00781112">
        <w:rPr>
          <w:rFonts w:cs="Arial"/>
          <w:color w:val="000000" w:themeColor="text1"/>
          <w:szCs w:val="16"/>
        </w:rPr>
        <w:t xml:space="preserve"> this requirement.</w:t>
      </w:r>
    </w:p>
    <w:p w14:paraId="7D3F6556" w14:textId="1FBE95AF" w:rsidR="00413366" w:rsidRPr="00781112" w:rsidRDefault="0016730D" w:rsidP="00BB7BC9">
      <w:pPr>
        <w:rPr>
          <w:rFonts w:cs="Arial"/>
          <w:color w:val="000000" w:themeColor="text1"/>
          <w:szCs w:val="16"/>
        </w:rPr>
      </w:pPr>
      <w:r w:rsidRPr="00781112">
        <w:rPr>
          <w:rFonts w:cs="Arial"/>
          <w:color w:val="000000" w:themeColor="text1"/>
          <w:szCs w:val="16"/>
        </w:rPr>
        <w:t xml:space="preserve">Describe the results of the State’s examination of the data for the year before the reporting year (e.g., for the FFY 2022 SPP/APR, use data from 2021-2022), including data disaggregated by race and ethnicity to determine if significant discrepancies, as defined by the State, are occurring in the rates of long-term suspensions and expulsions </w:t>
      </w:r>
      <w:r w:rsidR="00B315F0" w:rsidRPr="00781112">
        <w:rPr>
          <w:rFonts w:cs="Arial"/>
          <w:szCs w:val="16"/>
        </w:rPr>
        <w:t xml:space="preserve">(more than 10 days during the school year) </w:t>
      </w:r>
      <w:r w:rsidRPr="00781112">
        <w:rPr>
          <w:rFonts w:cs="Arial"/>
          <w:color w:val="000000" w:themeColor="text1"/>
          <w:szCs w:val="16"/>
        </w:rPr>
        <w:t>of children with IEPs, as required at 20 U.S.C. 1412(a)(22). The State’s examination must include one of the following comparisons</w:t>
      </w:r>
      <w:r w:rsidR="007D116C" w:rsidRPr="00781112">
        <w:rPr>
          <w:rFonts w:cs="Arial"/>
          <w:color w:val="000000" w:themeColor="text1"/>
          <w:szCs w:val="16"/>
        </w:rPr>
        <w:t>:</w:t>
      </w:r>
    </w:p>
    <w:p w14:paraId="041F9A85" w14:textId="0566F4DA" w:rsidR="00413366" w:rsidRPr="00781112" w:rsidRDefault="00515E61" w:rsidP="006A01BD">
      <w:pPr>
        <w:ind w:firstLine="720"/>
        <w:rPr>
          <w:rFonts w:cs="Arial"/>
          <w:color w:val="000000" w:themeColor="text1"/>
          <w:szCs w:val="16"/>
        </w:rPr>
      </w:pPr>
      <w:r w:rsidRPr="00781112">
        <w:rPr>
          <w:rFonts w:cs="Arial"/>
          <w:color w:val="000000" w:themeColor="text1"/>
          <w:szCs w:val="16"/>
        </w:rPr>
        <w:t>--The rates of suspensions and expulsions for children with IEPs among LEAs within the State; or</w:t>
      </w:r>
    </w:p>
    <w:p w14:paraId="4B77809C" w14:textId="3DE3659D" w:rsidR="00413366" w:rsidRPr="00781112" w:rsidRDefault="00515E61" w:rsidP="00BA3DBE">
      <w:pPr>
        <w:ind w:left="720"/>
        <w:rPr>
          <w:rFonts w:cs="Arial"/>
          <w:color w:val="000000" w:themeColor="text1"/>
          <w:szCs w:val="16"/>
        </w:rPr>
      </w:pPr>
      <w:r w:rsidRPr="00781112">
        <w:rPr>
          <w:rFonts w:cs="Arial"/>
          <w:color w:val="000000" w:themeColor="text1"/>
          <w:szCs w:val="16"/>
        </w:rPr>
        <w:t xml:space="preserve">--The rates of suspensions and expulsions for children with IEPs to </w:t>
      </w:r>
      <w:bookmarkStart w:id="33" w:name="_Hlk150863741"/>
      <w:r w:rsidR="00FC69E3">
        <w:rPr>
          <w:rFonts w:cs="Arial"/>
          <w:color w:val="000000" w:themeColor="text1"/>
          <w:szCs w:val="16"/>
        </w:rPr>
        <w:t xml:space="preserve">the rates of suspensions and expulsions for </w:t>
      </w:r>
      <w:bookmarkEnd w:id="33"/>
      <w:r w:rsidRPr="00781112">
        <w:rPr>
          <w:rFonts w:cs="Arial"/>
          <w:color w:val="000000" w:themeColor="text1"/>
          <w:szCs w:val="16"/>
        </w:rPr>
        <w:t>nondisabled children within the LEAs</w:t>
      </w:r>
    </w:p>
    <w:p w14:paraId="428DC587" w14:textId="18ECA0E1" w:rsidR="00413366" w:rsidRPr="00781112" w:rsidRDefault="00413366" w:rsidP="00BB7BC9">
      <w:pPr>
        <w:rPr>
          <w:rFonts w:cs="Arial"/>
          <w:color w:val="000000" w:themeColor="text1"/>
          <w:szCs w:val="16"/>
        </w:rPr>
      </w:pPr>
      <w:r w:rsidRPr="00781112">
        <w:rPr>
          <w:rFonts w:cs="Arial"/>
          <w:color w:val="000000" w:themeColor="text1"/>
          <w:szCs w:val="16"/>
        </w:rPr>
        <w:t>In the description, specify which method the State used to determine possible discrepancies and explain what constitutes those discrepancies.</w:t>
      </w:r>
    </w:p>
    <w:p w14:paraId="2537B541" w14:textId="230E2208" w:rsidR="00474DB4" w:rsidRPr="00781112" w:rsidRDefault="00474DB4" w:rsidP="00474DB4">
      <w:pPr>
        <w:rPr>
          <w:rFonts w:cs="Arial"/>
          <w:szCs w:val="16"/>
        </w:rPr>
      </w:pPr>
      <w:r w:rsidRPr="00781112">
        <w:rPr>
          <w:rFonts w:cs="Arial"/>
          <w:szCs w:val="16"/>
        </w:rPr>
        <w:t xml:space="preserve">Because the measurement table requires that the data examined for this indicator are lag year data, States should examine the </w:t>
      </w:r>
      <w:r w:rsidR="00D5021D">
        <w:rPr>
          <w:rFonts w:cs="Arial"/>
          <w:szCs w:val="16"/>
        </w:rPr>
        <w:t xml:space="preserve">section </w:t>
      </w:r>
      <w:r w:rsidRPr="00781112">
        <w:rPr>
          <w:rFonts w:cs="Arial"/>
          <w:szCs w:val="16"/>
        </w:rPr>
        <w:t xml:space="preserve">618 data that was submitted by LEAs that were in operation during the school year before the reporting year. For example, if a State has 100 LEAs operating in the 2021-2022 school year, those 100 LEAs would have reported </w:t>
      </w:r>
      <w:r w:rsidR="00D5021D">
        <w:rPr>
          <w:rFonts w:cs="Arial"/>
          <w:szCs w:val="16"/>
        </w:rPr>
        <w:t xml:space="preserve">section </w:t>
      </w:r>
      <w:r w:rsidRPr="00781112">
        <w:rPr>
          <w:rFonts w:cs="Arial"/>
          <w:szCs w:val="16"/>
        </w:rPr>
        <w:t xml:space="preserve">618 data in 2021-2022 on the number of children suspended/expelled. If the State then opens 15 new LEAs in 2022-2023, suspension/expulsion data from those 15 new LEAs would not be in the 2021-2022 </w:t>
      </w:r>
      <w:r w:rsidR="00D5021D">
        <w:rPr>
          <w:rFonts w:cs="Arial"/>
          <w:szCs w:val="16"/>
        </w:rPr>
        <w:t xml:space="preserve">section </w:t>
      </w:r>
      <w:r w:rsidRPr="00781112">
        <w:rPr>
          <w:rFonts w:cs="Arial"/>
          <w:szCs w:val="16"/>
        </w:rPr>
        <w:t xml:space="preserve">618 data set, and therefore, those 15 new LEAs should not be included in the denominator of the calculation. States must use the number of LEAs from the year before the reporting year in </w:t>
      </w:r>
      <w:proofErr w:type="gramStart"/>
      <w:r w:rsidRPr="00781112">
        <w:rPr>
          <w:rFonts w:cs="Arial"/>
          <w:szCs w:val="16"/>
        </w:rPr>
        <w:t>its</w:t>
      </w:r>
      <w:proofErr w:type="gramEnd"/>
      <w:r w:rsidRPr="00781112">
        <w:rPr>
          <w:rFonts w:cs="Arial"/>
          <w:szCs w:val="16"/>
        </w:rPr>
        <w:t xml:space="preserve"> calculation for this indicator. For the FFY 2022 SPP/APR submission, States must use the number of LEAs reported in 2021-2022 (which can be found in the FFY 2021 SPP/APR introduction).</w:t>
      </w:r>
    </w:p>
    <w:p w14:paraId="42FA82A8" w14:textId="6C4178AE" w:rsidR="00413366" w:rsidRPr="00781112" w:rsidRDefault="00413366" w:rsidP="00BB7BC9">
      <w:pPr>
        <w:rPr>
          <w:rFonts w:cs="Arial"/>
          <w:color w:val="000000" w:themeColor="text1"/>
          <w:szCs w:val="16"/>
        </w:rPr>
      </w:pPr>
      <w:r w:rsidRPr="00781112">
        <w:rPr>
          <w:rFonts w:cs="Arial"/>
          <w:color w:val="000000" w:themeColor="text1"/>
          <w:szCs w:val="16"/>
        </w:rPr>
        <w:t>Indicator 4B: Provide the following: (a) the number of LEAs that met the State-established n and/or cell size (if applicable) for one or more racial/ethnic groups that have a significant discrepancy, as defined by the State, by race or ethnicity, in the rates of long-term suspensions and expulsions (more than 10 days during the school year) for children with IEPs; and (b) the number of those LEAs in which policies, procedures or practices contribute to the significant discrepancy</w:t>
      </w:r>
      <w:r w:rsidR="00D5021D">
        <w:rPr>
          <w:rFonts w:cs="Arial"/>
          <w:color w:val="000000" w:themeColor="text1"/>
          <w:szCs w:val="16"/>
        </w:rPr>
        <w:t>, as defined by the State,</w:t>
      </w:r>
      <w:r w:rsidRPr="00781112">
        <w:rPr>
          <w:rFonts w:cs="Arial"/>
          <w:color w:val="000000" w:themeColor="text1"/>
          <w:szCs w:val="16"/>
        </w:rPr>
        <w:t xml:space="preserve"> and do not comply with requirements relating to the development and implementation of IEPs, the use of positive behavioral interventions and supports, and procedural safeguards.</w:t>
      </w:r>
    </w:p>
    <w:p w14:paraId="1F7345F8" w14:textId="6143E9B9" w:rsidR="00413366" w:rsidRPr="00781112" w:rsidRDefault="00413366" w:rsidP="00BB7BC9">
      <w:pPr>
        <w:rPr>
          <w:rFonts w:cs="Arial"/>
          <w:color w:val="000000" w:themeColor="text1"/>
          <w:szCs w:val="16"/>
        </w:rPr>
      </w:pPr>
      <w:r w:rsidRPr="00781112">
        <w:rPr>
          <w:rFonts w:cs="Arial"/>
          <w:color w:val="000000" w:themeColor="text1"/>
          <w:szCs w:val="16"/>
        </w:rPr>
        <w:t xml:space="preserve">Provide detailed information about the timely correction of </w:t>
      </w:r>
      <w:bookmarkStart w:id="34" w:name="_Hlk150863834"/>
      <w:r w:rsidR="00D5021D">
        <w:rPr>
          <w:rFonts w:cs="Arial"/>
          <w:color w:val="000000" w:themeColor="text1"/>
          <w:szCs w:val="16"/>
        </w:rPr>
        <w:t xml:space="preserve">child-specific and regulatory/systemic </w:t>
      </w:r>
      <w:bookmarkEnd w:id="34"/>
      <w:r w:rsidRPr="00781112">
        <w:rPr>
          <w:rFonts w:cs="Arial"/>
          <w:color w:val="000000" w:themeColor="text1"/>
          <w:szCs w:val="16"/>
        </w:rPr>
        <w:t xml:space="preserve">noncompliance as noted in OSEP’s response for the previous SPP/APR. If discrepancies occurred and the LEA with discrepancies had policies, procedures or practices that contributed to the significant discrepancy, </w:t>
      </w:r>
      <w:r w:rsidR="00844FD2" w:rsidRPr="00781112">
        <w:rPr>
          <w:rFonts w:cs="Arial"/>
          <w:szCs w:val="16"/>
        </w:rPr>
        <w:t>as defined by the State,</w:t>
      </w:r>
      <w:r w:rsidR="005440A4" w:rsidRPr="00781112">
        <w:rPr>
          <w:rFonts w:cs="Arial"/>
          <w:szCs w:val="16"/>
        </w:rPr>
        <w:t xml:space="preserve"> </w:t>
      </w:r>
      <w:r w:rsidRPr="00781112">
        <w:rPr>
          <w:rFonts w:cs="Arial"/>
          <w:color w:val="000000" w:themeColor="text1"/>
          <w:szCs w:val="16"/>
        </w:rPr>
        <w:t>and that do not comply with requirements relating to the development and implementation of IEPs, the use of positive behavioral interventions and supports, and procedural safeguards, describe how the State ensured that such policies, procedures, and practices were revised to comply with applicable requirements consistent with OSEP</w:t>
      </w:r>
      <w:r w:rsidR="004D1797">
        <w:rPr>
          <w:rFonts w:cs="Arial"/>
          <w:color w:val="000000" w:themeColor="text1"/>
          <w:szCs w:val="16"/>
        </w:rPr>
        <w:t xml:space="preserve"> </w:t>
      </w:r>
      <w:r w:rsidR="004D1797" w:rsidRPr="00BA3DBE">
        <w:rPr>
          <w:rFonts w:cs="Arial"/>
          <w:bCs/>
          <w:color w:val="000000" w:themeColor="text1"/>
          <w:szCs w:val="16"/>
        </w:rPr>
        <w:t>QA 23-01, dated July 24, 2023</w:t>
      </w:r>
      <w:r w:rsidRPr="00781112">
        <w:rPr>
          <w:rFonts w:cs="Arial"/>
          <w:color w:val="000000" w:themeColor="text1"/>
          <w:szCs w:val="16"/>
        </w:rPr>
        <w:t>.</w:t>
      </w:r>
    </w:p>
    <w:p w14:paraId="244FF3E4" w14:textId="056A3966" w:rsidR="00413366" w:rsidRPr="00781112" w:rsidRDefault="00413366" w:rsidP="00BB7BC9">
      <w:pPr>
        <w:rPr>
          <w:rFonts w:cs="Arial"/>
          <w:color w:val="000000" w:themeColor="text1"/>
          <w:szCs w:val="16"/>
        </w:rPr>
      </w:pPr>
      <w:r w:rsidRPr="00781112">
        <w:rPr>
          <w:rFonts w:cs="Arial"/>
          <w:color w:val="000000" w:themeColor="text1"/>
          <w:szCs w:val="16"/>
        </w:rPr>
        <w:t>If the State did not ensure timely correction of the previous noncompliance, provide information on the extent to which noncompliance was subsequently corrected (more than one year after identification). In addition, provide information regarding the nature of any continuing noncompliance, improvement activities completed (e.g., review of policies and procedures, technical assistance, training) and any enforcement actions that were taken.</w:t>
      </w:r>
    </w:p>
    <w:p w14:paraId="2A4C3F88" w14:textId="50BFAADB" w:rsidR="00413366" w:rsidRPr="00781112" w:rsidRDefault="0016730D" w:rsidP="00BB7BC9">
      <w:pPr>
        <w:rPr>
          <w:rFonts w:cs="Arial"/>
          <w:color w:val="000000" w:themeColor="text1"/>
          <w:szCs w:val="16"/>
        </w:rPr>
      </w:pPr>
      <w:r w:rsidRPr="00781112">
        <w:rPr>
          <w:rFonts w:cs="Arial"/>
          <w:color w:val="000000" w:themeColor="text1"/>
          <w:szCs w:val="16"/>
        </w:rPr>
        <w:t>If the State reported less than 100% compliance for the previous reporting period (e.g., for the FFY 2022 SPP/APR, the data for FFY 2021), and the State did not identify any findings of noncompliance, provide an explanation of why the State did not identify any findings of noncompliance.</w:t>
      </w:r>
    </w:p>
    <w:p w14:paraId="4A2E05BE" w14:textId="77777777" w:rsidR="00413366" w:rsidRPr="00781112" w:rsidRDefault="00413366" w:rsidP="00BB7BC9">
      <w:pPr>
        <w:rPr>
          <w:rFonts w:cs="Arial"/>
          <w:color w:val="000000" w:themeColor="text1"/>
          <w:szCs w:val="16"/>
        </w:rPr>
      </w:pPr>
      <w:r w:rsidRPr="00781112">
        <w:rPr>
          <w:rFonts w:cs="Arial"/>
          <w:color w:val="000000" w:themeColor="text1"/>
          <w:szCs w:val="16"/>
        </w:rPr>
        <w:t>Targets must be 0% for 4B.</w:t>
      </w:r>
    </w:p>
    <w:p w14:paraId="1D15A8F4" w14:textId="6546AA23" w:rsidR="00D90B7C" w:rsidRPr="00781112" w:rsidRDefault="00D11730" w:rsidP="008645AD">
      <w:pPr>
        <w:pStyle w:val="Heading2"/>
      </w:pPr>
      <w:r w:rsidRPr="00781112">
        <w:t>4B</w:t>
      </w:r>
      <w:r w:rsidR="00E90DE9" w:rsidRPr="00781112">
        <w:t xml:space="preserve"> </w:t>
      </w:r>
      <w:r w:rsidRPr="00781112">
        <w:t xml:space="preserve">- </w:t>
      </w:r>
      <w:r w:rsidR="00D90B7C" w:rsidRPr="00781112">
        <w:t>Indicator Data</w:t>
      </w:r>
    </w:p>
    <w:p w14:paraId="435C0FC5" w14:textId="77777777" w:rsidR="0091098C" w:rsidRPr="00781112" w:rsidRDefault="0091098C" w:rsidP="004369B2">
      <w:pPr>
        <w:rPr>
          <w:color w:val="000000" w:themeColor="text1"/>
        </w:rPr>
      </w:pPr>
    </w:p>
    <w:p w14:paraId="113E64CF" w14:textId="7EACB9AD" w:rsidR="00CA0009" w:rsidRPr="00781112" w:rsidRDefault="0091098C" w:rsidP="004369B2">
      <w:pPr>
        <w:rPr>
          <w:color w:val="000000" w:themeColor="text1"/>
        </w:rPr>
      </w:pPr>
      <w:r w:rsidRPr="00781112">
        <w:rPr>
          <w:b/>
          <w:color w:val="000000" w:themeColor="text1"/>
        </w:rPr>
        <w:t>Not Applicable</w:t>
      </w:r>
    </w:p>
    <w:p w14:paraId="01A6DC15" w14:textId="244F6F21" w:rsidR="00F9524E" w:rsidRPr="00781112" w:rsidRDefault="00C144E3" w:rsidP="004369B2">
      <w:pPr>
        <w:rPr>
          <w:b/>
          <w:color w:val="000000" w:themeColor="text1"/>
        </w:rPr>
      </w:pPr>
      <w:r w:rsidRPr="00781112">
        <w:rPr>
          <w:b/>
          <w:color w:val="000000" w:themeColor="text1"/>
        </w:rPr>
        <w:t>Select yes if this indicator is not applicable.</w:t>
      </w:r>
    </w:p>
    <w:p w14:paraId="53F0BC7A" w14:textId="32C15B12" w:rsidR="00F85593" w:rsidRPr="00781112" w:rsidRDefault="00F85593" w:rsidP="004369B2">
      <w:pPr>
        <w:rPr>
          <w:rFonts w:cs="Arial"/>
          <w:color w:val="000000" w:themeColor="text1"/>
          <w:szCs w:val="16"/>
        </w:rPr>
      </w:pPr>
      <w:r w:rsidRPr="00781112">
        <w:rPr>
          <w:rFonts w:cs="Arial"/>
          <w:color w:val="000000" w:themeColor="text1"/>
          <w:szCs w:val="16"/>
        </w:rPr>
        <w:t>NO</w:t>
      </w:r>
    </w:p>
    <w:p w14:paraId="2A73B0E0" w14:textId="77777777" w:rsidR="00CF0A73" w:rsidRPr="00781112" w:rsidRDefault="00CF0A73" w:rsidP="004369B2">
      <w:pPr>
        <w:rPr>
          <w:color w:val="000000" w:themeColor="text1"/>
        </w:rPr>
      </w:pPr>
    </w:p>
    <w:p w14:paraId="069D75E9" w14:textId="5200D253" w:rsidR="00BB7BC9" w:rsidRPr="00781112" w:rsidRDefault="00BB7BC9" w:rsidP="004369B2">
      <w:pPr>
        <w:rPr>
          <w:b/>
          <w:color w:val="000000" w:themeColor="text1"/>
        </w:rPr>
      </w:pPr>
      <w:r w:rsidRPr="00781112">
        <w:rPr>
          <w:b/>
          <w:color w:val="000000" w:themeColor="text1"/>
        </w:rPr>
        <w:t>Historical Data</w:t>
      </w:r>
    </w:p>
    <w:tbl>
      <w:tblPr>
        <w:tblStyle w:val="TableGrid"/>
        <w:tblW w:w="0" w:type="auto"/>
        <w:tblLook w:val="04A0" w:firstRow="1" w:lastRow="0" w:firstColumn="1" w:lastColumn="0" w:noHBand="0" w:noVBand="1"/>
        <w:tblCaption w:val="B04BBASELINEDATA"/>
      </w:tblPr>
      <w:tblGrid>
        <w:gridCol w:w="2562"/>
        <w:gridCol w:w="2563"/>
      </w:tblGrid>
      <w:tr w:rsidR="001F64DB" w:rsidRPr="00781112" w14:paraId="79576181" w14:textId="77777777" w:rsidTr="00123D76">
        <w:trPr>
          <w:trHeight w:val="311"/>
          <w:tblHeader/>
        </w:trPr>
        <w:tc>
          <w:tcPr>
            <w:tcW w:w="2562" w:type="dxa"/>
          </w:tcPr>
          <w:p w14:paraId="3F975A24" w14:textId="77777777" w:rsidR="001F64DB" w:rsidRPr="00781112" w:rsidRDefault="001F64DB" w:rsidP="00123D76">
            <w:pPr>
              <w:jc w:val="center"/>
              <w:rPr>
                <w:b/>
                <w:color w:val="000000" w:themeColor="text1"/>
              </w:rPr>
            </w:pPr>
            <w:r w:rsidRPr="00781112">
              <w:rPr>
                <w:rFonts w:cs="Arial"/>
                <w:b/>
                <w:color w:val="000000" w:themeColor="text1"/>
                <w:szCs w:val="16"/>
              </w:rPr>
              <w:lastRenderedPageBreak/>
              <w:t>Baseline Year</w:t>
            </w:r>
          </w:p>
        </w:tc>
        <w:tc>
          <w:tcPr>
            <w:tcW w:w="2563" w:type="dxa"/>
          </w:tcPr>
          <w:p w14:paraId="2C69FE8E" w14:textId="77777777" w:rsidR="001F64DB" w:rsidRPr="00781112" w:rsidRDefault="001F64DB" w:rsidP="00123D76">
            <w:pPr>
              <w:jc w:val="center"/>
              <w:rPr>
                <w:b/>
                <w:color w:val="000000" w:themeColor="text1"/>
              </w:rPr>
            </w:pPr>
            <w:r w:rsidRPr="00781112">
              <w:rPr>
                <w:b/>
                <w:color w:val="000000" w:themeColor="text1"/>
              </w:rPr>
              <w:t>Baseline Data</w:t>
            </w:r>
          </w:p>
        </w:tc>
      </w:tr>
      <w:tr w:rsidR="001F64DB" w:rsidRPr="00781112" w14:paraId="53FC8895" w14:textId="77777777" w:rsidTr="00123D76">
        <w:trPr>
          <w:trHeight w:val="311"/>
        </w:trPr>
        <w:tc>
          <w:tcPr>
            <w:tcW w:w="2562" w:type="dxa"/>
            <w:vAlign w:val="center"/>
          </w:tcPr>
          <w:p w14:paraId="28447C7D" w14:textId="6D0F8050" w:rsidR="001F64DB" w:rsidRPr="00781112" w:rsidRDefault="001F64DB" w:rsidP="00123D76">
            <w:pPr>
              <w:jc w:val="center"/>
              <w:rPr>
                <w:b/>
                <w:color w:val="000000" w:themeColor="text1"/>
              </w:rPr>
            </w:pPr>
            <w:r w:rsidRPr="00781112">
              <w:rPr>
                <w:rFonts w:cs="Arial"/>
                <w:color w:val="000000" w:themeColor="text1"/>
                <w:szCs w:val="16"/>
              </w:rPr>
              <w:t>2016</w:t>
            </w:r>
          </w:p>
        </w:tc>
        <w:tc>
          <w:tcPr>
            <w:tcW w:w="2563" w:type="dxa"/>
            <w:vAlign w:val="center"/>
          </w:tcPr>
          <w:p w14:paraId="66688D2B" w14:textId="7F6A1027" w:rsidR="001F64DB" w:rsidRPr="00781112" w:rsidRDefault="001F64DB" w:rsidP="00123D76">
            <w:pPr>
              <w:jc w:val="center"/>
              <w:rPr>
                <w:b/>
                <w:color w:val="000000" w:themeColor="text1"/>
              </w:rPr>
            </w:pPr>
            <w:r w:rsidRPr="00781112">
              <w:rPr>
                <w:rFonts w:cs="Arial"/>
                <w:color w:val="000000" w:themeColor="text1"/>
                <w:szCs w:val="16"/>
              </w:rPr>
              <w:t>0.00%</w:t>
            </w:r>
          </w:p>
        </w:tc>
      </w:tr>
    </w:tbl>
    <w:p w14:paraId="0491A3BB" w14:textId="7F542BF4" w:rsidR="001F64DB" w:rsidRPr="00781112" w:rsidRDefault="001F64DB" w:rsidP="004369B2">
      <w:pPr>
        <w:rPr>
          <w:color w:val="000000" w:themeColor="text1"/>
        </w:rPr>
      </w:pPr>
    </w:p>
    <w:p w14:paraId="5B271C5C" w14:textId="77777777" w:rsidR="001F64DB" w:rsidRPr="00781112" w:rsidRDefault="001F64DB" w:rsidP="004369B2">
      <w:pPr>
        <w:rPr>
          <w:color w:val="000000" w:themeColor="text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B04BHISTDATA"/>
      </w:tblPr>
      <w:tblGrid>
        <w:gridCol w:w="1798"/>
        <w:gridCol w:w="1798"/>
        <w:gridCol w:w="1798"/>
        <w:gridCol w:w="1798"/>
        <w:gridCol w:w="1798"/>
        <w:gridCol w:w="1800"/>
      </w:tblGrid>
      <w:tr w:rsidR="005C29F8" w:rsidRPr="00781112" w14:paraId="6E379028" w14:textId="77777777" w:rsidTr="00F90636">
        <w:trPr>
          <w:trHeight w:val="350"/>
        </w:trPr>
        <w:tc>
          <w:tcPr>
            <w:tcW w:w="833" w:type="pct"/>
            <w:tcBorders>
              <w:bottom w:val="single" w:sz="4" w:space="0" w:color="auto"/>
            </w:tcBorders>
            <w:shd w:val="clear" w:color="auto" w:fill="auto"/>
          </w:tcPr>
          <w:p w14:paraId="23D7B707" w14:textId="77777777" w:rsidR="00BB7BC9" w:rsidRPr="00781112" w:rsidRDefault="00BB7BC9" w:rsidP="004369B2">
            <w:pPr>
              <w:jc w:val="center"/>
              <w:rPr>
                <w:b/>
                <w:color w:val="000000" w:themeColor="text1"/>
              </w:rPr>
            </w:pPr>
            <w:r w:rsidRPr="00781112">
              <w:rPr>
                <w:b/>
                <w:color w:val="000000" w:themeColor="text1"/>
              </w:rPr>
              <w:t>FFY</w:t>
            </w:r>
          </w:p>
        </w:tc>
        <w:tc>
          <w:tcPr>
            <w:tcW w:w="833" w:type="pct"/>
            <w:shd w:val="clear" w:color="auto" w:fill="auto"/>
          </w:tcPr>
          <w:p w14:paraId="25954044" w14:textId="160ED41F" w:rsidR="00BB7BC9" w:rsidRPr="00781112" w:rsidRDefault="002B7490">
            <w:pPr>
              <w:jc w:val="center"/>
              <w:rPr>
                <w:b/>
                <w:color w:val="000000" w:themeColor="text1"/>
              </w:rPr>
            </w:pPr>
            <w:r w:rsidRPr="00781112">
              <w:rPr>
                <w:b/>
                <w:color w:val="000000" w:themeColor="text1"/>
              </w:rPr>
              <w:t>2017</w:t>
            </w:r>
          </w:p>
        </w:tc>
        <w:tc>
          <w:tcPr>
            <w:tcW w:w="833" w:type="pct"/>
            <w:shd w:val="clear" w:color="auto" w:fill="auto"/>
          </w:tcPr>
          <w:p w14:paraId="69CF376F" w14:textId="7375A3F7" w:rsidR="00BB7BC9" w:rsidRPr="00781112" w:rsidRDefault="002B7490">
            <w:pPr>
              <w:jc w:val="center"/>
              <w:rPr>
                <w:b/>
                <w:color w:val="000000" w:themeColor="text1"/>
              </w:rPr>
            </w:pPr>
            <w:r w:rsidRPr="00781112">
              <w:rPr>
                <w:b/>
                <w:color w:val="000000" w:themeColor="text1"/>
              </w:rPr>
              <w:t>2018</w:t>
            </w:r>
          </w:p>
        </w:tc>
        <w:tc>
          <w:tcPr>
            <w:tcW w:w="833" w:type="pct"/>
            <w:shd w:val="clear" w:color="auto" w:fill="auto"/>
          </w:tcPr>
          <w:p w14:paraId="4D8E8925" w14:textId="689058A4" w:rsidR="00BB7BC9" w:rsidRPr="00781112" w:rsidRDefault="002B7490">
            <w:pPr>
              <w:jc w:val="center"/>
              <w:rPr>
                <w:b/>
                <w:color w:val="000000" w:themeColor="text1"/>
              </w:rPr>
            </w:pPr>
            <w:r w:rsidRPr="00781112">
              <w:rPr>
                <w:b/>
                <w:color w:val="000000" w:themeColor="text1"/>
              </w:rPr>
              <w:t>2019</w:t>
            </w:r>
          </w:p>
        </w:tc>
        <w:tc>
          <w:tcPr>
            <w:tcW w:w="833" w:type="pct"/>
            <w:shd w:val="clear" w:color="auto" w:fill="auto"/>
          </w:tcPr>
          <w:p w14:paraId="703038E4" w14:textId="1BE5FB5A" w:rsidR="00BB7BC9" w:rsidRPr="00781112" w:rsidRDefault="002B7490">
            <w:pPr>
              <w:jc w:val="center"/>
              <w:rPr>
                <w:b/>
                <w:color w:val="000000" w:themeColor="text1"/>
              </w:rPr>
            </w:pPr>
            <w:r w:rsidRPr="00781112">
              <w:rPr>
                <w:b/>
                <w:color w:val="000000" w:themeColor="text1"/>
              </w:rPr>
              <w:t>2020</w:t>
            </w:r>
          </w:p>
        </w:tc>
        <w:tc>
          <w:tcPr>
            <w:tcW w:w="834" w:type="pct"/>
            <w:shd w:val="clear" w:color="auto" w:fill="auto"/>
          </w:tcPr>
          <w:p w14:paraId="0503649D" w14:textId="176B5064" w:rsidR="00BB7BC9" w:rsidRPr="00781112" w:rsidRDefault="002B7490">
            <w:pPr>
              <w:jc w:val="center"/>
              <w:rPr>
                <w:b/>
                <w:color w:val="000000" w:themeColor="text1"/>
              </w:rPr>
            </w:pPr>
            <w:r w:rsidRPr="00781112">
              <w:rPr>
                <w:b/>
                <w:color w:val="000000" w:themeColor="text1"/>
              </w:rPr>
              <w:t>2021</w:t>
            </w:r>
          </w:p>
        </w:tc>
      </w:tr>
      <w:tr w:rsidR="005C29F8" w:rsidRPr="00781112" w14:paraId="39522776" w14:textId="77777777" w:rsidTr="00F90636">
        <w:trPr>
          <w:trHeight w:val="357"/>
        </w:trPr>
        <w:tc>
          <w:tcPr>
            <w:tcW w:w="833" w:type="pct"/>
            <w:shd w:val="clear" w:color="auto" w:fill="auto"/>
            <w:vAlign w:val="center"/>
          </w:tcPr>
          <w:p w14:paraId="64A2466A" w14:textId="3DCD7D97" w:rsidR="00BB7BC9" w:rsidRPr="00781112" w:rsidRDefault="00BB7BC9" w:rsidP="00BA3DBE">
            <w:pPr>
              <w:jc w:val="center"/>
              <w:rPr>
                <w:rFonts w:cs="Arial"/>
                <w:color w:val="000000" w:themeColor="text1"/>
                <w:szCs w:val="16"/>
              </w:rPr>
            </w:pPr>
            <w:r w:rsidRPr="00781112">
              <w:rPr>
                <w:rFonts w:cs="Arial"/>
                <w:color w:val="000000" w:themeColor="text1"/>
                <w:szCs w:val="16"/>
              </w:rPr>
              <w:t>Target</w:t>
            </w:r>
          </w:p>
        </w:tc>
        <w:tc>
          <w:tcPr>
            <w:tcW w:w="833" w:type="pct"/>
            <w:shd w:val="clear" w:color="auto" w:fill="auto"/>
            <w:vAlign w:val="center"/>
          </w:tcPr>
          <w:p w14:paraId="40744253" w14:textId="30F05132" w:rsidR="00BB7BC9" w:rsidRPr="00781112" w:rsidRDefault="00BA56C8">
            <w:pPr>
              <w:jc w:val="center"/>
              <w:rPr>
                <w:rFonts w:cs="Arial"/>
                <w:color w:val="000000" w:themeColor="text1"/>
                <w:szCs w:val="16"/>
              </w:rPr>
            </w:pPr>
            <w:r w:rsidRPr="00781112">
              <w:rPr>
                <w:rFonts w:cs="Arial"/>
                <w:color w:val="000000" w:themeColor="text1"/>
                <w:szCs w:val="16"/>
              </w:rPr>
              <w:t>0%</w:t>
            </w:r>
          </w:p>
        </w:tc>
        <w:tc>
          <w:tcPr>
            <w:tcW w:w="833" w:type="pct"/>
            <w:shd w:val="clear" w:color="auto" w:fill="auto"/>
            <w:vAlign w:val="center"/>
          </w:tcPr>
          <w:p w14:paraId="4721409F" w14:textId="0E67B113" w:rsidR="00BB7BC9" w:rsidRPr="00781112" w:rsidRDefault="00BA56C8">
            <w:pPr>
              <w:jc w:val="center"/>
              <w:rPr>
                <w:rFonts w:cs="Arial"/>
                <w:color w:val="000000" w:themeColor="text1"/>
                <w:szCs w:val="16"/>
              </w:rPr>
            </w:pPr>
            <w:r w:rsidRPr="00781112">
              <w:rPr>
                <w:rFonts w:cs="Arial"/>
                <w:color w:val="000000" w:themeColor="text1"/>
                <w:szCs w:val="16"/>
              </w:rPr>
              <w:t>0%</w:t>
            </w:r>
          </w:p>
        </w:tc>
        <w:tc>
          <w:tcPr>
            <w:tcW w:w="833" w:type="pct"/>
            <w:shd w:val="clear" w:color="auto" w:fill="auto"/>
            <w:vAlign w:val="center"/>
          </w:tcPr>
          <w:p w14:paraId="61B8DEC3" w14:textId="3B00EB70" w:rsidR="00BB7BC9" w:rsidRPr="00781112" w:rsidRDefault="00BA56C8">
            <w:pPr>
              <w:jc w:val="center"/>
              <w:rPr>
                <w:rFonts w:cs="Arial"/>
                <w:color w:val="000000" w:themeColor="text1"/>
                <w:szCs w:val="16"/>
              </w:rPr>
            </w:pPr>
            <w:r w:rsidRPr="00781112">
              <w:rPr>
                <w:rFonts w:cs="Arial"/>
                <w:color w:val="000000" w:themeColor="text1"/>
                <w:szCs w:val="16"/>
              </w:rPr>
              <w:t>0%</w:t>
            </w:r>
          </w:p>
        </w:tc>
        <w:tc>
          <w:tcPr>
            <w:tcW w:w="833" w:type="pct"/>
            <w:shd w:val="clear" w:color="auto" w:fill="auto"/>
            <w:vAlign w:val="center"/>
          </w:tcPr>
          <w:p w14:paraId="0C46D83A" w14:textId="2D54F0BE" w:rsidR="00BB7BC9" w:rsidRPr="00781112" w:rsidRDefault="00BA56C8">
            <w:pPr>
              <w:jc w:val="center"/>
              <w:rPr>
                <w:rFonts w:cs="Arial"/>
                <w:color w:val="000000" w:themeColor="text1"/>
                <w:szCs w:val="16"/>
              </w:rPr>
            </w:pPr>
            <w:r w:rsidRPr="00781112">
              <w:rPr>
                <w:rFonts w:cs="Arial"/>
                <w:color w:val="000000" w:themeColor="text1"/>
                <w:szCs w:val="16"/>
              </w:rPr>
              <w:t>0%</w:t>
            </w:r>
          </w:p>
        </w:tc>
        <w:tc>
          <w:tcPr>
            <w:tcW w:w="834" w:type="pct"/>
            <w:shd w:val="clear" w:color="auto" w:fill="auto"/>
            <w:vAlign w:val="center"/>
          </w:tcPr>
          <w:p w14:paraId="14E1E671" w14:textId="1E800737" w:rsidR="00BB7BC9" w:rsidRPr="00781112" w:rsidRDefault="00BA56C8">
            <w:pPr>
              <w:jc w:val="center"/>
              <w:rPr>
                <w:rFonts w:cs="Arial"/>
                <w:color w:val="000000" w:themeColor="text1"/>
                <w:szCs w:val="16"/>
              </w:rPr>
            </w:pPr>
            <w:r w:rsidRPr="00781112">
              <w:rPr>
                <w:rFonts w:cs="Arial"/>
                <w:color w:val="000000" w:themeColor="text1"/>
                <w:szCs w:val="16"/>
              </w:rPr>
              <w:t>0%</w:t>
            </w:r>
          </w:p>
        </w:tc>
      </w:tr>
      <w:tr w:rsidR="005C29F8" w:rsidRPr="00781112" w14:paraId="2F4BE991" w14:textId="77777777" w:rsidTr="00F90636">
        <w:trPr>
          <w:trHeight w:val="85"/>
        </w:trPr>
        <w:tc>
          <w:tcPr>
            <w:tcW w:w="833" w:type="pct"/>
            <w:shd w:val="clear" w:color="auto" w:fill="auto"/>
            <w:vAlign w:val="center"/>
          </w:tcPr>
          <w:p w14:paraId="1FC0AC5E" w14:textId="77777777" w:rsidR="00BB7BC9" w:rsidRPr="00781112" w:rsidRDefault="00BB7BC9" w:rsidP="00BA3DBE">
            <w:pPr>
              <w:jc w:val="center"/>
              <w:rPr>
                <w:rFonts w:cs="Arial"/>
                <w:color w:val="000000" w:themeColor="text1"/>
                <w:szCs w:val="16"/>
              </w:rPr>
            </w:pPr>
            <w:r w:rsidRPr="00781112">
              <w:rPr>
                <w:rFonts w:cs="Arial"/>
                <w:color w:val="000000" w:themeColor="text1"/>
                <w:szCs w:val="16"/>
              </w:rPr>
              <w:t>Data</w:t>
            </w:r>
          </w:p>
        </w:tc>
        <w:tc>
          <w:tcPr>
            <w:tcW w:w="833" w:type="pct"/>
            <w:shd w:val="clear" w:color="auto" w:fill="auto"/>
            <w:vAlign w:val="center"/>
          </w:tcPr>
          <w:p w14:paraId="3DA1451A" w14:textId="7F17AC6B" w:rsidR="00BB7BC9" w:rsidRPr="00781112" w:rsidRDefault="002B7490" w:rsidP="00A018D4">
            <w:pPr>
              <w:jc w:val="center"/>
              <w:rPr>
                <w:rFonts w:cs="Arial"/>
                <w:color w:val="000000" w:themeColor="text1"/>
                <w:szCs w:val="16"/>
              </w:rPr>
            </w:pPr>
            <w:r w:rsidRPr="00781112">
              <w:rPr>
                <w:rFonts w:cs="Arial"/>
                <w:color w:val="000000" w:themeColor="text1"/>
                <w:szCs w:val="16"/>
              </w:rPr>
              <w:t>0.00%</w:t>
            </w:r>
          </w:p>
        </w:tc>
        <w:tc>
          <w:tcPr>
            <w:tcW w:w="833" w:type="pct"/>
            <w:shd w:val="clear" w:color="auto" w:fill="auto"/>
            <w:vAlign w:val="center"/>
          </w:tcPr>
          <w:p w14:paraId="6EE4BDB3" w14:textId="2442769C" w:rsidR="00BB7BC9" w:rsidRPr="00781112" w:rsidRDefault="002B7490" w:rsidP="00A018D4">
            <w:pPr>
              <w:jc w:val="center"/>
              <w:rPr>
                <w:rFonts w:cs="Arial"/>
                <w:color w:val="000000" w:themeColor="text1"/>
                <w:szCs w:val="16"/>
              </w:rPr>
            </w:pPr>
            <w:r w:rsidRPr="00781112">
              <w:rPr>
                <w:rFonts w:cs="Arial"/>
                <w:color w:val="000000" w:themeColor="text1"/>
                <w:szCs w:val="16"/>
              </w:rPr>
              <w:t>0.00%</w:t>
            </w:r>
          </w:p>
        </w:tc>
        <w:tc>
          <w:tcPr>
            <w:tcW w:w="833" w:type="pct"/>
            <w:tcBorders>
              <w:bottom w:val="single" w:sz="4" w:space="0" w:color="auto"/>
            </w:tcBorders>
            <w:shd w:val="clear" w:color="auto" w:fill="auto"/>
            <w:vAlign w:val="center"/>
          </w:tcPr>
          <w:p w14:paraId="584E7243" w14:textId="6DD2B85E" w:rsidR="00BB7BC9" w:rsidRPr="00781112" w:rsidRDefault="002B7490" w:rsidP="00A018D4">
            <w:pPr>
              <w:jc w:val="center"/>
              <w:rPr>
                <w:rFonts w:cs="Arial"/>
                <w:color w:val="000000" w:themeColor="text1"/>
                <w:szCs w:val="16"/>
              </w:rPr>
            </w:pPr>
            <w:r w:rsidRPr="00781112">
              <w:rPr>
                <w:rFonts w:cs="Arial"/>
                <w:color w:val="000000" w:themeColor="text1"/>
                <w:szCs w:val="16"/>
              </w:rPr>
              <w:t>0.00%</w:t>
            </w:r>
          </w:p>
        </w:tc>
        <w:tc>
          <w:tcPr>
            <w:tcW w:w="833" w:type="pct"/>
            <w:tcBorders>
              <w:bottom w:val="single" w:sz="4" w:space="0" w:color="auto"/>
            </w:tcBorders>
            <w:shd w:val="clear" w:color="auto" w:fill="auto"/>
            <w:vAlign w:val="center"/>
          </w:tcPr>
          <w:p w14:paraId="54826674" w14:textId="13F0F281" w:rsidR="00BB7BC9" w:rsidRPr="00781112" w:rsidRDefault="002B7490" w:rsidP="00A018D4">
            <w:pPr>
              <w:jc w:val="center"/>
              <w:rPr>
                <w:rFonts w:cs="Arial"/>
                <w:color w:val="000000" w:themeColor="text1"/>
                <w:szCs w:val="16"/>
              </w:rPr>
            </w:pPr>
            <w:r w:rsidRPr="00781112">
              <w:rPr>
                <w:rFonts w:cs="Arial"/>
                <w:color w:val="000000" w:themeColor="text1"/>
                <w:szCs w:val="16"/>
              </w:rPr>
              <w:t>0.00%</w:t>
            </w:r>
          </w:p>
        </w:tc>
        <w:tc>
          <w:tcPr>
            <w:tcW w:w="834" w:type="pct"/>
            <w:tcBorders>
              <w:bottom w:val="single" w:sz="4" w:space="0" w:color="auto"/>
            </w:tcBorders>
            <w:shd w:val="clear" w:color="auto" w:fill="auto"/>
            <w:vAlign w:val="center"/>
          </w:tcPr>
          <w:p w14:paraId="29A1627C" w14:textId="5AC2DD55" w:rsidR="00BB7BC9" w:rsidRPr="00781112" w:rsidRDefault="002B7490" w:rsidP="00A018D4">
            <w:pPr>
              <w:jc w:val="center"/>
              <w:rPr>
                <w:rFonts w:cs="Arial"/>
                <w:color w:val="000000" w:themeColor="text1"/>
                <w:szCs w:val="16"/>
              </w:rPr>
            </w:pPr>
            <w:r w:rsidRPr="00781112">
              <w:rPr>
                <w:rFonts w:cs="Arial"/>
                <w:color w:val="000000" w:themeColor="text1"/>
                <w:szCs w:val="16"/>
              </w:rPr>
              <w:t>0.00%</w:t>
            </w:r>
          </w:p>
        </w:tc>
      </w:tr>
    </w:tbl>
    <w:p w14:paraId="746FB06B" w14:textId="77777777" w:rsidR="00C15355" w:rsidRPr="00781112" w:rsidRDefault="00C15355" w:rsidP="004369B2">
      <w:pPr>
        <w:rPr>
          <w:color w:val="000000" w:themeColor="text1"/>
        </w:rPr>
      </w:pPr>
    </w:p>
    <w:p w14:paraId="31722FA9" w14:textId="62FF3A62" w:rsidR="0016730D" w:rsidRPr="00781112" w:rsidRDefault="0016730D" w:rsidP="004369B2">
      <w:pPr>
        <w:rPr>
          <w:color w:val="000000" w:themeColor="text1"/>
        </w:rPr>
      </w:pPr>
      <w:r w:rsidRPr="00781112">
        <w:rPr>
          <w:b/>
          <w:color w:val="000000" w:themeColor="text1"/>
        </w:rPr>
        <w:t>Targets</w:t>
      </w:r>
    </w:p>
    <w:tbl>
      <w:tblPr>
        <w:tblW w:w="403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B04BTARGETS"/>
      </w:tblPr>
      <w:tblGrid>
        <w:gridCol w:w="679"/>
        <w:gridCol w:w="1911"/>
        <w:gridCol w:w="2042"/>
        <w:gridCol w:w="2042"/>
        <w:gridCol w:w="2042"/>
      </w:tblGrid>
      <w:tr w:rsidR="00B67FCE" w:rsidRPr="00781112" w14:paraId="1019C6DC" w14:textId="17898954" w:rsidTr="00845B9B">
        <w:trPr>
          <w:trHeight w:val="325"/>
        </w:trPr>
        <w:tc>
          <w:tcPr>
            <w:tcW w:w="318" w:type="pct"/>
            <w:tcBorders>
              <w:bottom w:val="single" w:sz="4" w:space="0" w:color="auto"/>
            </w:tcBorders>
            <w:shd w:val="clear" w:color="auto" w:fill="auto"/>
          </w:tcPr>
          <w:p w14:paraId="049B323A" w14:textId="77777777" w:rsidR="00B67FCE" w:rsidRPr="00781112" w:rsidRDefault="00B67FCE" w:rsidP="00D62058">
            <w:pPr>
              <w:jc w:val="center"/>
              <w:rPr>
                <w:b/>
                <w:color w:val="000000" w:themeColor="text1"/>
              </w:rPr>
            </w:pPr>
            <w:r w:rsidRPr="00781112">
              <w:rPr>
                <w:b/>
                <w:color w:val="000000" w:themeColor="text1"/>
              </w:rPr>
              <w:t>FFY</w:t>
            </w:r>
          </w:p>
        </w:tc>
        <w:tc>
          <w:tcPr>
            <w:tcW w:w="1114" w:type="pct"/>
            <w:shd w:val="clear" w:color="auto" w:fill="auto"/>
          </w:tcPr>
          <w:p w14:paraId="50E287A7" w14:textId="77777777" w:rsidR="00B67FCE" w:rsidRPr="00781112" w:rsidRDefault="00B67FCE" w:rsidP="00D62058">
            <w:pPr>
              <w:jc w:val="center"/>
              <w:rPr>
                <w:b/>
                <w:color w:val="000000" w:themeColor="text1"/>
              </w:rPr>
            </w:pPr>
            <w:r w:rsidRPr="00781112">
              <w:rPr>
                <w:b/>
                <w:color w:val="000000" w:themeColor="text1"/>
              </w:rPr>
              <w:t>2022</w:t>
            </w:r>
          </w:p>
        </w:tc>
        <w:tc>
          <w:tcPr>
            <w:tcW w:w="1189" w:type="pct"/>
          </w:tcPr>
          <w:p w14:paraId="126623D3" w14:textId="402F1C62" w:rsidR="00B67FCE" w:rsidRPr="00781112" w:rsidRDefault="00B67FCE" w:rsidP="00D62058">
            <w:pPr>
              <w:jc w:val="center"/>
              <w:rPr>
                <w:b/>
                <w:color w:val="000000" w:themeColor="text1"/>
              </w:rPr>
            </w:pPr>
            <w:r w:rsidRPr="00781112">
              <w:rPr>
                <w:rFonts w:cs="Arial"/>
                <w:b/>
                <w:color w:val="000000" w:themeColor="text1"/>
                <w:szCs w:val="16"/>
              </w:rPr>
              <w:t>2023</w:t>
            </w:r>
          </w:p>
        </w:tc>
        <w:tc>
          <w:tcPr>
            <w:tcW w:w="1189" w:type="pct"/>
          </w:tcPr>
          <w:p w14:paraId="737913FD" w14:textId="6A609FDC" w:rsidR="00B67FCE" w:rsidRPr="00781112" w:rsidRDefault="00B67FCE" w:rsidP="00D62058">
            <w:pPr>
              <w:jc w:val="center"/>
              <w:rPr>
                <w:b/>
                <w:color w:val="000000" w:themeColor="text1"/>
              </w:rPr>
            </w:pPr>
            <w:r w:rsidRPr="00781112">
              <w:rPr>
                <w:rFonts w:cs="Arial"/>
                <w:b/>
                <w:color w:val="000000" w:themeColor="text1"/>
                <w:szCs w:val="16"/>
              </w:rPr>
              <w:t>2024</w:t>
            </w:r>
          </w:p>
        </w:tc>
        <w:tc>
          <w:tcPr>
            <w:tcW w:w="1189" w:type="pct"/>
          </w:tcPr>
          <w:p w14:paraId="0700D5E9" w14:textId="17E1A6F9" w:rsidR="00B67FCE" w:rsidRPr="00781112" w:rsidRDefault="00B67FCE" w:rsidP="00D62058">
            <w:pPr>
              <w:jc w:val="center"/>
              <w:rPr>
                <w:b/>
                <w:color w:val="000000" w:themeColor="text1"/>
              </w:rPr>
            </w:pPr>
            <w:r w:rsidRPr="00781112">
              <w:rPr>
                <w:rFonts w:cs="Arial"/>
                <w:b/>
                <w:color w:val="000000" w:themeColor="text1"/>
                <w:szCs w:val="16"/>
              </w:rPr>
              <w:t>2025</w:t>
            </w:r>
          </w:p>
        </w:tc>
      </w:tr>
      <w:tr w:rsidR="00B67FCE" w:rsidRPr="00781112" w14:paraId="090BA5B6" w14:textId="14D1700A" w:rsidTr="00845B9B">
        <w:trPr>
          <w:trHeight w:val="332"/>
        </w:trPr>
        <w:tc>
          <w:tcPr>
            <w:tcW w:w="318" w:type="pct"/>
            <w:shd w:val="clear" w:color="auto" w:fill="auto"/>
            <w:vAlign w:val="center"/>
          </w:tcPr>
          <w:p w14:paraId="47EE91AE" w14:textId="1E6CE702" w:rsidR="00B67FCE" w:rsidRPr="00781112" w:rsidRDefault="00B67FCE" w:rsidP="00BA3DBE">
            <w:pPr>
              <w:jc w:val="center"/>
              <w:rPr>
                <w:rFonts w:cs="Arial"/>
                <w:color w:val="000000" w:themeColor="text1"/>
                <w:szCs w:val="16"/>
              </w:rPr>
            </w:pPr>
            <w:r w:rsidRPr="00781112">
              <w:rPr>
                <w:rFonts w:cs="Arial"/>
                <w:color w:val="000000" w:themeColor="text1"/>
                <w:szCs w:val="16"/>
              </w:rPr>
              <w:t>Target</w:t>
            </w:r>
          </w:p>
        </w:tc>
        <w:tc>
          <w:tcPr>
            <w:tcW w:w="1114" w:type="pct"/>
            <w:shd w:val="clear" w:color="auto" w:fill="auto"/>
            <w:vAlign w:val="center"/>
          </w:tcPr>
          <w:p w14:paraId="26579D0D" w14:textId="55868DD1" w:rsidR="00B67FCE" w:rsidRPr="00781112" w:rsidRDefault="00B67FCE" w:rsidP="00D62058">
            <w:pPr>
              <w:jc w:val="center"/>
              <w:rPr>
                <w:rFonts w:cs="Arial"/>
                <w:color w:val="000000" w:themeColor="text1"/>
                <w:szCs w:val="16"/>
              </w:rPr>
            </w:pPr>
            <w:r w:rsidRPr="00781112">
              <w:rPr>
                <w:rFonts w:cs="Arial"/>
                <w:color w:val="000000" w:themeColor="text1"/>
                <w:szCs w:val="16"/>
              </w:rPr>
              <w:t>0%</w:t>
            </w:r>
          </w:p>
        </w:tc>
        <w:tc>
          <w:tcPr>
            <w:tcW w:w="1189" w:type="pct"/>
          </w:tcPr>
          <w:p w14:paraId="41C3DA31" w14:textId="175676CA" w:rsidR="00B67FCE" w:rsidRPr="00781112" w:rsidRDefault="00B67FCE" w:rsidP="00D62058">
            <w:pPr>
              <w:jc w:val="center"/>
              <w:rPr>
                <w:rFonts w:cs="Arial"/>
                <w:color w:val="000000" w:themeColor="text1"/>
                <w:szCs w:val="16"/>
              </w:rPr>
            </w:pPr>
            <w:r w:rsidRPr="00781112">
              <w:rPr>
                <w:color w:val="000000" w:themeColor="text1"/>
                <w:szCs w:val="16"/>
              </w:rPr>
              <w:t>0%</w:t>
            </w:r>
          </w:p>
        </w:tc>
        <w:tc>
          <w:tcPr>
            <w:tcW w:w="1189" w:type="pct"/>
          </w:tcPr>
          <w:p w14:paraId="11966A3D" w14:textId="65AB7EFF" w:rsidR="00B67FCE" w:rsidRPr="00781112" w:rsidRDefault="00B67FCE" w:rsidP="00D62058">
            <w:pPr>
              <w:jc w:val="center"/>
              <w:rPr>
                <w:rFonts w:cs="Arial"/>
                <w:color w:val="000000" w:themeColor="text1"/>
                <w:szCs w:val="16"/>
              </w:rPr>
            </w:pPr>
            <w:r w:rsidRPr="00781112">
              <w:rPr>
                <w:color w:val="000000" w:themeColor="text1"/>
                <w:szCs w:val="16"/>
              </w:rPr>
              <w:t>0%</w:t>
            </w:r>
          </w:p>
        </w:tc>
        <w:tc>
          <w:tcPr>
            <w:tcW w:w="1189" w:type="pct"/>
          </w:tcPr>
          <w:p w14:paraId="527650DE" w14:textId="33C5B6E9" w:rsidR="00B67FCE" w:rsidRPr="00781112" w:rsidRDefault="00B67FCE" w:rsidP="00D62058">
            <w:pPr>
              <w:jc w:val="center"/>
              <w:rPr>
                <w:rFonts w:cs="Arial"/>
                <w:color w:val="000000" w:themeColor="text1"/>
                <w:szCs w:val="16"/>
              </w:rPr>
            </w:pPr>
            <w:r w:rsidRPr="00781112">
              <w:rPr>
                <w:color w:val="000000" w:themeColor="text1"/>
                <w:szCs w:val="16"/>
              </w:rPr>
              <w:t>0%</w:t>
            </w:r>
          </w:p>
        </w:tc>
      </w:tr>
    </w:tbl>
    <w:p w14:paraId="728AD721" w14:textId="77777777" w:rsidR="00C15355" w:rsidRPr="00781112" w:rsidRDefault="00C15355" w:rsidP="004369B2">
      <w:pPr>
        <w:rPr>
          <w:color w:val="000000" w:themeColor="text1"/>
        </w:rPr>
      </w:pPr>
    </w:p>
    <w:bookmarkEnd w:id="31"/>
    <w:bookmarkEnd w:id="32"/>
    <w:p w14:paraId="6C217ADA" w14:textId="640A6E85" w:rsidR="00D03701" w:rsidRPr="00781112" w:rsidRDefault="0047313F">
      <w:pPr>
        <w:rPr>
          <w:b/>
          <w:color w:val="000000" w:themeColor="text1"/>
        </w:rPr>
      </w:pPr>
      <w:r>
        <w:rPr>
          <w:b/>
          <w:color w:val="000000" w:themeColor="text1"/>
        </w:rPr>
        <w:t>FFY 2022 SPP/APR Data</w:t>
      </w:r>
    </w:p>
    <w:p w14:paraId="51C79687" w14:textId="260CFDAD" w:rsidR="00F9524E" w:rsidRPr="00781112" w:rsidRDefault="00F9524E">
      <w:pPr>
        <w:rPr>
          <w:rFonts w:cs="Arial"/>
          <w:b/>
          <w:color w:val="000000" w:themeColor="text1"/>
          <w:szCs w:val="16"/>
        </w:rPr>
      </w:pPr>
      <w:r w:rsidRPr="00781112">
        <w:rPr>
          <w:rFonts w:cs="Arial"/>
          <w:b/>
          <w:color w:val="000000" w:themeColor="text1"/>
          <w:szCs w:val="16"/>
        </w:rPr>
        <w:t>Has the state established a minimum n/cell-size requirement? (yes/no)</w:t>
      </w:r>
    </w:p>
    <w:p w14:paraId="6FC8EF80" w14:textId="63ECC90F" w:rsidR="00F9524E" w:rsidRPr="00781112" w:rsidRDefault="00F9524E">
      <w:pPr>
        <w:rPr>
          <w:rFonts w:cs="Arial"/>
          <w:color w:val="000000" w:themeColor="text1"/>
          <w:szCs w:val="16"/>
        </w:rPr>
      </w:pPr>
      <w:r w:rsidRPr="00781112">
        <w:rPr>
          <w:rFonts w:cs="Arial"/>
          <w:color w:val="000000" w:themeColor="text1"/>
          <w:szCs w:val="16"/>
        </w:rPr>
        <w:t>YES</w:t>
      </w:r>
    </w:p>
    <w:p w14:paraId="69A72720" w14:textId="20C4A4A0" w:rsidR="00F9524E" w:rsidRPr="00781112" w:rsidRDefault="00F9524E">
      <w:pPr>
        <w:rPr>
          <w:rFonts w:cs="Arial"/>
          <w:b/>
          <w:color w:val="000000" w:themeColor="text1"/>
          <w:szCs w:val="16"/>
        </w:rPr>
      </w:pPr>
      <w:r w:rsidRPr="00781112">
        <w:rPr>
          <w:rFonts w:cs="Arial"/>
          <w:b/>
          <w:color w:val="000000" w:themeColor="text1"/>
          <w:szCs w:val="16"/>
        </w:rPr>
        <w:t xml:space="preserve">If yes, the State may only include, in both the numerator and the denominator, LEAs that met the State-established n/cell size. Report the number of LEAs excluded from the calculation </w:t>
      </w:r>
      <w:proofErr w:type="gramStart"/>
      <w:r w:rsidRPr="00781112">
        <w:rPr>
          <w:rFonts w:cs="Arial"/>
          <w:b/>
          <w:color w:val="000000" w:themeColor="text1"/>
          <w:szCs w:val="16"/>
        </w:rPr>
        <w:t>as a result of</w:t>
      </w:r>
      <w:proofErr w:type="gramEnd"/>
      <w:r w:rsidRPr="00781112">
        <w:rPr>
          <w:rFonts w:cs="Arial"/>
          <w:b/>
          <w:color w:val="000000" w:themeColor="text1"/>
          <w:szCs w:val="16"/>
        </w:rPr>
        <w:t xml:space="preserve"> the requirement.</w:t>
      </w:r>
    </w:p>
    <w:p w14:paraId="4A920DA7" w14:textId="169D365F" w:rsidR="00F9524E" w:rsidRPr="00781112" w:rsidRDefault="00F9524E" w:rsidP="004369B2">
      <w:pPr>
        <w:rPr>
          <w:rFonts w:cs="Arial"/>
          <w:color w:val="000000" w:themeColor="text1"/>
          <w:szCs w:val="16"/>
        </w:rPr>
      </w:pPr>
      <w:r w:rsidRPr="00781112">
        <w:rPr>
          <w:rFonts w:cs="Arial"/>
          <w:color w:val="000000" w:themeColor="text1"/>
          <w:szCs w:val="16"/>
        </w:rPr>
        <w:t>32</w:t>
      </w:r>
    </w:p>
    <w:p w14:paraId="4C0AC734" w14:textId="77777777" w:rsidR="0016730D" w:rsidRPr="00781112" w:rsidRDefault="0016730D" w:rsidP="004369B2">
      <w:pPr>
        <w:rPr>
          <w:color w:val="000000" w:themeColor="text1"/>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B04BCFFYAPRDATA"/>
      </w:tblPr>
      <w:tblGrid>
        <w:gridCol w:w="1328"/>
        <w:gridCol w:w="1272"/>
        <w:gridCol w:w="1757"/>
        <w:gridCol w:w="1152"/>
        <w:gridCol w:w="1675"/>
        <w:gridCol w:w="1047"/>
        <w:gridCol w:w="1299"/>
        <w:gridCol w:w="1260"/>
      </w:tblGrid>
      <w:tr w:rsidR="00740CBC" w:rsidRPr="00781112" w14:paraId="38B0A91A" w14:textId="77777777" w:rsidTr="00EC0EDB">
        <w:trPr>
          <w:trHeight w:val="994"/>
          <w:jc w:val="center"/>
        </w:trPr>
        <w:tc>
          <w:tcPr>
            <w:tcW w:w="615" w:type="pct"/>
            <w:shd w:val="clear" w:color="auto" w:fill="auto"/>
            <w:vAlign w:val="bottom"/>
          </w:tcPr>
          <w:p w14:paraId="7B29D1BD" w14:textId="32EC5502" w:rsidR="00740CBC" w:rsidRPr="00781112" w:rsidRDefault="00740CBC" w:rsidP="00740CBC">
            <w:pPr>
              <w:jc w:val="center"/>
              <w:rPr>
                <w:rFonts w:cs="Arial"/>
                <w:b/>
                <w:color w:val="000000" w:themeColor="text1"/>
                <w:szCs w:val="16"/>
              </w:rPr>
            </w:pPr>
            <w:r w:rsidRPr="00781112">
              <w:rPr>
                <w:rFonts w:cs="Arial"/>
                <w:b/>
                <w:color w:val="000000" w:themeColor="text1"/>
                <w:szCs w:val="16"/>
              </w:rPr>
              <w:t>Number of LEAs that have a significant discrepancy, by race or ethnicity</w:t>
            </w:r>
          </w:p>
        </w:tc>
        <w:tc>
          <w:tcPr>
            <w:tcW w:w="589" w:type="pct"/>
            <w:shd w:val="clear" w:color="auto" w:fill="auto"/>
            <w:vAlign w:val="bottom"/>
          </w:tcPr>
          <w:p w14:paraId="5F8F5A3F" w14:textId="0F9AAB60" w:rsidR="00740CBC" w:rsidRPr="00781112" w:rsidRDefault="00740CBC" w:rsidP="00740CBC">
            <w:pPr>
              <w:jc w:val="center"/>
              <w:rPr>
                <w:rFonts w:cs="Arial"/>
                <w:b/>
                <w:color w:val="000000" w:themeColor="text1"/>
                <w:szCs w:val="16"/>
              </w:rPr>
            </w:pPr>
            <w:r w:rsidRPr="00781112">
              <w:rPr>
                <w:rFonts w:cs="Arial"/>
                <w:b/>
                <w:color w:val="000000" w:themeColor="text1"/>
                <w:szCs w:val="16"/>
              </w:rPr>
              <w:t>Number of those LEAs that have policies, procedure or practices that contribute to the significant discrepancy and do not comply with requirements</w:t>
            </w:r>
          </w:p>
        </w:tc>
        <w:tc>
          <w:tcPr>
            <w:tcW w:w="814" w:type="pct"/>
            <w:shd w:val="clear" w:color="auto" w:fill="auto"/>
            <w:vAlign w:val="bottom"/>
          </w:tcPr>
          <w:p w14:paraId="198605CB" w14:textId="35586744" w:rsidR="00740CBC" w:rsidRPr="00781112" w:rsidRDefault="00740CBC" w:rsidP="00740CBC">
            <w:pPr>
              <w:jc w:val="center"/>
              <w:rPr>
                <w:rFonts w:cs="Arial"/>
                <w:b/>
                <w:color w:val="000000" w:themeColor="text1"/>
                <w:szCs w:val="16"/>
              </w:rPr>
            </w:pPr>
            <w:r w:rsidRPr="00781112">
              <w:rPr>
                <w:rFonts w:cs="Arial"/>
                <w:b/>
                <w:color w:val="000000" w:themeColor="text1"/>
                <w:szCs w:val="16"/>
              </w:rPr>
              <w:t>Number of LEAs that met the State's minimum n/cell-size</w:t>
            </w:r>
          </w:p>
        </w:tc>
        <w:tc>
          <w:tcPr>
            <w:tcW w:w="534" w:type="pct"/>
            <w:shd w:val="clear" w:color="auto" w:fill="auto"/>
            <w:vAlign w:val="bottom"/>
          </w:tcPr>
          <w:p w14:paraId="45990D98" w14:textId="7F3ED1C8" w:rsidR="00740CBC" w:rsidRPr="00CC1061" w:rsidRDefault="00740CBC" w:rsidP="00740CBC">
            <w:pPr>
              <w:jc w:val="center"/>
              <w:rPr>
                <w:rFonts w:cs="Arial"/>
                <w:b/>
                <w:bCs/>
                <w:color w:val="000000" w:themeColor="text1"/>
                <w:szCs w:val="16"/>
              </w:rPr>
            </w:pPr>
            <w:r w:rsidRPr="00CC1061">
              <w:rPr>
                <w:b/>
                <w:bCs/>
              </w:rPr>
              <w:t>FFY 2021 Data</w:t>
            </w:r>
          </w:p>
        </w:tc>
        <w:tc>
          <w:tcPr>
            <w:tcW w:w="776" w:type="pct"/>
            <w:shd w:val="clear" w:color="auto" w:fill="auto"/>
            <w:vAlign w:val="bottom"/>
          </w:tcPr>
          <w:p w14:paraId="1BAB59B0" w14:textId="2802F452" w:rsidR="00740CBC" w:rsidRPr="00CC1061" w:rsidRDefault="00740CBC" w:rsidP="00740CBC">
            <w:pPr>
              <w:jc w:val="center"/>
              <w:rPr>
                <w:rFonts w:cs="Arial"/>
                <w:b/>
                <w:bCs/>
                <w:color w:val="000000" w:themeColor="text1"/>
                <w:szCs w:val="16"/>
              </w:rPr>
            </w:pPr>
            <w:r w:rsidRPr="00CC1061">
              <w:rPr>
                <w:b/>
                <w:bCs/>
              </w:rPr>
              <w:t>FFY 2022 Target</w:t>
            </w:r>
          </w:p>
        </w:tc>
        <w:tc>
          <w:tcPr>
            <w:tcW w:w="485" w:type="pct"/>
            <w:shd w:val="clear" w:color="auto" w:fill="auto"/>
            <w:vAlign w:val="bottom"/>
          </w:tcPr>
          <w:p w14:paraId="179C63C5" w14:textId="1463C1A3" w:rsidR="00740CBC" w:rsidRPr="00CC1061" w:rsidRDefault="00740CBC" w:rsidP="00740CBC">
            <w:pPr>
              <w:jc w:val="center"/>
              <w:rPr>
                <w:rFonts w:cs="Arial"/>
                <w:b/>
                <w:bCs/>
                <w:color w:val="000000" w:themeColor="text1"/>
                <w:szCs w:val="16"/>
              </w:rPr>
            </w:pPr>
            <w:r w:rsidRPr="00CC1061">
              <w:rPr>
                <w:b/>
                <w:bCs/>
              </w:rPr>
              <w:t>FFY 2022 Data</w:t>
            </w:r>
          </w:p>
        </w:tc>
        <w:tc>
          <w:tcPr>
            <w:tcW w:w="602" w:type="pct"/>
            <w:shd w:val="clear" w:color="auto" w:fill="auto"/>
            <w:vAlign w:val="bottom"/>
          </w:tcPr>
          <w:p w14:paraId="65AC4432" w14:textId="77777777" w:rsidR="00740CBC" w:rsidRPr="00781112" w:rsidRDefault="00740CBC" w:rsidP="00740CBC">
            <w:pPr>
              <w:jc w:val="center"/>
              <w:rPr>
                <w:rFonts w:cs="Arial"/>
                <w:b/>
                <w:color w:val="000000" w:themeColor="text1"/>
                <w:szCs w:val="16"/>
              </w:rPr>
            </w:pPr>
            <w:r w:rsidRPr="00781112">
              <w:rPr>
                <w:rFonts w:cs="Arial"/>
                <w:b/>
                <w:color w:val="000000" w:themeColor="text1"/>
                <w:szCs w:val="16"/>
              </w:rPr>
              <w:t>Status</w:t>
            </w:r>
          </w:p>
        </w:tc>
        <w:tc>
          <w:tcPr>
            <w:tcW w:w="584" w:type="pct"/>
            <w:shd w:val="clear" w:color="auto" w:fill="auto"/>
            <w:vAlign w:val="bottom"/>
          </w:tcPr>
          <w:p w14:paraId="1CC124E2" w14:textId="77777777" w:rsidR="00740CBC" w:rsidRPr="00781112" w:rsidRDefault="00740CBC" w:rsidP="00740CBC">
            <w:pPr>
              <w:jc w:val="center"/>
              <w:rPr>
                <w:rFonts w:cs="Arial"/>
                <w:b/>
                <w:color w:val="000000" w:themeColor="text1"/>
                <w:szCs w:val="16"/>
              </w:rPr>
            </w:pPr>
            <w:r w:rsidRPr="00781112">
              <w:rPr>
                <w:rFonts w:cs="Arial"/>
                <w:b/>
                <w:color w:val="000000" w:themeColor="text1"/>
                <w:szCs w:val="16"/>
              </w:rPr>
              <w:t>Slippage</w:t>
            </w:r>
          </w:p>
        </w:tc>
      </w:tr>
      <w:tr w:rsidR="005C29F8" w:rsidRPr="00781112" w14:paraId="204CDE51" w14:textId="77777777" w:rsidTr="00EC0EDB">
        <w:trPr>
          <w:trHeight w:val="233"/>
          <w:jc w:val="center"/>
        </w:trPr>
        <w:tc>
          <w:tcPr>
            <w:tcW w:w="615" w:type="pct"/>
            <w:shd w:val="clear" w:color="auto" w:fill="auto"/>
          </w:tcPr>
          <w:p w14:paraId="1BBB876A" w14:textId="743343A5" w:rsidR="00DE45AB" w:rsidRPr="00781112" w:rsidRDefault="002B7490" w:rsidP="00A018D4">
            <w:pPr>
              <w:jc w:val="center"/>
              <w:rPr>
                <w:rFonts w:cs="Arial"/>
                <w:color w:val="000000" w:themeColor="text1"/>
                <w:szCs w:val="16"/>
              </w:rPr>
            </w:pPr>
            <w:r w:rsidRPr="00781112">
              <w:rPr>
                <w:rFonts w:cs="Arial"/>
                <w:color w:val="000000" w:themeColor="text1"/>
                <w:szCs w:val="16"/>
              </w:rPr>
              <w:t>0</w:t>
            </w:r>
          </w:p>
        </w:tc>
        <w:tc>
          <w:tcPr>
            <w:tcW w:w="589" w:type="pct"/>
            <w:shd w:val="clear" w:color="auto" w:fill="auto"/>
            <w:vAlign w:val="center"/>
          </w:tcPr>
          <w:p w14:paraId="6C540A5B" w14:textId="472541D0" w:rsidR="00DE45AB" w:rsidRPr="00781112" w:rsidRDefault="002B7490" w:rsidP="00A018D4">
            <w:pPr>
              <w:jc w:val="center"/>
              <w:rPr>
                <w:rFonts w:cs="Arial"/>
                <w:color w:val="000000" w:themeColor="text1"/>
                <w:szCs w:val="16"/>
              </w:rPr>
            </w:pPr>
            <w:r w:rsidRPr="00781112">
              <w:rPr>
                <w:rFonts w:cs="Arial"/>
                <w:color w:val="000000" w:themeColor="text1"/>
                <w:szCs w:val="16"/>
              </w:rPr>
              <w:t>0</w:t>
            </w:r>
          </w:p>
        </w:tc>
        <w:tc>
          <w:tcPr>
            <w:tcW w:w="814" w:type="pct"/>
            <w:shd w:val="clear" w:color="auto" w:fill="auto"/>
          </w:tcPr>
          <w:p w14:paraId="6F1E42F0" w14:textId="4B631704" w:rsidR="00DE45AB" w:rsidRPr="00781112" w:rsidRDefault="002B7490" w:rsidP="00A018D4">
            <w:pPr>
              <w:jc w:val="center"/>
              <w:rPr>
                <w:rFonts w:cs="Arial"/>
                <w:color w:val="000000" w:themeColor="text1"/>
                <w:szCs w:val="16"/>
              </w:rPr>
            </w:pPr>
            <w:r w:rsidRPr="00781112">
              <w:rPr>
                <w:rFonts w:cs="Arial"/>
                <w:color w:val="000000" w:themeColor="text1"/>
                <w:szCs w:val="16"/>
              </w:rPr>
              <w:t>33</w:t>
            </w:r>
          </w:p>
        </w:tc>
        <w:tc>
          <w:tcPr>
            <w:tcW w:w="534" w:type="pct"/>
            <w:shd w:val="clear" w:color="auto" w:fill="auto"/>
          </w:tcPr>
          <w:p w14:paraId="76FAD105" w14:textId="6054175F" w:rsidR="00DE45AB" w:rsidRPr="00781112" w:rsidRDefault="002B7490" w:rsidP="00A018D4">
            <w:pPr>
              <w:jc w:val="center"/>
              <w:rPr>
                <w:rFonts w:cs="Arial"/>
                <w:color w:val="000000" w:themeColor="text1"/>
                <w:szCs w:val="16"/>
              </w:rPr>
            </w:pPr>
            <w:r w:rsidRPr="00781112">
              <w:rPr>
                <w:rFonts w:cs="Arial"/>
                <w:color w:val="000000" w:themeColor="text1"/>
                <w:szCs w:val="16"/>
              </w:rPr>
              <w:t>0.00%</w:t>
            </w:r>
          </w:p>
        </w:tc>
        <w:tc>
          <w:tcPr>
            <w:tcW w:w="776" w:type="pct"/>
            <w:shd w:val="clear" w:color="auto" w:fill="auto"/>
          </w:tcPr>
          <w:p w14:paraId="0F3192F2" w14:textId="289113AF" w:rsidR="00DE45AB" w:rsidRPr="00781112" w:rsidRDefault="00BA56C8">
            <w:pPr>
              <w:jc w:val="center"/>
              <w:rPr>
                <w:rFonts w:cs="Arial"/>
                <w:color w:val="000000" w:themeColor="text1"/>
                <w:szCs w:val="16"/>
              </w:rPr>
            </w:pPr>
            <w:r w:rsidRPr="00781112">
              <w:rPr>
                <w:rFonts w:cs="Arial"/>
                <w:color w:val="000000" w:themeColor="text1"/>
                <w:szCs w:val="16"/>
              </w:rPr>
              <w:t>0%</w:t>
            </w:r>
          </w:p>
        </w:tc>
        <w:tc>
          <w:tcPr>
            <w:tcW w:w="485" w:type="pct"/>
            <w:shd w:val="clear" w:color="auto" w:fill="auto"/>
          </w:tcPr>
          <w:p w14:paraId="7BDF1791" w14:textId="2192A561" w:rsidR="00DE45AB" w:rsidRPr="00781112" w:rsidRDefault="002B7490" w:rsidP="00A018D4">
            <w:pPr>
              <w:jc w:val="center"/>
              <w:rPr>
                <w:rFonts w:cs="Arial"/>
                <w:color w:val="000000" w:themeColor="text1"/>
                <w:szCs w:val="16"/>
              </w:rPr>
            </w:pPr>
            <w:r w:rsidRPr="00781112">
              <w:rPr>
                <w:rFonts w:cs="Arial"/>
                <w:color w:val="000000" w:themeColor="text1"/>
                <w:szCs w:val="16"/>
              </w:rPr>
              <w:t>0.00%</w:t>
            </w:r>
          </w:p>
        </w:tc>
        <w:tc>
          <w:tcPr>
            <w:tcW w:w="602" w:type="pct"/>
            <w:shd w:val="clear" w:color="auto" w:fill="auto"/>
          </w:tcPr>
          <w:p w14:paraId="389804B8" w14:textId="23C75A7D" w:rsidR="00DE45AB" w:rsidRPr="00781112" w:rsidRDefault="002B7490" w:rsidP="00A018D4">
            <w:pPr>
              <w:jc w:val="center"/>
              <w:rPr>
                <w:rFonts w:cs="Arial"/>
                <w:color w:val="000000" w:themeColor="text1"/>
                <w:szCs w:val="16"/>
              </w:rPr>
            </w:pPr>
            <w:r w:rsidRPr="00781112">
              <w:rPr>
                <w:rFonts w:cs="Arial"/>
                <w:color w:val="000000" w:themeColor="text1"/>
                <w:szCs w:val="16"/>
              </w:rPr>
              <w:t>Met target</w:t>
            </w:r>
          </w:p>
        </w:tc>
        <w:tc>
          <w:tcPr>
            <w:tcW w:w="584" w:type="pct"/>
            <w:shd w:val="clear" w:color="auto" w:fill="auto"/>
          </w:tcPr>
          <w:p w14:paraId="3AF9E82D" w14:textId="6AA616AB" w:rsidR="00DE45AB" w:rsidRPr="00781112" w:rsidRDefault="002B7490" w:rsidP="00A018D4">
            <w:pPr>
              <w:jc w:val="center"/>
              <w:rPr>
                <w:rFonts w:cs="Arial"/>
                <w:color w:val="000000" w:themeColor="text1"/>
                <w:szCs w:val="16"/>
              </w:rPr>
            </w:pPr>
            <w:r w:rsidRPr="00781112">
              <w:rPr>
                <w:rFonts w:cs="Arial"/>
                <w:color w:val="000000" w:themeColor="text1"/>
                <w:szCs w:val="16"/>
              </w:rPr>
              <w:t>No Slippage</w:t>
            </w:r>
          </w:p>
        </w:tc>
      </w:tr>
    </w:tbl>
    <w:p w14:paraId="6E2244E6" w14:textId="77777777" w:rsidR="00A20CC3" w:rsidRPr="00781112" w:rsidRDefault="00A20CC3" w:rsidP="00A20CC3">
      <w:pPr>
        <w:rPr>
          <w:rFonts w:cs="Arial"/>
          <w:b/>
          <w:color w:val="000000" w:themeColor="text1"/>
          <w:szCs w:val="16"/>
        </w:rPr>
      </w:pPr>
      <w:r w:rsidRPr="00781112">
        <w:rPr>
          <w:rFonts w:cs="Arial"/>
          <w:b/>
          <w:color w:val="000000" w:themeColor="text1"/>
          <w:szCs w:val="16"/>
        </w:rPr>
        <w:t xml:space="preserve">Choose one of the following comparison methodologies to determine whether significant discrepancies are occurring (34 CFR §300.170(a)) </w:t>
      </w:r>
    </w:p>
    <w:p w14:paraId="33BA0C5D" w14:textId="167098C0" w:rsidR="00A20CC3" w:rsidRPr="00781112" w:rsidRDefault="00A20CC3" w:rsidP="00A20CC3">
      <w:pPr>
        <w:rPr>
          <w:rFonts w:cs="Arial"/>
          <w:color w:val="000000" w:themeColor="text1"/>
          <w:szCs w:val="16"/>
        </w:rPr>
      </w:pPr>
      <w:r w:rsidRPr="00781112">
        <w:rPr>
          <w:rFonts w:cs="Arial"/>
          <w:color w:val="000000" w:themeColor="text1"/>
          <w:szCs w:val="16"/>
        </w:rPr>
        <w:t>Compare the rates of suspensions and expulsions of greater than 10 days in a school year for children with IEPs among LEAs in the State</w:t>
      </w:r>
    </w:p>
    <w:p w14:paraId="40DD3F41" w14:textId="31F46ACB" w:rsidR="00F9524E" w:rsidRPr="00781112" w:rsidRDefault="004B3E74" w:rsidP="000E33D0">
      <w:pPr>
        <w:rPr>
          <w:rFonts w:cs="Arial"/>
          <w:b/>
          <w:color w:val="000000" w:themeColor="text1"/>
          <w:szCs w:val="16"/>
        </w:rPr>
      </w:pPr>
      <w:r w:rsidRPr="00781112">
        <w:rPr>
          <w:rFonts w:cs="Arial"/>
          <w:b/>
          <w:color w:val="000000" w:themeColor="text1"/>
          <w:szCs w:val="16"/>
        </w:rPr>
        <w:t xml:space="preserve">Were all races and ethnicities included in the review? </w:t>
      </w:r>
    </w:p>
    <w:p w14:paraId="1F24C674" w14:textId="1B9869B3" w:rsidR="00F9524E" w:rsidRPr="00781112" w:rsidRDefault="00F9524E" w:rsidP="000E33D0">
      <w:pPr>
        <w:rPr>
          <w:rFonts w:cs="Arial"/>
          <w:color w:val="000000" w:themeColor="text1"/>
          <w:szCs w:val="16"/>
        </w:rPr>
      </w:pPr>
      <w:r w:rsidRPr="00781112">
        <w:rPr>
          <w:rFonts w:cs="Arial"/>
          <w:color w:val="000000" w:themeColor="text1"/>
          <w:szCs w:val="16"/>
        </w:rPr>
        <w:t>YES</w:t>
      </w:r>
    </w:p>
    <w:p w14:paraId="6DB014CF" w14:textId="6C5A068F" w:rsidR="001F6A28" w:rsidRPr="00781112" w:rsidRDefault="001F6A28" w:rsidP="009A755E">
      <w:pPr>
        <w:rPr>
          <w:rFonts w:cs="Arial"/>
          <w:b/>
          <w:color w:val="000000" w:themeColor="text1"/>
          <w:szCs w:val="16"/>
        </w:rPr>
      </w:pPr>
      <w:bookmarkStart w:id="35" w:name="_Toc392159294"/>
      <w:r w:rsidRPr="00781112">
        <w:rPr>
          <w:rFonts w:cs="Arial"/>
          <w:b/>
          <w:color w:val="000000" w:themeColor="text1"/>
          <w:szCs w:val="16"/>
        </w:rPr>
        <w:t>State’s definition of “significant discrepancy” and methodology</w:t>
      </w:r>
    </w:p>
    <w:p w14:paraId="68DA7D27" w14:textId="3FCFF894" w:rsidR="002D57DA" w:rsidRPr="00781112" w:rsidRDefault="002B7490" w:rsidP="009C613A">
      <w:pPr>
        <w:rPr>
          <w:rFonts w:cs="Arial"/>
          <w:b/>
          <w:color w:val="000000" w:themeColor="text1"/>
          <w:szCs w:val="16"/>
        </w:rPr>
      </w:pPr>
      <w:r w:rsidRPr="00781112">
        <w:rPr>
          <w:rFonts w:cs="Arial"/>
          <w:color w:val="000000" w:themeColor="text1"/>
          <w:szCs w:val="16"/>
        </w:rPr>
        <w:t xml:space="preserve">Colorado identifies an AU as having a “significant discrepancy” if: (a) five or more students of a particular racial category received greater-than-10-day out-of-school suspension/expulsion, and that race’s suspension/expulsion rate was more than four times of the state’s rate for three consecutive school years; (b) the policies, practices, and procedures contributed to the significant discrepancy. The student group that comprises the state rate is all students with disabilities in the state with greater than 10 </w:t>
      </w:r>
      <w:proofErr w:type="gramStart"/>
      <w:r w:rsidRPr="00781112">
        <w:rPr>
          <w:rFonts w:cs="Arial"/>
          <w:color w:val="000000" w:themeColor="text1"/>
          <w:szCs w:val="16"/>
        </w:rPr>
        <w:t>day</w:t>
      </w:r>
      <w:proofErr w:type="gramEnd"/>
      <w:r w:rsidRPr="00781112">
        <w:rPr>
          <w:rFonts w:cs="Arial"/>
          <w:color w:val="000000" w:themeColor="text1"/>
          <w:szCs w:val="16"/>
        </w:rPr>
        <w:t xml:space="preserve"> out of school suspension/expulsion divided by the total number of students with disabilities in the state. The seven federal racial categories (i.e., White, Hispanic, Black, Native Americans, Pacific Islanders, Asians, and Two or more Races) are examined.</w:t>
      </w:r>
    </w:p>
    <w:p w14:paraId="3EC3FBFA" w14:textId="77777777" w:rsidR="006C575D" w:rsidRPr="00781112" w:rsidRDefault="006C575D" w:rsidP="004369B2">
      <w:pPr>
        <w:rPr>
          <w:b/>
          <w:color w:val="000000" w:themeColor="text1"/>
        </w:rPr>
      </w:pPr>
      <w:r w:rsidRPr="00781112">
        <w:rPr>
          <w:b/>
          <w:color w:val="000000" w:themeColor="text1"/>
        </w:rPr>
        <w:t>Provide additional information about this indicator (optional)</w:t>
      </w:r>
    </w:p>
    <w:p w14:paraId="35896747" w14:textId="5B1C78C3" w:rsidR="002D57DA" w:rsidRPr="00781112" w:rsidRDefault="002B7490" w:rsidP="000E33D0">
      <w:pPr>
        <w:rPr>
          <w:rFonts w:cs="Arial"/>
          <w:color w:val="000000" w:themeColor="text1"/>
          <w:szCs w:val="16"/>
        </w:rPr>
      </w:pPr>
      <w:r w:rsidRPr="00781112">
        <w:rPr>
          <w:rFonts w:cs="Arial"/>
          <w:color w:val="000000" w:themeColor="text1"/>
          <w:szCs w:val="16"/>
        </w:rPr>
        <w:t>Three AUs (2 correctional facilities and 1 mental-health facility) were excluded from the calculation of this indicator; they do not participate in the discipline data collection because they cannot suspend/expel the students in their facilities.</w:t>
      </w:r>
    </w:p>
    <w:p w14:paraId="4B905245" w14:textId="77777777" w:rsidR="005E2440" w:rsidRPr="00781112" w:rsidRDefault="005E2440" w:rsidP="004369B2">
      <w:pPr>
        <w:rPr>
          <w:color w:val="000000" w:themeColor="text1"/>
        </w:rPr>
      </w:pPr>
    </w:p>
    <w:p w14:paraId="248087F7" w14:textId="3DEFD986" w:rsidR="001F6A28" w:rsidRPr="00781112" w:rsidRDefault="001F6A28" w:rsidP="004369B2">
      <w:pPr>
        <w:rPr>
          <w:color w:val="000000" w:themeColor="text1"/>
        </w:rPr>
      </w:pPr>
      <w:r w:rsidRPr="00781112">
        <w:rPr>
          <w:b/>
          <w:color w:val="000000" w:themeColor="text1"/>
        </w:rPr>
        <w:t>Review of Policies, Procedures, and Practices (completed in FFY 2022 using 2021-2022 data)</w:t>
      </w:r>
    </w:p>
    <w:p w14:paraId="71ECDBC1" w14:textId="77777777" w:rsidR="001F6A28" w:rsidRPr="00781112" w:rsidRDefault="001F6A28" w:rsidP="009A755E">
      <w:pPr>
        <w:rPr>
          <w:rFonts w:cs="Arial"/>
          <w:b/>
          <w:color w:val="000000" w:themeColor="text1"/>
          <w:szCs w:val="16"/>
        </w:rPr>
      </w:pPr>
      <w:r w:rsidRPr="00781112">
        <w:rPr>
          <w:rFonts w:cs="Arial"/>
          <w:b/>
          <w:color w:val="000000" w:themeColor="text1"/>
          <w:szCs w:val="16"/>
        </w:rPr>
        <w:t>Provide a description of the review of policies, procedures, and practices relating to the development and implementation of IEPs, the use of positive behavioral interventions and supports, and procedural safeguards.</w:t>
      </w:r>
    </w:p>
    <w:p w14:paraId="7C9E83E6" w14:textId="40DED240" w:rsidR="00616510" w:rsidRPr="00781112" w:rsidRDefault="002B7490" w:rsidP="009C613A">
      <w:pPr>
        <w:rPr>
          <w:rFonts w:cs="Arial"/>
          <w:color w:val="000000" w:themeColor="text1"/>
          <w:szCs w:val="16"/>
        </w:rPr>
      </w:pPr>
      <w:r w:rsidRPr="00781112">
        <w:rPr>
          <w:rFonts w:cs="Arial"/>
          <w:color w:val="000000" w:themeColor="text1"/>
          <w:szCs w:val="16"/>
        </w:rPr>
        <w:t>Colorado did not conduct the review of policies, procedures, and practices, because there were no AUs identified as significantly discrepant.</w:t>
      </w:r>
    </w:p>
    <w:p w14:paraId="3F34C37B" w14:textId="77777777" w:rsidR="00616510" w:rsidRPr="00781112" w:rsidRDefault="00616510" w:rsidP="009C613A">
      <w:pPr>
        <w:rPr>
          <w:rFonts w:cs="Arial"/>
          <w:color w:val="000000" w:themeColor="text1"/>
          <w:szCs w:val="16"/>
        </w:rPr>
      </w:pPr>
    </w:p>
    <w:p w14:paraId="23CDB3C2" w14:textId="04EDADC3" w:rsidR="00616510" w:rsidRPr="00781112" w:rsidRDefault="00616510" w:rsidP="009C613A">
      <w:pPr>
        <w:rPr>
          <w:rFonts w:cs="Arial"/>
          <w:color w:val="000000" w:themeColor="text1"/>
          <w:szCs w:val="16"/>
        </w:rPr>
      </w:pPr>
      <w:r w:rsidRPr="00781112">
        <w:rPr>
          <w:rFonts w:cs="Arial"/>
          <w:color w:val="000000" w:themeColor="text1"/>
          <w:szCs w:val="16"/>
        </w:rPr>
        <w:t xml:space="preserve">The State DID NOT identify noncompliance with Part B requirements </w:t>
      </w:r>
      <w:proofErr w:type="gramStart"/>
      <w:r w:rsidRPr="00781112">
        <w:rPr>
          <w:rFonts w:cs="Arial"/>
          <w:color w:val="000000" w:themeColor="text1"/>
          <w:szCs w:val="16"/>
        </w:rPr>
        <w:t>as a result of</w:t>
      </w:r>
      <w:proofErr w:type="gramEnd"/>
      <w:r w:rsidRPr="00781112">
        <w:rPr>
          <w:rFonts w:cs="Arial"/>
          <w:color w:val="000000" w:themeColor="text1"/>
          <w:szCs w:val="16"/>
        </w:rPr>
        <w:t xml:space="preserve"> the review required by 34 CFR §300.170(b)</w:t>
      </w:r>
    </w:p>
    <w:p w14:paraId="3A779219" w14:textId="77777777" w:rsidR="00F9524E" w:rsidRPr="00781112" w:rsidRDefault="00F9524E">
      <w:pPr>
        <w:rPr>
          <w:b/>
          <w:color w:val="000000" w:themeColor="text1"/>
        </w:rPr>
      </w:pPr>
    </w:p>
    <w:p w14:paraId="54A274E0" w14:textId="3578C29F" w:rsidR="009A755E" w:rsidRPr="00781112" w:rsidRDefault="00450F98" w:rsidP="004369B2">
      <w:pPr>
        <w:rPr>
          <w:color w:val="000000" w:themeColor="text1"/>
        </w:rPr>
      </w:pPr>
      <w:r>
        <w:rPr>
          <w:b/>
          <w:color w:val="000000" w:themeColor="text1"/>
        </w:rPr>
        <w:t>Correction of Findings of Noncompliance Identified in FFY 2021</w:t>
      </w:r>
    </w:p>
    <w:tbl>
      <w:tblPr>
        <w:tblStyle w:val="TableGrid"/>
        <w:tblW w:w="5000" w:type="pct"/>
        <w:tblLook w:val="04A0" w:firstRow="1" w:lastRow="0" w:firstColumn="1" w:lastColumn="0" w:noHBand="0" w:noVBand="1"/>
        <w:tblCaption w:val="B04BPFFYNCFINDINGS"/>
      </w:tblPr>
      <w:tblGrid>
        <w:gridCol w:w="2613"/>
        <w:gridCol w:w="2743"/>
        <w:gridCol w:w="2620"/>
        <w:gridCol w:w="2814"/>
      </w:tblGrid>
      <w:tr w:rsidR="005C29F8" w:rsidRPr="00781112" w14:paraId="114A5055" w14:textId="77777777" w:rsidTr="00C570AA">
        <w:trPr>
          <w:trHeight w:val="389"/>
          <w:tblHeader/>
        </w:trPr>
        <w:tc>
          <w:tcPr>
            <w:tcW w:w="1211" w:type="pct"/>
            <w:shd w:val="clear" w:color="auto" w:fill="auto"/>
            <w:vAlign w:val="bottom"/>
          </w:tcPr>
          <w:p w14:paraId="776A9C2C" w14:textId="77777777" w:rsidR="009A755E" w:rsidRPr="00781112" w:rsidRDefault="009A755E" w:rsidP="009A755E">
            <w:pPr>
              <w:jc w:val="center"/>
              <w:rPr>
                <w:rFonts w:cs="Arial"/>
                <w:b/>
                <w:color w:val="000000" w:themeColor="text1"/>
                <w:szCs w:val="16"/>
              </w:rPr>
            </w:pPr>
            <w:r w:rsidRPr="00781112">
              <w:rPr>
                <w:rFonts w:cs="Arial"/>
                <w:b/>
                <w:color w:val="000000" w:themeColor="text1"/>
                <w:szCs w:val="16"/>
              </w:rPr>
              <w:lastRenderedPageBreak/>
              <w:t>Findings of Noncompliance Identified</w:t>
            </w:r>
          </w:p>
        </w:tc>
        <w:tc>
          <w:tcPr>
            <w:tcW w:w="1271" w:type="pct"/>
            <w:shd w:val="clear" w:color="auto" w:fill="auto"/>
            <w:vAlign w:val="bottom"/>
          </w:tcPr>
          <w:p w14:paraId="4FF64C47" w14:textId="77777777" w:rsidR="009A755E" w:rsidRPr="00781112" w:rsidRDefault="009A755E" w:rsidP="009A755E">
            <w:pPr>
              <w:jc w:val="center"/>
              <w:rPr>
                <w:rFonts w:cs="Arial"/>
                <w:b/>
                <w:color w:val="000000" w:themeColor="text1"/>
                <w:szCs w:val="16"/>
              </w:rPr>
            </w:pPr>
            <w:r w:rsidRPr="00781112">
              <w:rPr>
                <w:rFonts w:cs="Arial"/>
                <w:b/>
                <w:color w:val="000000" w:themeColor="text1"/>
                <w:szCs w:val="16"/>
              </w:rPr>
              <w:t>Findings of Noncompliance Verified as Corrected Within One Year</w:t>
            </w:r>
          </w:p>
        </w:tc>
        <w:tc>
          <w:tcPr>
            <w:tcW w:w="1214" w:type="pct"/>
            <w:shd w:val="clear" w:color="auto" w:fill="auto"/>
            <w:vAlign w:val="bottom"/>
          </w:tcPr>
          <w:p w14:paraId="36D92938" w14:textId="77777777" w:rsidR="009A755E" w:rsidRPr="00781112" w:rsidRDefault="009A755E" w:rsidP="009A755E">
            <w:pPr>
              <w:jc w:val="center"/>
              <w:rPr>
                <w:rFonts w:cs="Arial"/>
                <w:b/>
                <w:color w:val="000000" w:themeColor="text1"/>
                <w:szCs w:val="16"/>
              </w:rPr>
            </w:pPr>
            <w:r w:rsidRPr="00781112">
              <w:rPr>
                <w:rFonts w:cs="Arial"/>
                <w:b/>
                <w:color w:val="000000" w:themeColor="text1"/>
                <w:szCs w:val="16"/>
              </w:rPr>
              <w:t>Findings of Noncompliance Subsequently Corrected</w:t>
            </w:r>
          </w:p>
        </w:tc>
        <w:tc>
          <w:tcPr>
            <w:tcW w:w="1304" w:type="pct"/>
            <w:shd w:val="clear" w:color="auto" w:fill="auto"/>
            <w:vAlign w:val="bottom"/>
          </w:tcPr>
          <w:p w14:paraId="440F12A0" w14:textId="77777777" w:rsidR="009A755E" w:rsidRPr="00781112" w:rsidRDefault="009A755E" w:rsidP="009A755E">
            <w:pPr>
              <w:jc w:val="center"/>
              <w:rPr>
                <w:rFonts w:cs="Arial"/>
                <w:b/>
                <w:color w:val="000000" w:themeColor="text1"/>
                <w:szCs w:val="16"/>
              </w:rPr>
            </w:pPr>
            <w:r w:rsidRPr="00781112">
              <w:rPr>
                <w:rFonts w:cs="Arial"/>
                <w:b/>
                <w:color w:val="000000" w:themeColor="text1"/>
                <w:szCs w:val="16"/>
              </w:rPr>
              <w:t>Findings Not Yet Verified as Corrected</w:t>
            </w:r>
          </w:p>
        </w:tc>
      </w:tr>
      <w:tr w:rsidR="005C29F8" w:rsidRPr="00781112" w14:paraId="06AB2FBF" w14:textId="77777777" w:rsidTr="00C570AA">
        <w:tc>
          <w:tcPr>
            <w:tcW w:w="1211" w:type="pct"/>
            <w:shd w:val="clear" w:color="auto" w:fill="auto"/>
          </w:tcPr>
          <w:p w14:paraId="6AF875F0" w14:textId="0FD8621B" w:rsidR="009A755E" w:rsidRPr="00781112" w:rsidRDefault="002B7490" w:rsidP="00A018D4">
            <w:pPr>
              <w:jc w:val="center"/>
              <w:rPr>
                <w:rFonts w:cs="Arial"/>
                <w:color w:val="000000" w:themeColor="text1"/>
                <w:szCs w:val="16"/>
              </w:rPr>
            </w:pPr>
            <w:r w:rsidRPr="00781112">
              <w:rPr>
                <w:rFonts w:cs="Arial"/>
                <w:color w:val="000000" w:themeColor="text1"/>
                <w:szCs w:val="16"/>
              </w:rPr>
              <w:t>0</w:t>
            </w:r>
          </w:p>
        </w:tc>
        <w:tc>
          <w:tcPr>
            <w:tcW w:w="1271" w:type="pct"/>
            <w:shd w:val="clear" w:color="auto" w:fill="auto"/>
          </w:tcPr>
          <w:p w14:paraId="58D166B5" w14:textId="6ADFFC16" w:rsidR="009A755E" w:rsidRPr="00781112" w:rsidRDefault="002B7490" w:rsidP="00A018D4">
            <w:pPr>
              <w:jc w:val="center"/>
              <w:rPr>
                <w:rFonts w:cs="Arial"/>
                <w:color w:val="000000" w:themeColor="text1"/>
                <w:szCs w:val="16"/>
              </w:rPr>
            </w:pPr>
            <w:r w:rsidRPr="00781112">
              <w:rPr>
                <w:rFonts w:cs="Arial"/>
                <w:color w:val="000000" w:themeColor="text1"/>
                <w:szCs w:val="16"/>
              </w:rPr>
              <w:t>0</w:t>
            </w:r>
          </w:p>
        </w:tc>
        <w:tc>
          <w:tcPr>
            <w:tcW w:w="1214" w:type="pct"/>
            <w:shd w:val="clear" w:color="auto" w:fill="auto"/>
          </w:tcPr>
          <w:p w14:paraId="745E0498" w14:textId="77F90D3F" w:rsidR="009A755E" w:rsidRPr="00781112" w:rsidRDefault="002B7490" w:rsidP="00A018D4">
            <w:pPr>
              <w:jc w:val="center"/>
              <w:rPr>
                <w:rFonts w:cs="Arial"/>
                <w:color w:val="000000" w:themeColor="text1"/>
                <w:szCs w:val="16"/>
              </w:rPr>
            </w:pPr>
            <w:r w:rsidRPr="00781112">
              <w:rPr>
                <w:rFonts w:cs="Arial"/>
                <w:color w:val="000000" w:themeColor="text1"/>
                <w:szCs w:val="16"/>
              </w:rPr>
              <w:t>0</w:t>
            </w:r>
          </w:p>
        </w:tc>
        <w:tc>
          <w:tcPr>
            <w:tcW w:w="1304" w:type="pct"/>
            <w:shd w:val="clear" w:color="auto" w:fill="auto"/>
          </w:tcPr>
          <w:p w14:paraId="55E32910" w14:textId="7F6FD668" w:rsidR="009A755E" w:rsidRPr="00781112" w:rsidRDefault="002B7490" w:rsidP="00A018D4">
            <w:pPr>
              <w:jc w:val="center"/>
              <w:rPr>
                <w:rFonts w:cs="Arial"/>
                <w:color w:val="000000" w:themeColor="text1"/>
                <w:szCs w:val="16"/>
              </w:rPr>
            </w:pPr>
            <w:r w:rsidRPr="00781112">
              <w:rPr>
                <w:rFonts w:cs="Arial"/>
                <w:color w:val="000000" w:themeColor="text1"/>
                <w:szCs w:val="16"/>
              </w:rPr>
              <w:t>0</w:t>
            </w:r>
          </w:p>
        </w:tc>
      </w:tr>
    </w:tbl>
    <w:p w14:paraId="6CFB1826" w14:textId="755432D6" w:rsidR="009A755E" w:rsidRPr="00781112" w:rsidRDefault="00450F98" w:rsidP="004369B2">
      <w:pPr>
        <w:rPr>
          <w:color w:val="000000" w:themeColor="text1"/>
        </w:rPr>
      </w:pPr>
      <w:r>
        <w:rPr>
          <w:b/>
          <w:color w:val="000000" w:themeColor="text1"/>
        </w:rPr>
        <w:t>Correction of Findings of Noncompliance Identified Prior to FFY 2021</w:t>
      </w:r>
    </w:p>
    <w:tbl>
      <w:tblPr>
        <w:tblStyle w:val="TableGrid"/>
        <w:tblW w:w="5000" w:type="pct"/>
        <w:tblLook w:val="04A0" w:firstRow="1" w:lastRow="0" w:firstColumn="1" w:lastColumn="0" w:noHBand="0" w:noVBand="1"/>
        <w:tblCaption w:val="B04BPPFFYNCFINDINGS"/>
      </w:tblPr>
      <w:tblGrid>
        <w:gridCol w:w="1996"/>
        <w:gridCol w:w="2997"/>
        <w:gridCol w:w="2989"/>
        <w:gridCol w:w="2808"/>
      </w:tblGrid>
      <w:tr w:rsidR="005C29F8" w:rsidRPr="00781112" w14:paraId="00324CEE" w14:textId="77777777" w:rsidTr="00A05C13">
        <w:trPr>
          <w:tblHeader/>
        </w:trPr>
        <w:tc>
          <w:tcPr>
            <w:tcW w:w="925" w:type="pct"/>
            <w:shd w:val="clear" w:color="auto" w:fill="auto"/>
            <w:vAlign w:val="bottom"/>
          </w:tcPr>
          <w:p w14:paraId="77DA67D5" w14:textId="149F9136" w:rsidR="009A755E" w:rsidRPr="00781112" w:rsidRDefault="0016730D" w:rsidP="009A755E">
            <w:pPr>
              <w:jc w:val="center"/>
              <w:rPr>
                <w:rFonts w:cs="Arial"/>
                <w:b/>
                <w:color w:val="000000" w:themeColor="text1"/>
                <w:szCs w:val="16"/>
              </w:rPr>
            </w:pPr>
            <w:r w:rsidRPr="00781112">
              <w:rPr>
                <w:rFonts w:cs="Arial"/>
                <w:b/>
                <w:color w:val="000000" w:themeColor="text1"/>
                <w:szCs w:val="16"/>
              </w:rPr>
              <w:t>Year Findings of Noncompliance Were Identified</w:t>
            </w:r>
          </w:p>
        </w:tc>
        <w:tc>
          <w:tcPr>
            <w:tcW w:w="1389" w:type="pct"/>
            <w:shd w:val="clear" w:color="auto" w:fill="auto"/>
            <w:vAlign w:val="bottom"/>
          </w:tcPr>
          <w:p w14:paraId="10CE444D" w14:textId="3A2F38B9" w:rsidR="009A755E" w:rsidRPr="00781112" w:rsidRDefault="00450F98" w:rsidP="009A755E">
            <w:pPr>
              <w:jc w:val="center"/>
              <w:rPr>
                <w:rFonts w:cs="Arial"/>
                <w:b/>
                <w:color w:val="000000" w:themeColor="text1"/>
                <w:szCs w:val="16"/>
              </w:rPr>
            </w:pPr>
            <w:r>
              <w:rPr>
                <w:rFonts w:cs="Arial"/>
                <w:b/>
                <w:color w:val="000000" w:themeColor="text1"/>
                <w:szCs w:val="16"/>
              </w:rPr>
              <w:t>Findings of Noncompliance Not Yet Verified as Corrected as of FFY 2021 APR</w:t>
            </w:r>
          </w:p>
        </w:tc>
        <w:tc>
          <w:tcPr>
            <w:tcW w:w="1385" w:type="pct"/>
            <w:shd w:val="clear" w:color="auto" w:fill="auto"/>
            <w:vAlign w:val="bottom"/>
          </w:tcPr>
          <w:p w14:paraId="541F036E" w14:textId="77777777" w:rsidR="009A755E" w:rsidRPr="00781112" w:rsidRDefault="009A755E" w:rsidP="009A755E">
            <w:pPr>
              <w:jc w:val="center"/>
              <w:rPr>
                <w:rFonts w:cs="Arial"/>
                <w:b/>
                <w:color w:val="000000" w:themeColor="text1"/>
                <w:szCs w:val="16"/>
              </w:rPr>
            </w:pPr>
            <w:r w:rsidRPr="00781112">
              <w:rPr>
                <w:rFonts w:cs="Arial"/>
                <w:b/>
                <w:color w:val="000000" w:themeColor="text1"/>
                <w:szCs w:val="16"/>
              </w:rPr>
              <w:t>Findings of Noncompliance Verified as Corrected</w:t>
            </w:r>
          </w:p>
        </w:tc>
        <w:tc>
          <w:tcPr>
            <w:tcW w:w="1301" w:type="pct"/>
            <w:shd w:val="clear" w:color="auto" w:fill="auto"/>
            <w:vAlign w:val="bottom"/>
          </w:tcPr>
          <w:p w14:paraId="44D37B69" w14:textId="77777777" w:rsidR="009A755E" w:rsidRPr="00781112" w:rsidRDefault="009A755E" w:rsidP="009A755E">
            <w:pPr>
              <w:jc w:val="center"/>
              <w:rPr>
                <w:rFonts w:cs="Arial"/>
                <w:b/>
                <w:color w:val="000000" w:themeColor="text1"/>
                <w:szCs w:val="16"/>
              </w:rPr>
            </w:pPr>
            <w:r w:rsidRPr="00781112">
              <w:rPr>
                <w:rFonts w:cs="Arial"/>
                <w:b/>
                <w:color w:val="000000" w:themeColor="text1"/>
                <w:szCs w:val="16"/>
              </w:rPr>
              <w:t>Findings Not Yet Verified as Corrected</w:t>
            </w:r>
          </w:p>
        </w:tc>
      </w:tr>
      <w:tr w:rsidR="005C29F8" w:rsidRPr="00781112" w14:paraId="04FE0165" w14:textId="77777777" w:rsidTr="00A05C13">
        <w:tc>
          <w:tcPr>
            <w:tcW w:w="925" w:type="pct"/>
            <w:shd w:val="clear" w:color="auto" w:fill="auto"/>
          </w:tcPr>
          <w:p w14:paraId="24BDFB83" w14:textId="477472C3" w:rsidR="009A755E" w:rsidRPr="00781112" w:rsidRDefault="009A755E" w:rsidP="00A018D4">
            <w:pPr>
              <w:jc w:val="center"/>
              <w:rPr>
                <w:rFonts w:cs="Arial"/>
                <w:color w:val="000000" w:themeColor="text1"/>
                <w:szCs w:val="16"/>
              </w:rPr>
            </w:pPr>
          </w:p>
        </w:tc>
        <w:tc>
          <w:tcPr>
            <w:tcW w:w="1389" w:type="pct"/>
            <w:shd w:val="clear" w:color="auto" w:fill="auto"/>
          </w:tcPr>
          <w:p w14:paraId="27669B26" w14:textId="57CAFD92" w:rsidR="009A755E" w:rsidRPr="00781112" w:rsidRDefault="009A755E">
            <w:pPr>
              <w:jc w:val="center"/>
              <w:rPr>
                <w:rFonts w:cs="Arial"/>
                <w:noProof/>
                <w:color w:val="000000" w:themeColor="text1"/>
                <w:szCs w:val="16"/>
              </w:rPr>
            </w:pPr>
          </w:p>
        </w:tc>
        <w:tc>
          <w:tcPr>
            <w:tcW w:w="1385" w:type="pct"/>
            <w:shd w:val="clear" w:color="auto" w:fill="auto"/>
          </w:tcPr>
          <w:p w14:paraId="265AB867" w14:textId="6DD4A6E4" w:rsidR="009A755E" w:rsidRPr="00781112" w:rsidRDefault="009A755E">
            <w:pPr>
              <w:jc w:val="center"/>
              <w:rPr>
                <w:rFonts w:cs="Arial"/>
                <w:noProof/>
                <w:color w:val="000000" w:themeColor="text1"/>
                <w:szCs w:val="16"/>
              </w:rPr>
            </w:pPr>
          </w:p>
        </w:tc>
        <w:tc>
          <w:tcPr>
            <w:tcW w:w="1301" w:type="pct"/>
            <w:shd w:val="clear" w:color="auto" w:fill="auto"/>
          </w:tcPr>
          <w:p w14:paraId="016118B8" w14:textId="60E0958F" w:rsidR="009A755E" w:rsidRPr="00781112" w:rsidRDefault="009A755E">
            <w:pPr>
              <w:jc w:val="center"/>
              <w:rPr>
                <w:rFonts w:cs="Arial"/>
                <w:noProof/>
                <w:color w:val="000000" w:themeColor="text1"/>
                <w:szCs w:val="16"/>
              </w:rPr>
            </w:pPr>
          </w:p>
        </w:tc>
      </w:tr>
      <w:tr w:rsidR="005C29F8" w:rsidRPr="00781112" w14:paraId="06C2E448" w14:textId="77777777" w:rsidTr="00A05C13">
        <w:tc>
          <w:tcPr>
            <w:tcW w:w="925" w:type="pct"/>
            <w:shd w:val="clear" w:color="auto" w:fill="auto"/>
          </w:tcPr>
          <w:p w14:paraId="1F883C29" w14:textId="16901E48" w:rsidR="009A755E" w:rsidRPr="00781112" w:rsidRDefault="009A755E" w:rsidP="00A018D4">
            <w:pPr>
              <w:jc w:val="center"/>
              <w:rPr>
                <w:rFonts w:cs="Arial"/>
                <w:color w:val="000000" w:themeColor="text1"/>
                <w:szCs w:val="16"/>
              </w:rPr>
            </w:pPr>
          </w:p>
        </w:tc>
        <w:tc>
          <w:tcPr>
            <w:tcW w:w="1389" w:type="pct"/>
            <w:shd w:val="clear" w:color="auto" w:fill="auto"/>
          </w:tcPr>
          <w:p w14:paraId="4878C645" w14:textId="6B8E2DD3" w:rsidR="009A755E" w:rsidRPr="00781112" w:rsidRDefault="009A755E">
            <w:pPr>
              <w:jc w:val="center"/>
              <w:rPr>
                <w:rFonts w:cs="Arial"/>
                <w:noProof/>
                <w:color w:val="000000" w:themeColor="text1"/>
                <w:szCs w:val="16"/>
              </w:rPr>
            </w:pPr>
          </w:p>
        </w:tc>
        <w:tc>
          <w:tcPr>
            <w:tcW w:w="1385" w:type="pct"/>
            <w:shd w:val="clear" w:color="auto" w:fill="auto"/>
          </w:tcPr>
          <w:p w14:paraId="5C5B29A8" w14:textId="4F847347" w:rsidR="009A755E" w:rsidRPr="00781112" w:rsidRDefault="009A755E">
            <w:pPr>
              <w:jc w:val="center"/>
              <w:rPr>
                <w:rFonts w:cs="Arial"/>
                <w:noProof/>
                <w:color w:val="000000" w:themeColor="text1"/>
                <w:szCs w:val="16"/>
              </w:rPr>
            </w:pPr>
          </w:p>
        </w:tc>
        <w:tc>
          <w:tcPr>
            <w:tcW w:w="1301" w:type="pct"/>
            <w:shd w:val="clear" w:color="auto" w:fill="auto"/>
          </w:tcPr>
          <w:p w14:paraId="3059F96F" w14:textId="54D2C196" w:rsidR="009A755E" w:rsidRPr="00781112" w:rsidRDefault="009A755E">
            <w:pPr>
              <w:jc w:val="center"/>
              <w:rPr>
                <w:rFonts w:cs="Arial"/>
                <w:noProof/>
                <w:color w:val="000000" w:themeColor="text1"/>
                <w:szCs w:val="16"/>
              </w:rPr>
            </w:pPr>
          </w:p>
        </w:tc>
      </w:tr>
      <w:tr w:rsidR="005C29F8" w:rsidRPr="00781112" w14:paraId="270D86DF" w14:textId="77777777" w:rsidTr="00A05C13">
        <w:tc>
          <w:tcPr>
            <w:tcW w:w="925" w:type="pct"/>
            <w:shd w:val="clear" w:color="auto" w:fill="auto"/>
          </w:tcPr>
          <w:p w14:paraId="7DBC402C" w14:textId="659D0437" w:rsidR="009A755E" w:rsidRPr="00781112" w:rsidRDefault="009A755E" w:rsidP="00A018D4">
            <w:pPr>
              <w:jc w:val="center"/>
              <w:rPr>
                <w:rFonts w:cs="Arial"/>
                <w:color w:val="000000" w:themeColor="text1"/>
                <w:szCs w:val="16"/>
              </w:rPr>
            </w:pPr>
          </w:p>
        </w:tc>
        <w:tc>
          <w:tcPr>
            <w:tcW w:w="1389" w:type="pct"/>
            <w:shd w:val="clear" w:color="auto" w:fill="auto"/>
          </w:tcPr>
          <w:p w14:paraId="39F6C3A8" w14:textId="6AFAAA5E" w:rsidR="009A755E" w:rsidRPr="00781112" w:rsidRDefault="009A755E">
            <w:pPr>
              <w:jc w:val="center"/>
              <w:rPr>
                <w:rFonts w:cs="Arial"/>
                <w:noProof/>
                <w:color w:val="000000" w:themeColor="text1"/>
                <w:szCs w:val="16"/>
              </w:rPr>
            </w:pPr>
          </w:p>
        </w:tc>
        <w:tc>
          <w:tcPr>
            <w:tcW w:w="1385" w:type="pct"/>
            <w:shd w:val="clear" w:color="auto" w:fill="auto"/>
          </w:tcPr>
          <w:p w14:paraId="4ABCDE9F" w14:textId="61A85266" w:rsidR="009A755E" w:rsidRPr="00781112" w:rsidRDefault="009A755E">
            <w:pPr>
              <w:jc w:val="center"/>
              <w:rPr>
                <w:rFonts w:cs="Arial"/>
                <w:noProof/>
                <w:color w:val="000000" w:themeColor="text1"/>
                <w:szCs w:val="16"/>
              </w:rPr>
            </w:pPr>
          </w:p>
        </w:tc>
        <w:tc>
          <w:tcPr>
            <w:tcW w:w="1301" w:type="pct"/>
            <w:shd w:val="clear" w:color="auto" w:fill="auto"/>
          </w:tcPr>
          <w:p w14:paraId="4AB54464" w14:textId="0D8F01A9" w:rsidR="009A755E" w:rsidRPr="00781112" w:rsidRDefault="009A755E">
            <w:pPr>
              <w:jc w:val="center"/>
              <w:rPr>
                <w:rFonts w:cs="Arial"/>
                <w:noProof/>
                <w:color w:val="000000" w:themeColor="text1"/>
                <w:szCs w:val="16"/>
              </w:rPr>
            </w:pPr>
          </w:p>
        </w:tc>
      </w:tr>
      <w:tr w:rsidR="00A05C13" w:rsidRPr="00781112" w14:paraId="0B61333B" w14:textId="77777777" w:rsidTr="00A05C13">
        <w:tc>
          <w:tcPr>
            <w:tcW w:w="925" w:type="pct"/>
            <w:shd w:val="clear" w:color="auto" w:fill="auto"/>
          </w:tcPr>
          <w:p w14:paraId="39537DEC" w14:textId="0D3E2FC2" w:rsidR="00A05C13" w:rsidRPr="00781112" w:rsidRDefault="00A05C13" w:rsidP="00A05C13">
            <w:pPr>
              <w:jc w:val="center"/>
              <w:rPr>
                <w:rFonts w:cs="Arial"/>
                <w:color w:val="000000" w:themeColor="text1"/>
                <w:szCs w:val="16"/>
              </w:rPr>
            </w:pPr>
          </w:p>
        </w:tc>
        <w:tc>
          <w:tcPr>
            <w:tcW w:w="1389" w:type="pct"/>
            <w:shd w:val="clear" w:color="auto" w:fill="auto"/>
          </w:tcPr>
          <w:p w14:paraId="53129F60" w14:textId="202412F5" w:rsidR="00A05C13" w:rsidRPr="00781112" w:rsidRDefault="00A05C13" w:rsidP="00A05C13">
            <w:pPr>
              <w:jc w:val="center"/>
              <w:rPr>
                <w:rFonts w:cs="Arial"/>
                <w:color w:val="000000" w:themeColor="text1"/>
                <w:szCs w:val="16"/>
              </w:rPr>
            </w:pPr>
          </w:p>
        </w:tc>
        <w:tc>
          <w:tcPr>
            <w:tcW w:w="1385" w:type="pct"/>
            <w:shd w:val="clear" w:color="auto" w:fill="auto"/>
          </w:tcPr>
          <w:p w14:paraId="0C78FB26" w14:textId="7DB27739" w:rsidR="00A05C13" w:rsidRPr="00781112" w:rsidRDefault="00A05C13" w:rsidP="00A05C13">
            <w:pPr>
              <w:jc w:val="center"/>
              <w:rPr>
                <w:rFonts w:cs="Arial"/>
                <w:color w:val="000000" w:themeColor="text1"/>
                <w:szCs w:val="16"/>
              </w:rPr>
            </w:pPr>
          </w:p>
        </w:tc>
        <w:tc>
          <w:tcPr>
            <w:tcW w:w="1301" w:type="pct"/>
            <w:shd w:val="clear" w:color="auto" w:fill="auto"/>
          </w:tcPr>
          <w:p w14:paraId="1847890B" w14:textId="56C561F8" w:rsidR="00A05C13" w:rsidRPr="00781112" w:rsidRDefault="00A05C13" w:rsidP="00A05C13">
            <w:pPr>
              <w:jc w:val="center"/>
              <w:rPr>
                <w:rFonts w:cs="Arial"/>
                <w:color w:val="000000" w:themeColor="text1"/>
                <w:szCs w:val="16"/>
              </w:rPr>
            </w:pPr>
          </w:p>
        </w:tc>
      </w:tr>
      <w:tr w:rsidR="00A05C13" w:rsidRPr="00781112" w14:paraId="346DD6DC" w14:textId="77777777" w:rsidTr="00A05C13">
        <w:tc>
          <w:tcPr>
            <w:tcW w:w="925" w:type="pct"/>
            <w:shd w:val="clear" w:color="auto" w:fill="auto"/>
          </w:tcPr>
          <w:p w14:paraId="3BFCA85C" w14:textId="57850CEA" w:rsidR="00A05C13" w:rsidRPr="00781112" w:rsidRDefault="00A05C13" w:rsidP="00A05C13">
            <w:pPr>
              <w:jc w:val="center"/>
              <w:rPr>
                <w:rFonts w:cs="Arial"/>
                <w:color w:val="000000" w:themeColor="text1"/>
                <w:szCs w:val="16"/>
              </w:rPr>
            </w:pPr>
          </w:p>
        </w:tc>
        <w:tc>
          <w:tcPr>
            <w:tcW w:w="1389" w:type="pct"/>
            <w:shd w:val="clear" w:color="auto" w:fill="auto"/>
          </w:tcPr>
          <w:p w14:paraId="66D3AF4E" w14:textId="6CCBCADD" w:rsidR="00A05C13" w:rsidRPr="00781112" w:rsidRDefault="00A05C13" w:rsidP="00A05C13">
            <w:pPr>
              <w:jc w:val="center"/>
              <w:rPr>
                <w:rFonts w:cs="Arial"/>
                <w:color w:val="000000" w:themeColor="text1"/>
                <w:szCs w:val="16"/>
              </w:rPr>
            </w:pPr>
          </w:p>
        </w:tc>
        <w:tc>
          <w:tcPr>
            <w:tcW w:w="1385" w:type="pct"/>
            <w:shd w:val="clear" w:color="auto" w:fill="auto"/>
          </w:tcPr>
          <w:p w14:paraId="61F93407" w14:textId="5729642D" w:rsidR="00A05C13" w:rsidRPr="00781112" w:rsidRDefault="00A05C13" w:rsidP="00A05C13">
            <w:pPr>
              <w:jc w:val="center"/>
              <w:rPr>
                <w:rFonts w:cs="Arial"/>
                <w:color w:val="000000" w:themeColor="text1"/>
                <w:szCs w:val="16"/>
              </w:rPr>
            </w:pPr>
          </w:p>
        </w:tc>
        <w:tc>
          <w:tcPr>
            <w:tcW w:w="1301" w:type="pct"/>
            <w:shd w:val="clear" w:color="auto" w:fill="auto"/>
          </w:tcPr>
          <w:p w14:paraId="304DD194" w14:textId="15015B62" w:rsidR="00A05C13" w:rsidRPr="00781112" w:rsidRDefault="00A05C13" w:rsidP="00A05C13">
            <w:pPr>
              <w:jc w:val="center"/>
              <w:rPr>
                <w:rFonts w:cs="Arial"/>
                <w:color w:val="000000" w:themeColor="text1"/>
                <w:szCs w:val="16"/>
              </w:rPr>
            </w:pPr>
          </w:p>
        </w:tc>
      </w:tr>
    </w:tbl>
    <w:p w14:paraId="35A33865" w14:textId="77777777" w:rsidR="00A05C13" w:rsidRPr="00781112" w:rsidRDefault="00A05C13" w:rsidP="00C570AA">
      <w:pPr>
        <w:rPr>
          <w:rFonts w:cs="Arial"/>
          <w:color w:val="000000" w:themeColor="text1"/>
          <w:szCs w:val="16"/>
        </w:rPr>
      </w:pPr>
    </w:p>
    <w:p w14:paraId="7BCEF85B" w14:textId="62F9E93D" w:rsidR="004E2151" w:rsidRPr="00781112" w:rsidRDefault="00D11730" w:rsidP="008645AD">
      <w:pPr>
        <w:pStyle w:val="Heading2"/>
      </w:pPr>
      <w:r w:rsidRPr="00781112">
        <w:t>4B</w:t>
      </w:r>
      <w:r w:rsidR="00E90DE9" w:rsidRPr="00781112">
        <w:t xml:space="preserve"> </w:t>
      </w:r>
      <w:r w:rsidRPr="00781112">
        <w:t xml:space="preserve">- </w:t>
      </w:r>
      <w:r w:rsidR="004E2151" w:rsidRPr="00781112">
        <w:t>Prior FFY Required Actions</w:t>
      </w:r>
    </w:p>
    <w:p w14:paraId="60DC97B4" w14:textId="67376465" w:rsidR="009B02BC" w:rsidRPr="00781112" w:rsidRDefault="002B7490" w:rsidP="004E2151">
      <w:pPr>
        <w:rPr>
          <w:rFonts w:cs="Arial"/>
          <w:color w:val="000000" w:themeColor="text1"/>
          <w:szCs w:val="16"/>
        </w:rPr>
      </w:pPr>
      <w:r w:rsidRPr="00781112">
        <w:rPr>
          <w:rFonts w:cs="Arial"/>
          <w:color w:val="000000" w:themeColor="text1"/>
          <w:szCs w:val="16"/>
        </w:rPr>
        <w:t xml:space="preserve">In the FFY 2022 SPP/APR, the State must explain how its methodology is reasonably designed to determine if significant discrepancies, by race and ethnicity, are occurring in the rate of suspensions and expulsions of greater than 10 days in a school year for children with IEPs, including how the State’s LEAs are being examined for significant discrepancy, by race and ethnicity, under the State’s chosen methodology; and how the State’s threshold for measuring significant discrepancy, by race and ethnicity, in the rate of long-term suspensions and expulsions is reasonably designed. </w:t>
      </w:r>
    </w:p>
    <w:p w14:paraId="739A1EFB" w14:textId="16924450" w:rsidR="004E2151" w:rsidRPr="00781112" w:rsidRDefault="007639D7" w:rsidP="004369B2">
      <w:pPr>
        <w:rPr>
          <w:b/>
          <w:color w:val="000000" w:themeColor="text1"/>
        </w:rPr>
      </w:pPr>
      <w:r>
        <w:rPr>
          <w:b/>
          <w:color w:val="000000" w:themeColor="text1"/>
        </w:rPr>
        <w:t>Response to actions required in FFY 2021 SPP/APR</w:t>
      </w:r>
    </w:p>
    <w:p w14:paraId="7AA3834F" w14:textId="729EC2A3" w:rsidR="004E2151" w:rsidRPr="00781112" w:rsidRDefault="002B7490" w:rsidP="004E2151">
      <w:pPr>
        <w:rPr>
          <w:rFonts w:cs="Arial"/>
          <w:color w:val="000000" w:themeColor="text1"/>
          <w:szCs w:val="16"/>
        </w:rPr>
      </w:pPr>
      <w:r w:rsidRPr="00781112">
        <w:rPr>
          <w:rFonts w:cs="Arial"/>
          <w:color w:val="000000" w:themeColor="text1"/>
          <w:szCs w:val="16"/>
        </w:rPr>
        <w:t xml:space="preserve">On 9/26/2023, Colorado Department of Education (CDE), with support and in-person facilitation by staff from the IDEA Data Center (IDC), convened a broad stakeholder group composed of parent and community representatives from Colorado Disability Law, Advocacy Denver, the Arc of Colorado, PEAK Parent Cetner, and the Colorado State Education Advisory Counsil in addition to Special Education Directors. The </w:t>
      </w:r>
      <w:proofErr w:type="gramStart"/>
      <w:r w:rsidRPr="00781112">
        <w:rPr>
          <w:rFonts w:cs="Arial"/>
          <w:color w:val="000000" w:themeColor="text1"/>
          <w:szCs w:val="16"/>
        </w:rPr>
        <w:t>Indicator</w:t>
      </w:r>
      <w:proofErr w:type="gramEnd"/>
      <w:r w:rsidRPr="00781112">
        <w:rPr>
          <w:rFonts w:cs="Arial"/>
          <w:color w:val="000000" w:themeColor="text1"/>
          <w:szCs w:val="16"/>
        </w:rPr>
        <w:t xml:space="preserve"> 4A and 4B definitions and Colorado’s current calculations were explained in detail. IDC staff led a discussion on the intended outcomes on students and AUs of collecting and reporting this Indicator data. IDC presented various scenarios and the group examined the impact of each of the changes in determining significant discrepancies to the State’s methodology. IDC staff led a consensus building activity that led to the stakeholder recommendation to the state to:</w:t>
      </w:r>
      <w:r w:rsidRPr="00781112">
        <w:rPr>
          <w:rFonts w:cs="Arial"/>
          <w:color w:val="000000" w:themeColor="text1"/>
          <w:szCs w:val="16"/>
        </w:rPr>
        <w:br/>
        <w:t>1. Lower the threshold from 4 times the state’s rate to 1.5 times the state’s rate</w:t>
      </w:r>
      <w:r w:rsidRPr="00781112">
        <w:rPr>
          <w:rFonts w:cs="Arial"/>
          <w:color w:val="000000" w:themeColor="text1"/>
          <w:szCs w:val="16"/>
        </w:rPr>
        <w:br/>
        <w:t>2.</w:t>
      </w:r>
      <w:r w:rsidRPr="00781112">
        <w:rPr>
          <w:rFonts w:cs="Arial"/>
          <w:color w:val="000000" w:themeColor="text1"/>
          <w:szCs w:val="16"/>
        </w:rPr>
        <w:tab/>
        <w:t xml:space="preserve">Eliminate the 3-consecutive school years measurement period and use 1 school year </w:t>
      </w:r>
      <w:r w:rsidRPr="00781112">
        <w:rPr>
          <w:rFonts w:cs="Arial"/>
          <w:color w:val="000000" w:themeColor="text1"/>
          <w:szCs w:val="16"/>
        </w:rPr>
        <w:br/>
        <w:t>3. Minimum cell/n size of 5 or more students of a particular race category will remain unchanged</w:t>
      </w:r>
      <w:r w:rsidRPr="00781112">
        <w:rPr>
          <w:rFonts w:cs="Arial"/>
          <w:color w:val="000000" w:themeColor="text1"/>
          <w:szCs w:val="16"/>
        </w:rPr>
        <w:br/>
        <w:t>4.</w:t>
      </w:r>
      <w:r w:rsidRPr="00781112">
        <w:rPr>
          <w:rFonts w:cs="Arial"/>
          <w:color w:val="000000" w:themeColor="text1"/>
          <w:szCs w:val="16"/>
        </w:rPr>
        <w:tab/>
        <w:t xml:space="preserve">Since this is a compliance indicator, the target remains at 0%. </w:t>
      </w:r>
      <w:r w:rsidRPr="00781112">
        <w:rPr>
          <w:rFonts w:cs="Arial"/>
          <w:color w:val="000000" w:themeColor="text1"/>
          <w:szCs w:val="16"/>
        </w:rPr>
        <w:br/>
      </w:r>
      <w:r w:rsidRPr="00781112">
        <w:rPr>
          <w:rFonts w:cs="Arial"/>
          <w:color w:val="000000" w:themeColor="text1"/>
          <w:szCs w:val="16"/>
        </w:rPr>
        <w:br/>
        <w:t xml:space="preserve">The change to our threshold and removal of the consecutive school year requirement will result in a reasonably designed methodology to determine if significant discrepancies are occurring. </w:t>
      </w:r>
      <w:r w:rsidRPr="00781112">
        <w:rPr>
          <w:rFonts w:cs="Arial"/>
          <w:color w:val="000000" w:themeColor="text1"/>
          <w:szCs w:val="16"/>
        </w:rPr>
        <w:br/>
      </w:r>
      <w:r w:rsidRPr="00781112">
        <w:rPr>
          <w:rFonts w:cs="Arial"/>
          <w:color w:val="000000" w:themeColor="text1"/>
          <w:szCs w:val="16"/>
        </w:rPr>
        <w:br/>
        <w:t xml:space="preserve">These changes to Colorado’s definition of significant discrepancy and methodology were announced to AUs, publicly posted on our webpage, and will be effective with SY 2024-2025 reporting period. </w:t>
      </w:r>
      <w:r w:rsidRPr="00781112">
        <w:rPr>
          <w:rFonts w:cs="Arial"/>
          <w:color w:val="000000" w:themeColor="text1"/>
          <w:szCs w:val="16"/>
        </w:rPr>
        <w:br/>
      </w:r>
      <w:r w:rsidRPr="00781112">
        <w:rPr>
          <w:rFonts w:cs="Arial"/>
          <w:color w:val="000000" w:themeColor="text1"/>
          <w:szCs w:val="16"/>
        </w:rPr>
        <w:br/>
        <w:t>4B - Colorado’s definition of “significant discrepancy” and methodology effective SY 2024-2025</w:t>
      </w:r>
      <w:r w:rsidRPr="00781112">
        <w:rPr>
          <w:rFonts w:cs="Arial"/>
          <w:color w:val="000000" w:themeColor="text1"/>
          <w:szCs w:val="16"/>
        </w:rPr>
        <w:br/>
        <w:t>Colorado identifies an AU as having a “significant discrepancy” if: (a) five or more students of a particular racial category received greater-than-10-day out-of-school suspension/expulsion, and that race’s suspension/expulsion rate was more than 1.5 times of the State’s rate for the current reporting year; (b) the policies, practices, and procedures contributed to the significant discrepancy. The seven federal racial categories (i.e., White, Hispanic, Black, Native Americans, Pacific Islanders, Asians, and Two or more Races) are examined. Colorado examines more than 30% of its AUs each year (except for 2 years impacted by COVID).</w:t>
      </w:r>
      <w:r w:rsidRPr="00781112">
        <w:rPr>
          <w:rFonts w:cs="Arial"/>
          <w:color w:val="000000" w:themeColor="text1"/>
          <w:szCs w:val="16"/>
        </w:rPr>
        <w:br/>
        <w:t>a. FFY 2022 (SY 2021-22): 33 AUs met the minimum n size (51% of AUs)</w:t>
      </w:r>
      <w:r w:rsidRPr="00781112">
        <w:rPr>
          <w:rFonts w:cs="Arial"/>
          <w:color w:val="000000" w:themeColor="text1"/>
          <w:szCs w:val="16"/>
        </w:rPr>
        <w:br/>
        <w:t>b. FFY 2021 (SY 2020-21): 5 AUs met the minimum n size (COVID impact) (8% of AUs)</w:t>
      </w:r>
      <w:r w:rsidRPr="00781112">
        <w:rPr>
          <w:rFonts w:cs="Arial"/>
          <w:color w:val="000000" w:themeColor="text1"/>
          <w:szCs w:val="16"/>
        </w:rPr>
        <w:br/>
        <w:t>c. FFY 2020 (SY 2019-20): 15 AUs met the minimum n size (COVID impact) (23% of AUs)</w:t>
      </w:r>
      <w:r w:rsidRPr="00781112">
        <w:rPr>
          <w:rFonts w:cs="Arial"/>
          <w:color w:val="000000" w:themeColor="text1"/>
          <w:szCs w:val="16"/>
        </w:rPr>
        <w:br/>
        <w:t>d. FFY 2019 (SY 2018-19): 23 AUs met the minimum n size (35% of AUs)</w:t>
      </w:r>
    </w:p>
    <w:p w14:paraId="7562BCA8" w14:textId="2875B1E9" w:rsidR="005115D6" w:rsidRPr="00781112" w:rsidRDefault="00D11730" w:rsidP="008645AD">
      <w:pPr>
        <w:pStyle w:val="Heading2"/>
      </w:pPr>
      <w:r w:rsidRPr="00781112">
        <w:t>4B - OSEP Response</w:t>
      </w:r>
    </w:p>
    <w:p w14:paraId="489BF62D" w14:textId="19458AE8" w:rsidR="003C308E" w:rsidRPr="00781112" w:rsidRDefault="002B7490" w:rsidP="00212954">
      <w:pPr>
        <w:rPr>
          <w:rFonts w:cs="Arial"/>
          <w:color w:val="000000" w:themeColor="text1"/>
          <w:szCs w:val="16"/>
        </w:rPr>
      </w:pPr>
      <w:r w:rsidRPr="00781112">
        <w:rPr>
          <w:rFonts w:cs="Arial"/>
          <w:color w:val="000000" w:themeColor="text1"/>
          <w:szCs w:val="16"/>
        </w:rPr>
        <w:t>OSEP’s Required Actions in response to the State’s FFY 2021 SPP/APR required the State to explain, in its FFY 2022 SPP/APR, how its methodology is reasonably designed to determine if significant discrepancies, by race or ethnicity, are occurring in the rate of suspensions and expulsions of greater than 10 days in a school year for children with IEPs. In the FFY 2022 SPP/APR, the State indicated that it plans to review its methodology for this indicator. OSEP appreciates the State’s efforts. However, for the FFY 2022 SPP/APR, OSEP notes that the State's methodology continues to result in a threshold for measuring significant discrepancy, by race or ethnicity, in the rate of long-term suspension and expulsion rates of children with IEPs that falls above the median of thresholds used by all States. Therefore, OSEP could not determine whether the State's methodology is reasonably designed to determine significant discrepancies in the rate of long-term suspensions and expulsions for children with disabilities.</w:t>
      </w:r>
    </w:p>
    <w:p w14:paraId="4D6C35B1" w14:textId="16E26788" w:rsidR="005115D6" w:rsidRPr="00781112" w:rsidRDefault="00D11730" w:rsidP="008645AD">
      <w:pPr>
        <w:pStyle w:val="Heading2"/>
      </w:pPr>
      <w:r w:rsidRPr="00781112">
        <w:t>4B- Required Actions</w:t>
      </w:r>
    </w:p>
    <w:p w14:paraId="5DE261E4" w14:textId="20281C98" w:rsidR="003C308E" w:rsidRPr="00781112" w:rsidRDefault="002B7490" w:rsidP="00212954">
      <w:pPr>
        <w:rPr>
          <w:rFonts w:cs="Arial"/>
          <w:color w:val="000000" w:themeColor="text1"/>
          <w:szCs w:val="16"/>
        </w:rPr>
      </w:pPr>
      <w:r w:rsidRPr="00781112">
        <w:rPr>
          <w:rFonts w:cs="Arial"/>
          <w:color w:val="000000" w:themeColor="text1"/>
          <w:szCs w:val="16"/>
        </w:rPr>
        <w:t>In the FFY 2023 SPP/APR, the State must explain how its methodology is reasonably designed to determine if significant discrepancies, by race or ethnicity, are occurring in the rate of suspensions and expulsions of greater than 10 days in a school year for children with IEPs, including how the State's threshold for measuring significant discrepancy, by race or ethnicity, in the rate of long-term suspensions and expulsions is reasonably designed.</w:t>
      </w:r>
    </w:p>
    <w:p w14:paraId="4C9312F8" w14:textId="77777777" w:rsidR="00600E15" w:rsidRPr="00781112" w:rsidRDefault="00600E15">
      <w:pPr>
        <w:spacing w:before="0" w:after="200" w:line="276" w:lineRule="auto"/>
        <w:rPr>
          <w:rFonts w:eastAsiaTheme="majorEastAsia" w:cs="Arial"/>
          <w:b/>
          <w:bCs/>
          <w:color w:val="000000" w:themeColor="text1"/>
          <w:szCs w:val="16"/>
        </w:rPr>
      </w:pPr>
      <w:r w:rsidRPr="00781112">
        <w:rPr>
          <w:rFonts w:cs="Arial"/>
          <w:color w:val="000000" w:themeColor="text1"/>
          <w:szCs w:val="16"/>
        </w:rPr>
        <w:br w:type="page"/>
      </w:r>
    </w:p>
    <w:p w14:paraId="4F968F36" w14:textId="267D7207" w:rsidR="00D21EAA" w:rsidRPr="00781112" w:rsidRDefault="00D21EAA" w:rsidP="000444E2">
      <w:pPr>
        <w:pStyle w:val="Heading1"/>
        <w:rPr>
          <w:color w:val="000000" w:themeColor="text1"/>
          <w:sz w:val="22"/>
        </w:rPr>
      </w:pPr>
      <w:r w:rsidRPr="00781112">
        <w:rPr>
          <w:color w:val="000000" w:themeColor="text1"/>
          <w:sz w:val="22"/>
        </w:rPr>
        <w:lastRenderedPageBreak/>
        <w:t xml:space="preserve">Indicator 5: </w:t>
      </w:r>
      <w:bookmarkEnd w:id="12"/>
      <w:r w:rsidRPr="00781112">
        <w:rPr>
          <w:color w:val="000000" w:themeColor="text1"/>
          <w:sz w:val="22"/>
        </w:rPr>
        <w:t xml:space="preserve">Education Environments (children </w:t>
      </w:r>
      <w:r w:rsidR="00D35A49" w:rsidRPr="00781112">
        <w:rPr>
          <w:color w:val="000000" w:themeColor="text1"/>
          <w:sz w:val="22"/>
        </w:rPr>
        <w:t xml:space="preserve">5 (Kindergarten) </w:t>
      </w:r>
      <w:r w:rsidRPr="00781112">
        <w:rPr>
          <w:color w:val="000000" w:themeColor="text1"/>
          <w:sz w:val="22"/>
        </w:rPr>
        <w:t>-</w:t>
      </w:r>
      <w:r w:rsidR="00D35A49" w:rsidRPr="00781112">
        <w:rPr>
          <w:color w:val="000000" w:themeColor="text1"/>
          <w:sz w:val="22"/>
        </w:rPr>
        <w:t xml:space="preserve"> </w:t>
      </w:r>
      <w:r w:rsidRPr="00781112">
        <w:rPr>
          <w:color w:val="000000" w:themeColor="text1"/>
          <w:sz w:val="22"/>
        </w:rPr>
        <w:t>21)</w:t>
      </w:r>
      <w:bookmarkEnd w:id="19"/>
      <w:bookmarkEnd w:id="35"/>
    </w:p>
    <w:p w14:paraId="52AD89A1" w14:textId="77777777" w:rsidR="00775845" w:rsidRPr="00781112" w:rsidRDefault="00775845" w:rsidP="00A018D4">
      <w:pPr>
        <w:rPr>
          <w:color w:val="000000" w:themeColor="text1"/>
          <w:szCs w:val="20"/>
        </w:rPr>
      </w:pPr>
      <w:bookmarkStart w:id="36" w:name="_Toc392159295"/>
      <w:r w:rsidRPr="00781112">
        <w:rPr>
          <w:b/>
          <w:color w:val="000000" w:themeColor="text1"/>
          <w:sz w:val="20"/>
          <w:szCs w:val="20"/>
        </w:rPr>
        <w:t xml:space="preserve">Instructions and Measurement </w:t>
      </w:r>
    </w:p>
    <w:p w14:paraId="5E00F17E" w14:textId="149CBFE3" w:rsidR="00CC634E" w:rsidRPr="00781112" w:rsidRDefault="00CC634E" w:rsidP="004369B2">
      <w:pPr>
        <w:rPr>
          <w:color w:val="000000" w:themeColor="text1"/>
        </w:rPr>
      </w:pPr>
      <w:r w:rsidRPr="00781112">
        <w:rPr>
          <w:b/>
          <w:color w:val="000000" w:themeColor="text1"/>
        </w:rPr>
        <w:t>Monitoring Priority:</w:t>
      </w:r>
      <w:r w:rsidRPr="00781112">
        <w:rPr>
          <w:color w:val="000000" w:themeColor="text1"/>
        </w:rPr>
        <w:t xml:space="preserve"> FAPE in the LRE</w:t>
      </w:r>
    </w:p>
    <w:p w14:paraId="653D57AC" w14:textId="668073FD" w:rsidR="00CC634E" w:rsidRPr="00781112" w:rsidRDefault="00CC634E" w:rsidP="009A755E">
      <w:pPr>
        <w:rPr>
          <w:rFonts w:cs="Arial"/>
          <w:color w:val="000000" w:themeColor="text1"/>
          <w:szCs w:val="16"/>
        </w:rPr>
      </w:pPr>
      <w:r w:rsidRPr="00781112">
        <w:rPr>
          <w:rFonts w:cs="Arial"/>
          <w:b/>
          <w:color w:val="000000" w:themeColor="text1"/>
          <w:szCs w:val="16"/>
        </w:rPr>
        <w:t>Results indicator:</w:t>
      </w:r>
      <w:r w:rsidR="00131842" w:rsidRPr="00781112">
        <w:rPr>
          <w:rFonts w:cs="Arial"/>
          <w:color w:val="000000" w:themeColor="text1"/>
          <w:szCs w:val="16"/>
        </w:rPr>
        <w:t xml:space="preserve"> </w:t>
      </w:r>
      <w:r w:rsidRPr="00781112">
        <w:rPr>
          <w:rFonts w:cs="Arial"/>
          <w:color w:val="000000" w:themeColor="text1"/>
          <w:szCs w:val="16"/>
        </w:rPr>
        <w:t>Percent of children with IEPs aged</w:t>
      </w:r>
      <w:r w:rsidR="001E6A41" w:rsidRPr="00781112">
        <w:rPr>
          <w:rFonts w:cs="Arial"/>
          <w:color w:val="000000" w:themeColor="text1"/>
          <w:szCs w:val="16"/>
        </w:rPr>
        <w:t xml:space="preserve"> </w:t>
      </w:r>
      <w:r w:rsidR="001E6A41" w:rsidRPr="00781112">
        <w:rPr>
          <w:rFonts w:cs="Arial"/>
          <w:szCs w:val="16"/>
        </w:rPr>
        <w:t>5 who are enrolled in kindergarten and aged</w:t>
      </w:r>
      <w:r w:rsidRPr="00781112">
        <w:rPr>
          <w:rFonts w:cs="Arial"/>
          <w:color w:val="000000" w:themeColor="text1"/>
          <w:szCs w:val="16"/>
        </w:rPr>
        <w:t xml:space="preserve"> 6 through 21 served:</w:t>
      </w:r>
    </w:p>
    <w:p w14:paraId="7D5946B6" w14:textId="027B0899" w:rsidR="00CC634E" w:rsidRPr="00781112" w:rsidRDefault="00B9739D" w:rsidP="006A01BD">
      <w:pPr>
        <w:ind w:firstLine="720"/>
        <w:rPr>
          <w:rFonts w:cs="Arial"/>
          <w:color w:val="000000" w:themeColor="text1"/>
          <w:szCs w:val="16"/>
        </w:rPr>
      </w:pPr>
      <w:r w:rsidRPr="00781112">
        <w:rPr>
          <w:rFonts w:cs="Arial"/>
          <w:color w:val="000000" w:themeColor="text1"/>
          <w:szCs w:val="16"/>
        </w:rPr>
        <w:t xml:space="preserve">A. Inside the regular class 80% or more of the </w:t>
      </w:r>
      <w:proofErr w:type="gramStart"/>
      <w:r w:rsidRPr="00781112">
        <w:rPr>
          <w:rFonts w:cs="Arial"/>
          <w:color w:val="000000" w:themeColor="text1"/>
          <w:szCs w:val="16"/>
        </w:rPr>
        <w:t>day;</w:t>
      </w:r>
      <w:proofErr w:type="gramEnd"/>
    </w:p>
    <w:p w14:paraId="64FA9D2A" w14:textId="36742077" w:rsidR="00CC634E" w:rsidRPr="00781112" w:rsidRDefault="00B9739D" w:rsidP="006A01BD">
      <w:pPr>
        <w:ind w:firstLine="720"/>
        <w:rPr>
          <w:rFonts w:cs="Arial"/>
          <w:color w:val="000000" w:themeColor="text1"/>
          <w:szCs w:val="16"/>
        </w:rPr>
      </w:pPr>
      <w:r w:rsidRPr="00781112">
        <w:rPr>
          <w:rFonts w:cs="Arial"/>
          <w:color w:val="000000" w:themeColor="text1"/>
          <w:szCs w:val="16"/>
        </w:rPr>
        <w:t>B. Inside the regular class less than 40% of the day; and</w:t>
      </w:r>
    </w:p>
    <w:p w14:paraId="7D6C4792" w14:textId="4E458A42" w:rsidR="00CC634E" w:rsidRPr="00781112" w:rsidRDefault="00B9739D" w:rsidP="006A01BD">
      <w:pPr>
        <w:ind w:firstLine="720"/>
        <w:rPr>
          <w:rFonts w:cs="Arial"/>
          <w:color w:val="000000" w:themeColor="text1"/>
          <w:szCs w:val="16"/>
        </w:rPr>
      </w:pPr>
      <w:r w:rsidRPr="00781112">
        <w:rPr>
          <w:rFonts w:cs="Arial"/>
          <w:color w:val="000000" w:themeColor="text1"/>
          <w:szCs w:val="16"/>
        </w:rPr>
        <w:t>C. In separate schools, residential facilities, or homebound/hospital placements.</w:t>
      </w:r>
    </w:p>
    <w:p w14:paraId="7086FA15" w14:textId="47C5B9E3" w:rsidR="0011074D" w:rsidRPr="00781112" w:rsidRDefault="0011074D" w:rsidP="0011074D">
      <w:pPr>
        <w:rPr>
          <w:rFonts w:cs="Arial"/>
          <w:color w:val="000000" w:themeColor="text1"/>
          <w:szCs w:val="16"/>
        </w:rPr>
      </w:pPr>
      <w:r w:rsidRPr="00781112">
        <w:rPr>
          <w:rFonts w:cs="Arial"/>
          <w:color w:val="000000" w:themeColor="text1"/>
          <w:szCs w:val="16"/>
        </w:rPr>
        <w:t>(20 U.S.C. 1416(a)(3)(A))</w:t>
      </w:r>
    </w:p>
    <w:p w14:paraId="497EFC48" w14:textId="77777777" w:rsidR="001F6A28" w:rsidRPr="00781112" w:rsidRDefault="001F6A28" w:rsidP="004369B2">
      <w:pPr>
        <w:rPr>
          <w:color w:val="000000" w:themeColor="text1"/>
        </w:rPr>
      </w:pPr>
      <w:r w:rsidRPr="00781112">
        <w:rPr>
          <w:b/>
          <w:color w:val="000000" w:themeColor="text1"/>
        </w:rPr>
        <w:t>Data Source</w:t>
      </w:r>
    </w:p>
    <w:p w14:paraId="27A12343" w14:textId="1C2938A9" w:rsidR="001F6A28" w:rsidRPr="00781112" w:rsidRDefault="001F6A28" w:rsidP="00BB7BC9">
      <w:pPr>
        <w:rPr>
          <w:rFonts w:cs="Arial"/>
          <w:color w:val="000000" w:themeColor="text1"/>
          <w:szCs w:val="16"/>
        </w:rPr>
      </w:pPr>
      <w:r w:rsidRPr="00781112">
        <w:rPr>
          <w:rFonts w:cs="Arial"/>
          <w:color w:val="000000" w:themeColor="text1"/>
          <w:szCs w:val="16"/>
        </w:rPr>
        <w:t>S</w:t>
      </w:r>
      <w:r w:rsidRPr="00781112">
        <w:rPr>
          <w:rFonts w:cs="Arial"/>
          <w:color w:val="000000" w:themeColor="text1"/>
          <w:szCs w:val="16"/>
          <w:shd w:val="clear" w:color="auto" w:fill="FFFFFF"/>
        </w:rPr>
        <w:t>ame data as used for reporting to the Department under section 618 of the IDEA, using the definitions in ED</w:t>
      </w:r>
      <w:r w:rsidRPr="00BA3DBE">
        <w:rPr>
          <w:rFonts w:cs="Arial"/>
          <w:i/>
          <w:iCs/>
          <w:color w:val="000000" w:themeColor="text1"/>
          <w:szCs w:val="16"/>
          <w:shd w:val="clear" w:color="auto" w:fill="FFFFFF"/>
        </w:rPr>
        <w:t>Facts</w:t>
      </w:r>
      <w:r w:rsidRPr="00781112">
        <w:rPr>
          <w:rFonts w:cs="Arial"/>
          <w:color w:val="000000" w:themeColor="text1"/>
          <w:szCs w:val="16"/>
          <w:shd w:val="clear" w:color="auto" w:fill="FFFFFF"/>
        </w:rPr>
        <w:t xml:space="preserve"> file specification </w:t>
      </w:r>
      <w:r w:rsidR="00A95280" w:rsidRPr="00781112">
        <w:rPr>
          <w:rFonts w:cs="Arial"/>
          <w:color w:val="000000" w:themeColor="text1"/>
          <w:szCs w:val="16"/>
          <w:shd w:val="clear" w:color="auto" w:fill="FFFFFF"/>
        </w:rPr>
        <w:t>FS</w:t>
      </w:r>
      <w:r w:rsidRPr="00781112">
        <w:rPr>
          <w:rFonts w:cs="Arial"/>
          <w:color w:val="000000" w:themeColor="text1"/>
          <w:szCs w:val="16"/>
          <w:shd w:val="clear" w:color="auto" w:fill="FFFFFF"/>
        </w:rPr>
        <w:t>002.</w:t>
      </w:r>
    </w:p>
    <w:p w14:paraId="6BD2884B" w14:textId="77777777" w:rsidR="001F6A28" w:rsidRPr="00781112" w:rsidRDefault="001F6A28" w:rsidP="004369B2">
      <w:pPr>
        <w:rPr>
          <w:color w:val="000000" w:themeColor="text1"/>
        </w:rPr>
      </w:pPr>
      <w:r w:rsidRPr="00781112">
        <w:rPr>
          <w:b/>
          <w:color w:val="000000" w:themeColor="text1"/>
        </w:rPr>
        <w:t>Measurement</w:t>
      </w:r>
    </w:p>
    <w:p w14:paraId="29361C11" w14:textId="73521566" w:rsidR="001F6A28" w:rsidRPr="00781112" w:rsidRDefault="001E6A41" w:rsidP="00286BDF">
      <w:pPr>
        <w:rPr>
          <w:rFonts w:cs="Arial"/>
          <w:color w:val="000000" w:themeColor="text1"/>
          <w:szCs w:val="16"/>
        </w:rPr>
      </w:pPr>
      <w:r w:rsidRPr="00781112">
        <w:rPr>
          <w:rFonts w:cs="Arial"/>
          <w:color w:val="000000" w:themeColor="text1"/>
          <w:szCs w:val="16"/>
        </w:rPr>
        <w:tab/>
        <w:t>A. Percent</w:t>
      </w:r>
      <w:r w:rsidR="001F6A28" w:rsidRPr="00781112">
        <w:rPr>
          <w:rFonts w:cs="Arial"/>
          <w:color w:val="000000" w:themeColor="text1"/>
          <w:szCs w:val="16"/>
          <w:shd w:val="clear" w:color="auto" w:fill="FFFFFF"/>
        </w:rPr>
        <w:t xml:space="preserve"> = </w:t>
      </w:r>
      <w:r w:rsidR="00A33668" w:rsidRPr="00781112">
        <w:rPr>
          <w:rFonts w:cs="Arial"/>
          <w:color w:val="000000" w:themeColor="text1"/>
          <w:szCs w:val="16"/>
          <w:shd w:val="clear" w:color="auto" w:fill="FFFFFF"/>
        </w:rPr>
        <w:t xml:space="preserve">[(# </w:t>
      </w:r>
      <w:r w:rsidR="001F6A28" w:rsidRPr="00781112">
        <w:rPr>
          <w:rFonts w:cs="Arial"/>
          <w:color w:val="000000" w:themeColor="text1"/>
          <w:szCs w:val="16"/>
          <w:shd w:val="clear" w:color="auto" w:fill="FFFFFF"/>
        </w:rPr>
        <w:t xml:space="preserve">of children with IEPs aged </w:t>
      </w:r>
      <w:r w:rsidR="00E97CD6" w:rsidRPr="00781112">
        <w:rPr>
          <w:rFonts w:cs="Arial"/>
          <w:szCs w:val="16"/>
        </w:rPr>
        <w:t xml:space="preserve">5 who are enrolled in kindergarten and aged </w:t>
      </w:r>
      <w:r w:rsidR="001F6A28" w:rsidRPr="00781112">
        <w:rPr>
          <w:rFonts w:cs="Arial"/>
          <w:color w:val="000000" w:themeColor="text1"/>
          <w:szCs w:val="16"/>
          <w:shd w:val="clear" w:color="auto" w:fill="FFFFFF"/>
        </w:rPr>
        <w:t xml:space="preserve">6 through 21 served inside the regular class 80% or </w:t>
      </w:r>
      <w:r w:rsidR="00AE5A55">
        <w:rPr>
          <w:rFonts w:cs="Arial"/>
          <w:color w:val="000000" w:themeColor="text1"/>
          <w:szCs w:val="16"/>
          <w:shd w:val="clear" w:color="auto" w:fill="FFFFFF"/>
        </w:rPr>
        <w:tab/>
      </w:r>
      <w:r w:rsidR="001F6A28" w:rsidRPr="00781112">
        <w:rPr>
          <w:rFonts w:cs="Arial"/>
          <w:color w:val="000000" w:themeColor="text1"/>
          <w:szCs w:val="16"/>
          <w:shd w:val="clear" w:color="auto" w:fill="FFFFFF"/>
        </w:rPr>
        <w:t xml:space="preserve">more of the day) divided by the (total # of students aged </w:t>
      </w:r>
      <w:r w:rsidR="00633044" w:rsidRPr="00781112">
        <w:rPr>
          <w:rFonts w:cs="Arial"/>
          <w:szCs w:val="16"/>
        </w:rPr>
        <w:t xml:space="preserve">5 who are enrolled in kindergarten and aged </w:t>
      </w:r>
      <w:r w:rsidR="001F6A28" w:rsidRPr="00781112">
        <w:rPr>
          <w:rFonts w:cs="Arial"/>
          <w:color w:val="000000" w:themeColor="text1"/>
          <w:szCs w:val="16"/>
          <w:shd w:val="clear" w:color="auto" w:fill="FFFFFF"/>
        </w:rPr>
        <w:t>6 through 21 with IEPs</w:t>
      </w:r>
      <w:r w:rsidR="00A33668" w:rsidRPr="00781112">
        <w:rPr>
          <w:rFonts w:cs="Arial"/>
          <w:color w:val="000000" w:themeColor="text1"/>
          <w:szCs w:val="16"/>
          <w:shd w:val="clear" w:color="auto" w:fill="FFFFFF"/>
        </w:rPr>
        <w:t xml:space="preserve">)] </w:t>
      </w:r>
      <w:r w:rsidR="001F6A28" w:rsidRPr="00781112">
        <w:rPr>
          <w:rFonts w:cs="Arial"/>
          <w:color w:val="000000" w:themeColor="text1"/>
          <w:szCs w:val="16"/>
          <w:shd w:val="clear" w:color="auto" w:fill="FFFFFF"/>
        </w:rPr>
        <w:t>times 100.</w:t>
      </w:r>
    </w:p>
    <w:p w14:paraId="1AC31DB2" w14:textId="62755B33" w:rsidR="001F6A28" w:rsidRPr="00781112" w:rsidRDefault="001E6A41" w:rsidP="00286BDF">
      <w:pPr>
        <w:rPr>
          <w:rFonts w:cs="Arial"/>
          <w:color w:val="000000" w:themeColor="text1"/>
          <w:szCs w:val="16"/>
        </w:rPr>
      </w:pPr>
      <w:r w:rsidRPr="00781112">
        <w:rPr>
          <w:rFonts w:cs="Arial"/>
          <w:color w:val="000000" w:themeColor="text1"/>
          <w:szCs w:val="16"/>
        </w:rPr>
        <w:tab/>
        <w:t xml:space="preserve">B. Percent </w:t>
      </w:r>
      <w:r w:rsidR="00DB1150" w:rsidRPr="00781112">
        <w:rPr>
          <w:rFonts w:cs="Arial"/>
          <w:color w:val="000000" w:themeColor="text1"/>
          <w:szCs w:val="16"/>
          <w:shd w:val="clear" w:color="auto" w:fill="FFFFFF"/>
        </w:rPr>
        <w:t>=</w:t>
      </w:r>
      <w:r w:rsidR="001F6A28" w:rsidRPr="00781112">
        <w:rPr>
          <w:rFonts w:cs="Arial"/>
          <w:color w:val="000000" w:themeColor="text1"/>
          <w:szCs w:val="16"/>
          <w:shd w:val="clear" w:color="auto" w:fill="FFFFFF"/>
        </w:rPr>
        <w:t xml:space="preserve"> </w:t>
      </w:r>
      <w:r w:rsidR="00A33668" w:rsidRPr="00781112">
        <w:rPr>
          <w:rFonts w:cs="Arial"/>
          <w:color w:val="000000" w:themeColor="text1"/>
          <w:szCs w:val="16"/>
          <w:shd w:val="clear" w:color="auto" w:fill="FFFFFF"/>
        </w:rPr>
        <w:t xml:space="preserve">[(# </w:t>
      </w:r>
      <w:r w:rsidR="001F6A28" w:rsidRPr="00781112">
        <w:rPr>
          <w:rFonts w:cs="Arial"/>
          <w:color w:val="000000" w:themeColor="text1"/>
          <w:szCs w:val="16"/>
          <w:shd w:val="clear" w:color="auto" w:fill="FFFFFF"/>
        </w:rPr>
        <w:t>of children with IEPs aged</w:t>
      </w:r>
      <w:r w:rsidR="00E97CD6" w:rsidRPr="00781112">
        <w:rPr>
          <w:rFonts w:cs="Arial"/>
          <w:color w:val="000000" w:themeColor="text1"/>
          <w:szCs w:val="16"/>
          <w:shd w:val="clear" w:color="auto" w:fill="FFFFFF"/>
        </w:rPr>
        <w:t xml:space="preserve"> </w:t>
      </w:r>
      <w:r w:rsidR="00E97CD6" w:rsidRPr="00781112">
        <w:rPr>
          <w:rFonts w:cs="Arial"/>
          <w:szCs w:val="16"/>
        </w:rPr>
        <w:t>5 who are enrolled in kindergarten and aged</w:t>
      </w:r>
      <w:r w:rsidR="001F6A28" w:rsidRPr="00781112">
        <w:rPr>
          <w:rFonts w:cs="Arial"/>
          <w:color w:val="000000" w:themeColor="text1"/>
          <w:szCs w:val="16"/>
          <w:shd w:val="clear" w:color="auto" w:fill="FFFFFF"/>
        </w:rPr>
        <w:t xml:space="preserve"> 6 through 21 served inside the regular class less than </w:t>
      </w:r>
      <w:r w:rsidR="00E97CD6" w:rsidRPr="00781112">
        <w:rPr>
          <w:rFonts w:cs="Arial"/>
          <w:color w:val="000000" w:themeColor="text1"/>
          <w:szCs w:val="16"/>
          <w:shd w:val="clear" w:color="auto" w:fill="FFFFFF"/>
        </w:rPr>
        <w:tab/>
      </w:r>
      <w:r w:rsidR="001F6A28" w:rsidRPr="00781112">
        <w:rPr>
          <w:rFonts w:cs="Arial"/>
          <w:color w:val="000000" w:themeColor="text1"/>
          <w:szCs w:val="16"/>
          <w:shd w:val="clear" w:color="auto" w:fill="FFFFFF"/>
        </w:rPr>
        <w:t xml:space="preserve">40% of the day) divided by the (total # of students aged </w:t>
      </w:r>
      <w:r w:rsidR="00633044" w:rsidRPr="00781112">
        <w:rPr>
          <w:rFonts w:cs="Arial"/>
          <w:szCs w:val="16"/>
        </w:rPr>
        <w:t xml:space="preserve">5 who are enrolled in kindergarten and aged </w:t>
      </w:r>
      <w:r w:rsidR="001F6A28" w:rsidRPr="00781112">
        <w:rPr>
          <w:rFonts w:cs="Arial"/>
          <w:color w:val="000000" w:themeColor="text1"/>
          <w:szCs w:val="16"/>
          <w:shd w:val="clear" w:color="auto" w:fill="FFFFFF"/>
        </w:rPr>
        <w:t>6 through 21 with IEPs</w:t>
      </w:r>
      <w:r w:rsidR="00A33668" w:rsidRPr="00781112">
        <w:rPr>
          <w:rFonts w:cs="Arial"/>
          <w:color w:val="000000" w:themeColor="text1"/>
          <w:szCs w:val="16"/>
          <w:shd w:val="clear" w:color="auto" w:fill="FFFFFF"/>
        </w:rPr>
        <w:t xml:space="preserve">)] </w:t>
      </w:r>
      <w:r w:rsidR="001F6A28" w:rsidRPr="00781112">
        <w:rPr>
          <w:rFonts w:cs="Arial"/>
          <w:color w:val="000000" w:themeColor="text1"/>
          <w:szCs w:val="16"/>
          <w:shd w:val="clear" w:color="auto" w:fill="FFFFFF"/>
        </w:rPr>
        <w:t>times 100.</w:t>
      </w:r>
    </w:p>
    <w:p w14:paraId="32E65458" w14:textId="2F0BF007" w:rsidR="001F6A28" w:rsidRPr="00781112" w:rsidRDefault="001E6A41" w:rsidP="00286BDF">
      <w:pPr>
        <w:rPr>
          <w:rFonts w:cs="Arial"/>
          <w:color w:val="000000" w:themeColor="text1"/>
          <w:szCs w:val="16"/>
        </w:rPr>
      </w:pPr>
      <w:r w:rsidRPr="00781112">
        <w:rPr>
          <w:rFonts w:cs="Arial"/>
          <w:color w:val="000000" w:themeColor="text1"/>
          <w:szCs w:val="16"/>
        </w:rPr>
        <w:tab/>
        <w:t>C. P</w:t>
      </w:r>
      <w:r w:rsidR="001F6A28" w:rsidRPr="00781112">
        <w:rPr>
          <w:rFonts w:cs="Arial"/>
          <w:color w:val="000000" w:themeColor="text1"/>
          <w:szCs w:val="16"/>
          <w:shd w:val="clear" w:color="auto" w:fill="FFFFFF"/>
        </w:rPr>
        <w:t xml:space="preserve">ercent = </w:t>
      </w:r>
      <w:r w:rsidR="00A33668" w:rsidRPr="00781112">
        <w:rPr>
          <w:rFonts w:cs="Arial"/>
          <w:color w:val="000000" w:themeColor="text1"/>
          <w:szCs w:val="16"/>
          <w:shd w:val="clear" w:color="auto" w:fill="FFFFFF"/>
        </w:rPr>
        <w:t xml:space="preserve">[(# </w:t>
      </w:r>
      <w:r w:rsidR="001F6A28" w:rsidRPr="00781112">
        <w:rPr>
          <w:rFonts w:cs="Arial"/>
          <w:color w:val="000000" w:themeColor="text1"/>
          <w:szCs w:val="16"/>
          <w:shd w:val="clear" w:color="auto" w:fill="FFFFFF"/>
        </w:rPr>
        <w:t xml:space="preserve">of children with IEPs aged </w:t>
      </w:r>
      <w:r w:rsidR="00E97CD6" w:rsidRPr="00781112">
        <w:rPr>
          <w:rFonts w:cs="Arial"/>
          <w:szCs w:val="16"/>
        </w:rPr>
        <w:t xml:space="preserve">5 who are enrolled in kindergarten and aged </w:t>
      </w:r>
      <w:r w:rsidR="001F6A28" w:rsidRPr="00781112">
        <w:rPr>
          <w:rFonts w:cs="Arial"/>
          <w:color w:val="000000" w:themeColor="text1"/>
          <w:szCs w:val="16"/>
          <w:shd w:val="clear" w:color="auto" w:fill="FFFFFF"/>
        </w:rPr>
        <w:t xml:space="preserve">6 through 21 served in separate schools, residential </w:t>
      </w:r>
      <w:r w:rsidR="00E97CD6" w:rsidRPr="00781112">
        <w:rPr>
          <w:rFonts w:cs="Arial"/>
          <w:color w:val="000000" w:themeColor="text1"/>
          <w:szCs w:val="16"/>
          <w:shd w:val="clear" w:color="auto" w:fill="FFFFFF"/>
        </w:rPr>
        <w:tab/>
      </w:r>
      <w:r w:rsidR="001F6A28" w:rsidRPr="00781112">
        <w:rPr>
          <w:rFonts w:cs="Arial"/>
          <w:color w:val="000000" w:themeColor="text1"/>
          <w:szCs w:val="16"/>
          <w:shd w:val="clear" w:color="auto" w:fill="FFFFFF"/>
        </w:rPr>
        <w:t xml:space="preserve">facilities, or homebound/hospital placements) divided by the (total # of students aged </w:t>
      </w:r>
      <w:r w:rsidR="00633044" w:rsidRPr="00781112">
        <w:rPr>
          <w:rFonts w:cs="Arial"/>
          <w:szCs w:val="16"/>
        </w:rPr>
        <w:t xml:space="preserve">5 who are enrolled in kindergarten and aged </w:t>
      </w:r>
      <w:r w:rsidR="001F6A28" w:rsidRPr="00781112">
        <w:rPr>
          <w:rFonts w:cs="Arial"/>
          <w:color w:val="000000" w:themeColor="text1"/>
          <w:szCs w:val="16"/>
          <w:shd w:val="clear" w:color="auto" w:fill="FFFFFF"/>
        </w:rPr>
        <w:t xml:space="preserve">6 through </w:t>
      </w:r>
      <w:r w:rsidR="00AE5A55">
        <w:rPr>
          <w:rFonts w:cs="Arial"/>
          <w:color w:val="000000" w:themeColor="text1"/>
          <w:szCs w:val="16"/>
          <w:shd w:val="clear" w:color="auto" w:fill="FFFFFF"/>
        </w:rPr>
        <w:tab/>
      </w:r>
      <w:r w:rsidR="001F6A28" w:rsidRPr="00781112">
        <w:rPr>
          <w:rFonts w:cs="Arial"/>
          <w:color w:val="000000" w:themeColor="text1"/>
          <w:szCs w:val="16"/>
          <w:shd w:val="clear" w:color="auto" w:fill="FFFFFF"/>
        </w:rPr>
        <w:t>21 with IEPs</w:t>
      </w:r>
      <w:proofErr w:type="gramStart"/>
      <w:r w:rsidR="00A33668" w:rsidRPr="00781112">
        <w:rPr>
          <w:rFonts w:cs="Arial"/>
          <w:color w:val="000000" w:themeColor="text1"/>
          <w:szCs w:val="16"/>
          <w:shd w:val="clear" w:color="auto" w:fill="FFFFFF"/>
        </w:rPr>
        <w:t>)]</w:t>
      </w:r>
      <w:r w:rsidR="001F6A28" w:rsidRPr="00781112">
        <w:rPr>
          <w:rFonts w:cs="Arial"/>
          <w:color w:val="000000" w:themeColor="text1"/>
          <w:szCs w:val="16"/>
          <w:shd w:val="clear" w:color="auto" w:fill="FFFFFF"/>
        </w:rPr>
        <w:t>times</w:t>
      </w:r>
      <w:proofErr w:type="gramEnd"/>
      <w:r w:rsidR="001F6A28" w:rsidRPr="00781112">
        <w:rPr>
          <w:rFonts w:cs="Arial"/>
          <w:color w:val="000000" w:themeColor="text1"/>
          <w:szCs w:val="16"/>
          <w:shd w:val="clear" w:color="auto" w:fill="FFFFFF"/>
        </w:rPr>
        <w:t xml:space="preserve"> 100.</w:t>
      </w:r>
    </w:p>
    <w:p w14:paraId="06AD540D" w14:textId="77777777" w:rsidR="001F6A28" w:rsidRPr="00781112" w:rsidRDefault="001F6A28" w:rsidP="004369B2">
      <w:pPr>
        <w:rPr>
          <w:color w:val="000000" w:themeColor="text1"/>
        </w:rPr>
      </w:pPr>
      <w:r w:rsidRPr="00781112">
        <w:rPr>
          <w:b/>
          <w:color w:val="000000" w:themeColor="text1"/>
        </w:rPr>
        <w:t>Instructions</w:t>
      </w:r>
    </w:p>
    <w:p w14:paraId="37FC98B2" w14:textId="35D136AD" w:rsidR="001F6A28" w:rsidRPr="00781112" w:rsidRDefault="001F6A28" w:rsidP="00BB7BC9">
      <w:pPr>
        <w:rPr>
          <w:rFonts w:cs="Arial"/>
          <w:i/>
          <w:iCs/>
          <w:color w:val="000000" w:themeColor="text1"/>
          <w:szCs w:val="16"/>
        </w:rPr>
      </w:pPr>
      <w:r w:rsidRPr="00781112">
        <w:rPr>
          <w:rFonts w:cs="Arial"/>
          <w:i/>
          <w:iCs/>
          <w:color w:val="000000" w:themeColor="text1"/>
          <w:szCs w:val="16"/>
        </w:rPr>
        <w:t>Sampling from the State’s 618 data is not allowed.</w:t>
      </w:r>
    </w:p>
    <w:p w14:paraId="038ECB6A" w14:textId="77777777" w:rsidR="00085D61" w:rsidRDefault="007072DC" w:rsidP="00BB7BC9">
      <w:pPr>
        <w:rPr>
          <w:rFonts w:cs="Arial"/>
          <w:szCs w:val="16"/>
        </w:rPr>
      </w:pPr>
      <w:r w:rsidRPr="00781112">
        <w:rPr>
          <w:rFonts w:cs="Arial"/>
          <w:szCs w:val="16"/>
        </w:rPr>
        <w:t>States must report five-year-old children with disabilities who are enrolled in kindergarten in this indicator. Five-year-old children with disabilities who are enrolled in preschool programs are included in Indicator 6.</w:t>
      </w:r>
    </w:p>
    <w:p w14:paraId="707ABAC1" w14:textId="4440C33D" w:rsidR="001F6A28" w:rsidRPr="00781112" w:rsidRDefault="001F6A28" w:rsidP="00BB7BC9">
      <w:pPr>
        <w:rPr>
          <w:rFonts w:cs="Arial"/>
          <w:color w:val="000000" w:themeColor="text1"/>
          <w:szCs w:val="16"/>
        </w:rPr>
      </w:pPr>
      <w:r w:rsidRPr="00781112">
        <w:rPr>
          <w:rFonts w:cs="Arial"/>
          <w:color w:val="000000" w:themeColor="text1"/>
          <w:szCs w:val="16"/>
        </w:rPr>
        <w:t>Describe the results of the calculations and compare the results to the target.</w:t>
      </w:r>
    </w:p>
    <w:p w14:paraId="2F5B7301" w14:textId="3493AFBE" w:rsidR="001F6A28" w:rsidRPr="00781112" w:rsidRDefault="001F6A28" w:rsidP="00BB7BC9">
      <w:pPr>
        <w:rPr>
          <w:rFonts w:cs="Arial"/>
          <w:color w:val="000000" w:themeColor="text1"/>
          <w:szCs w:val="16"/>
        </w:rPr>
      </w:pPr>
      <w:r w:rsidRPr="00781112">
        <w:rPr>
          <w:rFonts w:cs="Arial"/>
          <w:color w:val="000000" w:themeColor="text1"/>
          <w:szCs w:val="16"/>
        </w:rPr>
        <w:t>If the data reported in this indicator are not the same as the State’s data reported under section 618 of the IDEA, explain.</w:t>
      </w:r>
    </w:p>
    <w:p w14:paraId="782EB5F0" w14:textId="4775DE89" w:rsidR="00476EA2" w:rsidRPr="00781112" w:rsidRDefault="007B5383" w:rsidP="008645AD">
      <w:pPr>
        <w:pStyle w:val="Heading2"/>
      </w:pPr>
      <w:r w:rsidRPr="00781112">
        <w:t>5</w:t>
      </w:r>
      <w:r w:rsidR="002203FA" w:rsidRPr="00781112">
        <w:t xml:space="preserve"> </w:t>
      </w:r>
      <w:r w:rsidRPr="00781112">
        <w:t xml:space="preserve">- </w:t>
      </w:r>
      <w:r w:rsidR="00A44506" w:rsidRPr="00781112">
        <w:t>Indicator Data</w:t>
      </w:r>
      <w:r w:rsidR="00476EA2" w:rsidRPr="00781112">
        <w:t xml:space="preserve"> </w:t>
      </w:r>
    </w:p>
    <w:bookmarkEnd w:id="36"/>
    <w:p w14:paraId="5DFCDD59" w14:textId="5ABA842A" w:rsidR="00CC634E" w:rsidRPr="00781112" w:rsidRDefault="00CC634E" w:rsidP="004369B2">
      <w:pPr>
        <w:rPr>
          <w:color w:val="000000" w:themeColor="text1"/>
        </w:rPr>
      </w:pPr>
      <w:r w:rsidRPr="00781112">
        <w:rPr>
          <w:b/>
          <w:color w:val="000000" w:themeColor="text1"/>
        </w:rPr>
        <w:t>Historical Data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B05HISTDATA"/>
      </w:tblPr>
      <w:tblGrid>
        <w:gridCol w:w="536"/>
        <w:gridCol w:w="1464"/>
        <w:gridCol w:w="1465"/>
        <w:gridCol w:w="1465"/>
        <w:gridCol w:w="1465"/>
        <w:gridCol w:w="1465"/>
        <w:gridCol w:w="1465"/>
        <w:gridCol w:w="1465"/>
      </w:tblGrid>
      <w:tr w:rsidR="00483ABB" w:rsidRPr="00781112" w14:paraId="630BF46A" w14:textId="12CF291C" w:rsidTr="005F5FE9">
        <w:trPr>
          <w:trHeight w:val="350"/>
        </w:trPr>
        <w:tc>
          <w:tcPr>
            <w:tcW w:w="248" w:type="pct"/>
            <w:tcBorders>
              <w:top w:val="single" w:sz="4" w:space="0" w:color="auto"/>
              <w:left w:val="single" w:sz="4" w:space="0" w:color="auto"/>
              <w:bottom w:val="single" w:sz="4" w:space="0" w:color="auto"/>
              <w:right w:val="single" w:sz="4" w:space="0" w:color="auto"/>
            </w:tcBorders>
            <w:shd w:val="clear" w:color="auto" w:fill="auto"/>
          </w:tcPr>
          <w:p w14:paraId="48C47ABF" w14:textId="5FDE6273" w:rsidR="00E4112E" w:rsidRPr="00781112" w:rsidRDefault="001F64DB" w:rsidP="00E4112E">
            <w:pPr>
              <w:spacing w:line="276" w:lineRule="auto"/>
              <w:jc w:val="center"/>
              <w:rPr>
                <w:rFonts w:cs="Arial"/>
                <w:b/>
                <w:color w:val="000000" w:themeColor="text1"/>
                <w:szCs w:val="16"/>
              </w:rPr>
            </w:pPr>
            <w:r w:rsidRPr="00781112">
              <w:rPr>
                <w:rFonts w:cs="Arial"/>
                <w:b/>
                <w:color w:val="000000" w:themeColor="text1"/>
                <w:szCs w:val="16"/>
              </w:rPr>
              <w:t>Part</w:t>
            </w:r>
          </w:p>
        </w:tc>
        <w:tc>
          <w:tcPr>
            <w:tcW w:w="678" w:type="pct"/>
            <w:tcBorders>
              <w:top w:val="single" w:sz="4" w:space="0" w:color="auto"/>
              <w:left w:val="single" w:sz="4" w:space="0" w:color="auto"/>
              <w:bottom w:val="single" w:sz="4" w:space="0" w:color="auto"/>
              <w:right w:val="single" w:sz="4" w:space="0" w:color="auto"/>
            </w:tcBorders>
            <w:shd w:val="clear" w:color="auto" w:fill="auto"/>
          </w:tcPr>
          <w:p w14:paraId="34A5BBF1" w14:textId="21EFE08D" w:rsidR="00E4112E" w:rsidRPr="00781112" w:rsidRDefault="00E4112E" w:rsidP="00E4112E">
            <w:pPr>
              <w:spacing w:line="276" w:lineRule="auto"/>
              <w:jc w:val="center"/>
              <w:rPr>
                <w:rFonts w:cs="Arial"/>
                <w:b/>
                <w:color w:val="000000" w:themeColor="text1"/>
                <w:szCs w:val="16"/>
              </w:rPr>
            </w:pPr>
            <w:r w:rsidRPr="00781112">
              <w:rPr>
                <w:rFonts w:cs="Arial"/>
                <w:b/>
                <w:color w:val="000000" w:themeColor="text1"/>
                <w:szCs w:val="16"/>
              </w:rPr>
              <w:t xml:space="preserve">Baseline </w:t>
            </w:r>
          </w:p>
        </w:tc>
        <w:tc>
          <w:tcPr>
            <w:tcW w:w="679" w:type="pct"/>
            <w:tcBorders>
              <w:top w:val="single" w:sz="4" w:space="0" w:color="auto"/>
              <w:left w:val="single" w:sz="4" w:space="0" w:color="auto"/>
              <w:bottom w:val="single" w:sz="4" w:space="0" w:color="auto"/>
              <w:right w:val="single" w:sz="4" w:space="0" w:color="auto"/>
            </w:tcBorders>
            <w:shd w:val="clear" w:color="auto" w:fill="auto"/>
          </w:tcPr>
          <w:p w14:paraId="5527DC20" w14:textId="77777777" w:rsidR="00E4112E" w:rsidRPr="00781112" w:rsidRDefault="00E4112E" w:rsidP="00E4112E">
            <w:pPr>
              <w:spacing w:line="276" w:lineRule="auto"/>
              <w:jc w:val="center"/>
              <w:rPr>
                <w:rFonts w:cs="Arial"/>
                <w:b/>
                <w:color w:val="000000" w:themeColor="text1"/>
                <w:szCs w:val="16"/>
              </w:rPr>
            </w:pPr>
            <w:r w:rsidRPr="00781112">
              <w:rPr>
                <w:rFonts w:cs="Arial"/>
                <w:b/>
                <w:color w:val="000000" w:themeColor="text1"/>
                <w:szCs w:val="16"/>
              </w:rPr>
              <w:t>FFY</w:t>
            </w:r>
          </w:p>
        </w:tc>
        <w:tc>
          <w:tcPr>
            <w:tcW w:w="679" w:type="pct"/>
            <w:tcBorders>
              <w:top w:val="single" w:sz="4" w:space="0" w:color="auto"/>
              <w:left w:val="single" w:sz="4" w:space="0" w:color="auto"/>
              <w:bottom w:val="single" w:sz="4" w:space="0" w:color="auto"/>
              <w:right w:val="single" w:sz="4" w:space="0" w:color="auto"/>
            </w:tcBorders>
            <w:shd w:val="clear" w:color="auto" w:fill="auto"/>
            <w:hideMark/>
          </w:tcPr>
          <w:p w14:paraId="75348DB7" w14:textId="31324C26" w:rsidR="00E4112E" w:rsidRPr="00781112" w:rsidRDefault="002B7490">
            <w:pPr>
              <w:spacing w:line="276" w:lineRule="auto"/>
              <w:jc w:val="center"/>
              <w:rPr>
                <w:rFonts w:cs="Arial"/>
                <w:b/>
                <w:color w:val="000000" w:themeColor="text1"/>
                <w:szCs w:val="16"/>
              </w:rPr>
            </w:pPr>
            <w:r w:rsidRPr="00781112">
              <w:rPr>
                <w:rFonts w:cs="Arial"/>
                <w:b/>
                <w:color w:val="000000" w:themeColor="text1"/>
                <w:szCs w:val="16"/>
              </w:rPr>
              <w:t>2017</w:t>
            </w:r>
          </w:p>
        </w:tc>
        <w:tc>
          <w:tcPr>
            <w:tcW w:w="679" w:type="pct"/>
            <w:tcBorders>
              <w:top w:val="single" w:sz="4" w:space="0" w:color="auto"/>
              <w:left w:val="single" w:sz="4" w:space="0" w:color="auto"/>
              <w:bottom w:val="single" w:sz="4" w:space="0" w:color="auto"/>
              <w:right w:val="single" w:sz="4" w:space="0" w:color="auto"/>
            </w:tcBorders>
            <w:shd w:val="clear" w:color="auto" w:fill="auto"/>
            <w:hideMark/>
          </w:tcPr>
          <w:p w14:paraId="7C2D9A5E" w14:textId="1AFF80C5" w:rsidR="00E4112E" w:rsidRPr="00781112" w:rsidRDefault="002B7490">
            <w:pPr>
              <w:spacing w:line="276" w:lineRule="auto"/>
              <w:jc w:val="center"/>
              <w:rPr>
                <w:rFonts w:cs="Arial"/>
                <w:b/>
                <w:color w:val="000000" w:themeColor="text1"/>
                <w:szCs w:val="16"/>
              </w:rPr>
            </w:pPr>
            <w:r w:rsidRPr="00781112">
              <w:rPr>
                <w:rFonts w:cs="Arial"/>
                <w:b/>
                <w:color w:val="000000" w:themeColor="text1"/>
                <w:szCs w:val="16"/>
              </w:rPr>
              <w:t>2018</w:t>
            </w:r>
          </w:p>
        </w:tc>
        <w:tc>
          <w:tcPr>
            <w:tcW w:w="679" w:type="pct"/>
            <w:tcBorders>
              <w:top w:val="single" w:sz="4" w:space="0" w:color="auto"/>
              <w:left w:val="single" w:sz="4" w:space="0" w:color="auto"/>
              <w:bottom w:val="single" w:sz="4" w:space="0" w:color="auto"/>
              <w:right w:val="single" w:sz="4" w:space="0" w:color="auto"/>
            </w:tcBorders>
            <w:shd w:val="clear" w:color="auto" w:fill="auto"/>
          </w:tcPr>
          <w:p w14:paraId="7C87EFC5" w14:textId="1BB8AC30" w:rsidR="00E4112E" w:rsidRPr="00781112" w:rsidRDefault="002B7490">
            <w:pPr>
              <w:spacing w:line="276" w:lineRule="auto"/>
              <w:jc w:val="center"/>
              <w:rPr>
                <w:rFonts w:cs="Arial"/>
                <w:b/>
                <w:color w:val="000000" w:themeColor="text1"/>
                <w:szCs w:val="16"/>
              </w:rPr>
            </w:pPr>
            <w:r w:rsidRPr="00781112">
              <w:rPr>
                <w:rFonts w:cs="Arial"/>
                <w:b/>
                <w:color w:val="000000" w:themeColor="text1"/>
                <w:szCs w:val="16"/>
              </w:rPr>
              <w:t>2019</w:t>
            </w:r>
          </w:p>
        </w:tc>
        <w:tc>
          <w:tcPr>
            <w:tcW w:w="679" w:type="pct"/>
            <w:tcBorders>
              <w:top w:val="single" w:sz="4" w:space="0" w:color="auto"/>
              <w:left w:val="single" w:sz="4" w:space="0" w:color="auto"/>
              <w:bottom w:val="single" w:sz="4" w:space="0" w:color="auto"/>
              <w:right w:val="single" w:sz="4" w:space="0" w:color="auto"/>
            </w:tcBorders>
            <w:shd w:val="clear" w:color="auto" w:fill="auto"/>
            <w:hideMark/>
          </w:tcPr>
          <w:p w14:paraId="060660DD" w14:textId="4387DAEB" w:rsidR="00E4112E" w:rsidRPr="00781112" w:rsidRDefault="002B7490">
            <w:pPr>
              <w:spacing w:line="276" w:lineRule="auto"/>
              <w:jc w:val="center"/>
              <w:rPr>
                <w:rFonts w:cs="Arial"/>
                <w:b/>
                <w:color w:val="000000" w:themeColor="text1"/>
                <w:szCs w:val="16"/>
              </w:rPr>
            </w:pPr>
            <w:r w:rsidRPr="00781112">
              <w:rPr>
                <w:rFonts w:cs="Arial"/>
                <w:b/>
                <w:color w:val="000000" w:themeColor="text1"/>
                <w:szCs w:val="16"/>
              </w:rPr>
              <w:t>2020</w:t>
            </w:r>
          </w:p>
        </w:tc>
        <w:tc>
          <w:tcPr>
            <w:tcW w:w="679" w:type="pct"/>
            <w:tcBorders>
              <w:top w:val="single" w:sz="4" w:space="0" w:color="auto"/>
              <w:left w:val="single" w:sz="4" w:space="0" w:color="auto"/>
              <w:bottom w:val="single" w:sz="4" w:space="0" w:color="auto"/>
              <w:right w:val="single" w:sz="4" w:space="0" w:color="auto"/>
            </w:tcBorders>
            <w:shd w:val="clear" w:color="auto" w:fill="auto"/>
            <w:hideMark/>
          </w:tcPr>
          <w:p w14:paraId="3DBEC159" w14:textId="109E90CD" w:rsidR="00E4112E" w:rsidRPr="00781112" w:rsidRDefault="002B7490">
            <w:pPr>
              <w:spacing w:line="276" w:lineRule="auto"/>
              <w:jc w:val="center"/>
              <w:rPr>
                <w:rFonts w:cs="Arial"/>
                <w:b/>
                <w:color w:val="000000" w:themeColor="text1"/>
                <w:szCs w:val="16"/>
              </w:rPr>
            </w:pPr>
            <w:r w:rsidRPr="00781112">
              <w:rPr>
                <w:rFonts w:cs="Arial"/>
                <w:b/>
                <w:color w:val="000000" w:themeColor="text1"/>
                <w:szCs w:val="16"/>
              </w:rPr>
              <w:t>2021</w:t>
            </w:r>
          </w:p>
        </w:tc>
      </w:tr>
      <w:tr w:rsidR="005F0D3B" w:rsidRPr="00781112" w14:paraId="692E70F6" w14:textId="3E9D9AB4" w:rsidTr="005F5FE9">
        <w:trPr>
          <w:trHeight w:val="70"/>
        </w:trPr>
        <w:tc>
          <w:tcPr>
            <w:tcW w:w="248" w:type="pct"/>
            <w:tcBorders>
              <w:top w:val="single" w:sz="4" w:space="0" w:color="auto"/>
              <w:left w:val="single" w:sz="4" w:space="0" w:color="auto"/>
              <w:right w:val="single" w:sz="4" w:space="0" w:color="auto"/>
            </w:tcBorders>
            <w:shd w:val="clear" w:color="auto" w:fill="auto"/>
            <w:vAlign w:val="center"/>
          </w:tcPr>
          <w:p w14:paraId="5CAC6F68" w14:textId="77777777" w:rsidR="00BB7BC9" w:rsidRPr="00781112" w:rsidRDefault="00BB7BC9" w:rsidP="004B75EC">
            <w:pPr>
              <w:spacing w:line="276" w:lineRule="auto"/>
              <w:jc w:val="center"/>
              <w:rPr>
                <w:rFonts w:cs="Arial"/>
                <w:color w:val="000000" w:themeColor="text1"/>
                <w:szCs w:val="16"/>
              </w:rPr>
            </w:pPr>
            <w:r w:rsidRPr="00781112">
              <w:rPr>
                <w:rFonts w:cs="Arial"/>
                <w:color w:val="000000" w:themeColor="text1"/>
                <w:szCs w:val="16"/>
              </w:rPr>
              <w:t>A</w:t>
            </w:r>
          </w:p>
        </w:tc>
        <w:tc>
          <w:tcPr>
            <w:tcW w:w="678" w:type="pct"/>
            <w:tcBorders>
              <w:top w:val="single" w:sz="4" w:space="0" w:color="auto"/>
              <w:left w:val="single" w:sz="4" w:space="0" w:color="auto"/>
              <w:right w:val="single" w:sz="4" w:space="0" w:color="auto"/>
            </w:tcBorders>
            <w:shd w:val="clear" w:color="auto" w:fill="auto"/>
            <w:vAlign w:val="center"/>
          </w:tcPr>
          <w:p w14:paraId="5E3ACE02" w14:textId="787FECC2" w:rsidR="00BB7BC9" w:rsidRPr="00781112" w:rsidRDefault="002B7490" w:rsidP="00A018D4">
            <w:pPr>
              <w:jc w:val="center"/>
              <w:rPr>
                <w:rFonts w:cs="Arial"/>
                <w:color w:val="000000" w:themeColor="text1"/>
                <w:szCs w:val="16"/>
              </w:rPr>
            </w:pPr>
            <w:r w:rsidRPr="00781112">
              <w:rPr>
                <w:rFonts w:cs="Arial"/>
                <w:color w:val="000000" w:themeColor="text1"/>
                <w:szCs w:val="16"/>
              </w:rPr>
              <w:t>2020</w:t>
            </w:r>
          </w:p>
        </w:tc>
        <w:tc>
          <w:tcPr>
            <w:tcW w:w="67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0FE0BC7" w14:textId="0A864988" w:rsidR="00BB7BC9" w:rsidRPr="00781112" w:rsidRDefault="00BB7BC9" w:rsidP="00BA3DBE">
            <w:pPr>
              <w:spacing w:line="276" w:lineRule="auto"/>
              <w:jc w:val="center"/>
              <w:rPr>
                <w:rFonts w:cs="Arial"/>
                <w:color w:val="000000" w:themeColor="text1"/>
                <w:szCs w:val="16"/>
              </w:rPr>
            </w:pPr>
            <w:r w:rsidRPr="00781112">
              <w:rPr>
                <w:rFonts w:cs="Arial"/>
                <w:color w:val="000000" w:themeColor="text1"/>
                <w:szCs w:val="16"/>
              </w:rPr>
              <w:t>Target &gt;=</w:t>
            </w:r>
          </w:p>
        </w:tc>
        <w:tc>
          <w:tcPr>
            <w:tcW w:w="679" w:type="pct"/>
            <w:tcBorders>
              <w:top w:val="single" w:sz="4" w:space="0" w:color="auto"/>
              <w:left w:val="single" w:sz="4" w:space="0" w:color="auto"/>
              <w:bottom w:val="single" w:sz="4" w:space="0" w:color="auto"/>
              <w:right w:val="single" w:sz="4" w:space="0" w:color="auto"/>
            </w:tcBorders>
            <w:shd w:val="clear" w:color="auto" w:fill="auto"/>
            <w:vAlign w:val="center"/>
          </w:tcPr>
          <w:p w14:paraId="7D169E17" w14:textId="1A4FF232" w:rsidR="00BB7BC9" w:rsidRPr="00781112" w:rsidRDefault="002B7490">
            <w:pPr>
              <w:jc w:val="center"/>
              <w:rPr>
                <w:rFonts w:cs="Arial"/>
                <w:color w:val="000000" w:themeColor="text1"/>
                <w:szCs w:val="16"/>
              </w:rPr>
            </w:pPr>
            <w:r w:rsidRPr="00781112">
              <w:rPr>
                <w:rFonts w:cs="Arial"/>
                <w:color w:val="000000" w:themeColor="text1"/>
                <w:szCs w:val="16"/>
              </w:rPr>
              <w:t>71.70%</w:t>
            </w:r>
          </w:p>
        </w:tc>
        <w:tc>
          <w:tcPr>
            <w:tcW w:w="679" w:type="pct"/>
            <w:tcBorders>
              <w:top w:val="single" w:sz="4" w:space="0" w:color="auto"/>
              <w:left w:val="single" w:sz="4" w:space="0" w:color="auto"/>
              <w:bottom w:val="single" w:sz="4" w:space="0" w:color="auto"/>
              <w:right w:val="single" w:sz="4" w:space="0" w:color="auto"/>
            </w:tcBorders>
            <w:shd w:val="clear" w:color="auto" w:fill="auto"/>
            <w:vAlign w:val="center"/>
          </w:tcPr>
          <w:p w14:paraId="67BBDF86" w14:textId="7B8DE8AB" w:rsidR="00BB7BC9" w:rsidRPr="00781112" w:rsidRDefault="002B7490">
            <w:pPr>
              <w:jc w:val="center"/>
              <w:rPr>
                <w:rFonts w:cs="Arial"/>
                <w:color w:val="000000" w:themeColor="text1"/>
                <w:szCs w:val="16"/>
              </w:rPr>
            </w:pPr>
            <w:r w:rsidRPr="00781112">
              <w:rPr>
                <w:rFonts w:cs="Arial"/>
                <w:color w:val="000000" w:themeColor="text1"/>
                <w:szCs w:val="16"/>
              </w:rPr>
              <w:t>71.70%</w:t>
            </w:r>
          </w:p>
        </w:tc>
        <w:tc>
          <w:tcPr>
            <w:tcW w:w="679" w:type="pct"/>
            <w:tcBorders>
              <w:top w:val="single" w:sz="4" w:space="0" w:color="auto"/>
              <w:left w:val="single" w:sz="4" w:space="0" w:color="auto"/>
              <w:bottom w:val="single" w:sz="4" w:space="0" w:color="auto"/>
              <w:right w:val="single" w:sz="4" w:space="0" w:color="auto"/>
            </w:tcBorders>
            <w:shd w:val="clear" w:color="auto" w:fill="auto"/>
            <w:vAlign w:val="center"/>
          </w:tcPr>
          <w:p w14:paraId="2D7B0B98" w14:textId="016BD4D1" w:rsidR="00BB7BC9" w:rsidRPr="00781112" w:rsidRDefault="002B7490">
            <w:pPr>
              <w:jc w:val="center"/>
              <w:rPr>
                <w:rFonts w:cs="Arial"/>
                <w:color w:val="000000" w:themeColor="text1"/>
                <w:szCs w:val="16"/>
              </w:rPr>
            </w:pPr>
            <w:r w:rsidRPr="00781112">
              <w:rPr>
                <w:rFonts w:cs="Arial"/>
                <w:color w:val="000000" w:themeColor="text1"/>
                <w:szCs w:val="16"/>
              </w:rPr>
              <w:t>71.70%</w:t>
            </w:r>
          </w:p>
        </w:tc>
        <w:tc>
          <w:tcPr>
            <w:tcW w:w="679" w:type="pct"/>
            <w:tcBorders>
              <w:top w:val="single" w:sz="4" w:space="0" w:color="auto"/>
              <w:left w:val="single" w:sz="4" w:space="0" w:color="auto"/>
              <w:bottom w:val="single" w:sz="4" w:space="0" w:color="auto"/>
              <w:right w:val="single" w:sz="4" w:space="0" w:color="auto"/>
            </w:tcBorders>
            <w:shd w:val="clear" w:color="auto" w:fill="auto"/>
            <w:vAlign w:val="center"/>
          </w:tcPr>
          <w:p w14:paraId="64789FFB" w14:textId="5C8E4FBE" w:rsidR="00BB7BC9" w:rsidRPr="00781112" w:rsidRDefault="002B7490">
            <w:pPr>
              <w:jc w:val="center"/>
              <w:rPr>
                <w:rFonts w:cs="Arial"/>
                <w:color w:val="000000" w:themeColor="text1"/>
                <w:szCs w:val="16"/>
              </w:rPr>
            </w:pPr>
            <w:r w:rsidRPr="00781112">
              <w:rPr>
                <w:rFonts w:cs="Arial"/>
                <w:color w:val="000000" w:themeColor="text1"/>
                <w:szCs w:val="16"/>
              </w:rPr>
              <w:t>78.98%</w:t>
            </w:r>
          </w:p>
        </w:tc>
        <w:tc>
          <w:tcPr>
            <w:tcW w:w="679" w:type="pct"/>
            <w:tcBorders>
              <w:top w:val="single" w:sz="4" w:space="0" w:color="auto"/>
              <w:left w:val="single" w:sz="4" w:space="0" w:color="auto"/>
              <w:bottom w:val="single" w:sz="4" w:space="0" w:color="auto"/>
              <w:right w:val="single" w:sz="4" w:space="0" w:color="auto"/>
            </w:tcBorders>
            <w:shd w:val="clear" w:color="auto" w:fill="auto"/>
            <w:vAlign w:val="center"/>
          </w:tcPr>
          <w:p w14:paraId="029E5141" w14:textId="5AEA8269" w:rsidR="00BB7BC9" w:rsidRPr="00781112" w:rsidRDefault="002B7490">
            <w:pPr>
              <w:jc w:val="center"/>
              <w:rPr>
                <w:rFonts w:cs="Arial"/>
                <w:color w:val="000000" w:themeColor="text1"/>
                <w:szCs w:val="16"/>
              </w:rPr>
            </w:pPr>
            <w:r w:rsidRPr="00781112">
              <w:rPr>
                <w:rFonts w:cs="Arial"/>
                <w:color w:val="000000" w:themeColor="text1"/>
                <w:szCs w:val="16"/>
              </w:rPr>
              <w:t>77.69%</w:t>
            </w:r>
          </w:p>
        </w:tc>
      </w:tr>
      <w:tr w:rsidR="005F0D3B" w:rsidRPr="00781112" w14:paraId="79D81D10" w14:textId="49DC964C" w:rsidTr="005F5FE9">
        <w:trPr>
          <w:trHeight w:val="85"/>
        </w:trPr>
        <w:tc>
          <w:tcPr>
            <w:tcW w:w="248" w:type="pct"/>
            <w:tcBorders>
              <w:left w:val="single" w:sz="4" w:space="0" w:color="auto"/>
              <w:right w:val="single" w:sz="4" w:space="0" w:color="auto"/>
            </w:tcBorders>
            <w:shd w:val="clear" w:color="auto" w:fill="auto"/>
            <w:vAlign w:val="center"/>
          </w:tcPr>
          <w:p w14:paraId="35B07658" w14:textId="008DA9F0" w:rsidR="00BB7BC9" w:rsidRPr="00781112" w:rsidRDefault="001474EC" w:rsidP="004369B2">
            <w:pPr>
              <w:spacing w:line="276" w:lineRule="auto"/>
              <w:jc w:val="center"/>
              <w:rPr>
                <w:rFonts w:cs="Arial"/>
                <w:color w:val="000000" w:themeColor="text1"/>
                <w:szCs w:val="16"/>
              </w:rPr>
            </w:pPr>
            <w:r w:rsidRPr="00781112">
              <w:rPr>
                <w:rFonts w:cs="Arial"/>
                <w:color w:val="000000" w:themeColor="text1"/>
                <w:szCs w:val="16"/>
              </w:rPr>
              <w:t>A</w:t>
            </w:r>
          </w:p>
        </w:tc>
        <w:tc>
          <w:tcPr>
            <w:tcW w:w="678" w:type="pct"/>
            <w:tcBorders>
              <w:left w:val="single" w:sz="4" w:space="0" w:color="auto"/>
              <w:right w:val="single" w:sz="4" w:space="0" w:color="auto"/>
            </w:tcBorders>
            <w:shd w:val="clear" w:color="auto" w:fill="auto"/>
            <w:vAlign w:val="center"/>
          </w:tcPr>
          <w:p w14:paraId="4DB8D3CD" w14:textId="0227B1FD" w:rsidR="00BB7BC9" w:rsidRPr="00781112" w:rsidRDefault="002B7490" w:rsidP="00A018D4">
            <w:pPr>
              <w:jc w:val="center"/>
              <w:rPr>
                <w:rFonts w:cs="Arial"/>
                <w:color w:val="000000" w:themeColor="text1"/>
                <w:szCs w:val="16"/>
              </w:rPr>
            </w:pPr>
            <w:r w:rsidRPr="00781112">
              <w:rPr>
                <w:rFonts w:cs="Arial"/>
                <w:color w:val="000000" w:themeColor="text1"/>
                <w:szCs w:val="16"/>
              </w:rPr>
              <w:t>78.98%</w:t>
            </w:r>
          </w:p>
        </w:tc>
        <w:tc>
          <w:tcPr>
            <w:tcW w:w="67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6A24467" w14:textId="77777777" w:rsidR="00BB7BC9" w:rsidRPr="00781112" w:rsidRDefault="00BB7BC9" w:rsidP="00BA3DBE">
            <w:pPr>
              <w:spacing w:line="276" w:lineRule="auto"/>
              <w:jc w:val="center"/>
              <w:rPr>
                <w:rFonts w:cs="Arial"/>
                <w:color w:val="000000" w:themeColor="text1"/>
                <w:szCs w:val="16"/>
              </w:rPr>
            </w:pPr>
            <w:r w:rsidRPr="00781112">
              <w:rPr>
                <w:rFonts w:cs="Arial"/>
                <w:color w:val="000000" w:themeColor="text1"/>
                <w:szCs w:val="16"/>
              </w:rPr>
              <w:t>Data</w:t>
            </w:r>
          </w:p>
        </w:tc>
        <w:tc>
          <w:tcPr>
            <w:tcW w:w="679" w:type="pct"/>
            <w:tcBorders>
              <w:top w:val="single" w:sz="4" w:space="0" w:color="auto"/>
              <w:left w:val="single" w:sz="4" w:space="0" w:color="auto"/>
              <w:bottom w:val="single" w:sz="4" w:space="0" w:color="auto"/>
              <w:right w:val="single" w:sz="4" w:space="0" w:color="auto"/>
            </w:tcBorders>
            <w:shd w:val="clear" w:color="auto" w:fill="auto"/>
            <w:vAlign w:val="center"/>
          </w:tcPr>
          <w:p w14:paraId="5A26F098" w14:textId="47E3F3D4" w:rsidR="00BB7BC9" w:rsidRPr="00781112" w:rsidRDefault="002B7490">
            <w:pPr>
              <w:jc w:val="center"/>
              <w:rPr>
                <w:rFonts w:cs="Arial"/>
                <w:color w:val="000000" w:themeColor="text1"/>
                <w:szCs w:val="16"/>
              </w:rPr>
            </w:pPr>
            <w:r w:rsidRPr="00781112">
              <w:rPr>
                <w:rFonts w:cs="Arial"/>
                <w:color w:val="000000" w:themeColor="text1"/>
                <w:szCs w:val="16"/>
              </w:rPr>
              <w:t>74.69%</w:t>
            </w:r>
          </w:p>
        </w:tc>
        <w:tc>
          <w:tcPr>
            <w:tcW w:w="679" w:type="pct"/>
            <w:tcBorders>
              <w:top w:val="single" w:sz="4" w:space="0" w:color="auto"/>
              <w:left w:val="single" w:sz="4" w:space="0" w:color="auto"/>
              <w:bottom w:val="single" w:sz="4" w:space="0" w:color="auto"/>
              <w:right w:val="single" w:sz="4" w:space="0" w:color="auto"/>
            </w:tcBorders>
            <w:shd w:val="clear" w:color="auto" w:fill="auto"/>
            <w:vAlign w:val="center"/>
          </w:tcPr>
          <w:p w14:paraId="22E8D482" w14:textId="0F0DD959" w:rsidR="00BB7BC9" w:rsidRPr="00781112" w:rsidRDefault="002B7490">
            <w:pPr>
              <w:jc w:val="center"/>
              <w:rPr>
                <w:rFonts w:cs="Arial"/>
                <w:color w:val="000000" w:themeColor="text1"/>
                <w:szCs w:val="16"/>
              </w:rPr>
            </w:pPr>
            <w:r w:rsidRPr="00781112">
              <w:rPr>
                <w:rFonts w:cs="Arial"/>
                <w:color w:val="000000" w:themeColor="text1"/>
                <w:szCs w:val="16"/>
              </w:rPr>
              <w:t>75.46%</w:t>
            </w:r>
          </w:p>
        </w:tc>
        <w:tc>
          <w:tcPr>
            <w:tcW w:w="679" w:type="pct"/>
            <w:tcBorders>
              <w:top w:val="single" w:sz="4" w:space="0" w:color="auto"/>
              <w:left w:val="single" w:sz="4" w:space="0" w:color="auto"/>
              <w:bottom w:val="single" w:sz="4" w:space="0" w:color="auto"/>
              <w:right w:val="single" w:sz="4" w:space="0" w:color="auto"/>
            </w:tcBorders>
            <w:shd w:val="clear" w:color="auto" w:fill="auto"/>
            <w:vAlign w:val="center"/>
          </w:tcPr>
          <w:p w14:paraId="592D382C" w14:textId="2157E0D5" w:rsidR="00BB7BC9" w:rsidRPr="00781112" w:rsidRDefault="002B7490">
            <w:pPr>
              <w:jc w:val="center"/>
              <w:rPr>
                <w:rFonts w:cs="Arial"/>
                <w:color w:val="000000" w:themeColor="text1"/>
                <w:szCs w:val="16"/>
              </w:rPr>
            </w:pPr>
            <w:r w:rsidRPr="00781112">
              <w:rPr>
                <w:rFonts w:cs="Arial"/>
                <w:color w:val="000000" w:themeColor="text1"/>
                <w:szCs w:val="16"/>
              </w:rPr>
              <w:t>76.82%</w:t>
            </w:r>
          </w:p>
        </w:tc>
        <w:tc>
          <w:tcPr>
            <w:tcW w:w="679" w:type="pct"/>
            <w:tcBorders>
              <w:top w:val="single" w:sz="4" w:space="0" w:color="auto"/>
              <w:left w:val="single" w:sz="4" w:space="0" w:color="auto"/>
              <w:bottom w:val="single" w:sz="4" w:space="0" w:color="auto"/>
              <w:right w:val="single" w:sz="4" w:space="0" w:color="auto"/>
            </w:tcBorders>
            <w:shd w:val="clear" w:color="auto" w:fill="auto"/>
            <w:vAlign w:val="center"/>
          </w:tcPr>
          <w:p w14:paraId="36D0CB9F" w14:textId="43591961" w:rsidR="00BB7BC9" w:rsidRPr="00781112" w:rsidRDefault="002B7490">
            <w:pPr>
              <w:jc w:val="center"/>
              <w:rPr>
                <w:rFonts w:cs="Arial"/>
                <w:color w:val="000000" w:themeColor="text1"/>
                <w:szCs w:val="16"/>
              </w:rPr>
            </w:pPr>
            <w:r w:rsidRPr="00781112">
              <w:rPr>
                <w:rFonts w:cs="Arial"/>
                <w:color w:val="000000" w:themeColor="text1"/>
                <w:szCs w:val="16"/>
              </w:rPr>
              <w:t>78.98%</w:t>
            </w:r>
          </w:p>
        </w:tc>
        <w:tc>
          <w:tcPr>
            <w:tcW w:w="679" w:type="pct"/>
            <w:tcBorders>
              <w:top w:val="single" w:sz="4" w:space="0" w:color="auto"/>
              <w:left w:val="single" w:sz="4" w:space="0" w:color="auto"/>
              <w:bottom w:val="single" w:sz="4" w:space="0" w:color="auto"/>
              <w:right w:val="single" w:sz="4" w:space="0" w:color="auto"/>
            </w:tcBorders>
            <w:shd w:val="clear" w:color="auto" w:fill="auto"/>
            <w:vAlign w:val="center"/>
          </w:tcPr>
          <w:p w14:paraId="03207239" w14:textId="4C2F7B73" w:rsidR="00BB7BC9" w:rsidRPr="00781112" w:rsidRDefault="002B7490">
            <w:pPr>
              <w:jc w:val="center"/>
              <w:rPr>
                <w:rFonts w:cs="Arial"/>
                <w:color w:val="000000" w:themeColor="text1"/>
                <w:szCs w:val="16"/>
              </w:rPr>
            </w:pPr>
            <w:r w:rsidRPr="00781112">
              <w:rPr>
                <w:rFonts w:cs="Arial"/>
                <w:color w:val="000000" w:themeColor="text1"/>
                <w:szCs w:val="16"/>
              </w:rPr>
              <w:t>79.37%</w:t>
            </w:r>
          </w:p>
        </w:tc>
      </w:tr>
      <w:tr w:rsidR="005F0D3B" w:rsidRPr="00781112" w14:paraId="7EE51EBD" w14:textId="513FE18C" w:rsidTr="005F5FE9">
        <w:trPr>
          <w:trHeight w:val="357"/>
        </w:trPr>
        <w:tc>
          <w:tcPr>
            <w:tcW w:w="248" w:type="pct"/>
            <w:tcBorders>
              <w:top w:val="single" w:sz="4" w:space="0" w:color="auto"/>
              <w:left w:val="single" w:sz="4" w:space="0" w:color="auto"/>
              <w:right w:val="single" w:sz="4" w:space="0" w:color="auto"/>
            </w:tcBorders>
            <w:shd w:val="clear" w:color="auto" w:fill="auto"/>
            <w:vAlign w:val="center"/>
          </w:tcPr>
          <w:p w14:paraId="72DFD563" w14:textId="77777777" w:rsidR="00BB7BC9" w:rsidRPr="00781112" w:rsidRDefault="00BB7BC9" w:rsidP="004B75EC">
            <w:pPr>
              <w:spacing w:line="276" w:lineRule="auto"/>
              <w:jc w:val="center"/>
              <w:rPr>
                <w:rFonts w:cs="Arial"/>
                <w:color w:val="000000" w:themeColor="text1"/>
                <w:szCs w:val="16"/>
              </w:rPr>
            </w:pPr>
            <w:r w:rsidRPr="00781112">
              <w:rPr>
                <w:rFonts w:cs="Arial"/>
                <w:color w:val="000000" w:themeColor="text1"/>
                <w:szCs w:val="16"/>
              </w:rPr>
              <w:t>B</w:t>
            </w:r>
          </w:p>
        </w:tc>
        <w:tc>
          <w:tcPr>
            <w:tcW w:w="678" w:type="pct"/>
            <w:tcBorders>
              <w:top w:val="single" w:sz="4" w:space="0" w:color="auto"/>
              <w:left w:val="single" w:sz="4" w:space="0" w:color="auto"/>
              <w:right w:val="single" w:sz="4" w:space="0" w:color="auto"/>
            </w:tcBorders>
            <w:shd w:val="clear" w:color="auto" w:fill="auto"/>
            <w:vAlign w:val="center"/>
          </w:tcPr>
          <w:p w14:paraId="100A2A6F" w14:textId="100D35A9" w:rsidR="00BB7BC9" w:rsidRPr="00781112" w:rsidRDefault="002B7490" w:rsidP="00A018D4">
            <w:pPr>
              <w:jc w:val="center"/>
              <w:rPr>
                <w:rFonts w:cs="Arial"/>
                <w:color w:val="000000" w:themeColor="text1"/>
                <w:szCs w:val="16"/>
              </w:rPr>
            </w:pPr>
            <w:r w:rsidRPr="00781112">
              <w:rPr>
                <w:rFonts w:cs="Arial"/>
                <w:color w:val="000000" w:themeColor="text1"/>
                <w:szCs w:val="16"/>
              </w:rPr>
              <w:t>2020</w:t>
            </w:r>
          </w:p>
        </w:tc>
        <w:tc>
          <w:tcPr>
            <w:tcW w:w="67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10A945A" w14:textId="5CBFA4BF" w:rsidR="00BB7BC9" w:rsidRPr="00781112" w:rsidRDefault="00BB7BC9" w:rsidP="00BA3DBE">
            <w:pPr>
              <w:spacing w:line="276" w:lineRule="auto"/>
              <w:jc w:val="center"/>
              <w:rPr>
                <w:rFonts w:cs="Arial"/>
                <w:color w:val="000000" w:themeColor="text1"/>
                <w:szCs w:val="16"/>
              </w:rPr>
            </w:pPr>
            <w:r w:rsidRPr="00781112">
              <w:rPr>
                <w:rFonts w:cs="Arial"/>
                <w:color w:val="000000" w:themeColor="text1"/>
                <w:szCs w:val="16"/>
              </w:rPr>
              <w:t>Target &lt;=</w:t>
            </w:r>
          </w:p>
        </w:tc>
        <w:tc>
          <w:tcPr>
            <w:tcW w:w="679" w:type="pct"/>
            <w:tcBorders>
              <w:top w:val="single" w:sz="4" w:space="0" w:color="auto"/>
              <w:left w:val="single" w:sz="4" w:space="0" w:color="auto"/>
              <w:bottom w:val="single" w:sz="4" w:space="0" w:color="auto"/>
              <w:right w:val="single" w:sz="4" w:space="0" w:color="auto"/>
            </w:tcBorders>
            <w:shd w:val="clear" w:color="auto" w:fill="auto"/>
            <w:vAlign w:val="center"/>
          </w:tcPr>
          <w:p w14:paraId="3DEA2B18" w14:textId="75A611A3" w:rsidR="00BB7BC9" w:rsidRPr="00781112" w:rsidRDefault="002B7490">
            <w:pPr>
              <w:jc w:val="center"/>
              <w:rPr>
                <w:rFonts w:cs="Arial"/>
                <w:color w:val="000000" w:themeColor="text1"/>
                <w:szCs w:val="16"/>
              </w:rPr>
            </w:pPr>
            <w:r w:rsidRPr="00781112">
              <w:rPr>
                <w:rFonts w:cs="Arial"/>
                <w:color w:val="000000" w:themeColor="text1"/>
                <w:szCs w:val="16"/>
              </w:rPr>
              <w:t>7.30%</w:t>
            </w:r>
          </w:p>
        </w:tc>
        <w:tc>
          <w:tcPr>
            <w:tcW w:w="679" w:type="pct"/>
            <w:tcBorders>
              <w:top w:val="single" w:sz="4" w:space="0" w:color="auto"/>
              <w:left w:val="single" w:sz="4" w:space="0" w:color="auto"/>
              <w:bottom w:val="single" w:sz="4" w:space="0" w:color="auto"/>
              <w:right w:val="single" w:sz="4" w:space="0" w:color="auto"/>
            </w:tcBorders>
            <w:shd w:val="clear" w:color="auto" w:fill="auto"/>
            <w:vAlign w:val="center"/>
          </w:tcPr>
          <w:p w14:paraId="5B840EDC" w14:textId="6514C970" w:rsidR="00BB7BC9" w:rsidRPr="00781112" w:rsidRDefault="002B7490">
            <w:pPr>
              <w:jc w:val="center"/>
              <w:rPr>
                <w:rFonts w:cs="Arial"/>
                <w:color w:val="000000" w:themeColor="text1"/>
                <w:szCs w:val="16"/>
              </w:rPr>
            </w:pPr>
            <w:r w:rsidRPr="00781112">
              <w:rPr>
                <w:rFonts w:cs="Arial"/>
                <w:color w:val="000000" w:themeColor="text1"/>
                <w:szCs w:val="16"/>
              </w:rPr>
              <w:t>7.20%</w:t>
            </w:r>
          </w:p>
        </w:tc>
        <w:tc>
          <w:tcPr>
            <w:tcW w:w="679" w:type="pct"/>
            <w:tcBorders>
              <w:top w:val="single" w:sz="4" w:space="0" w:color="auto"/>
              <w:left w:val="single" w:sz="4" w:space="0" w:color="auto"/>
              <w:bottom w:val="single" w:sz="4" w:space="0" w:color="auto"/>
              <w:right w:val="single" w:sz="4" w:space="0" w:color="auto"/>
            </w:tcBorders>
            <w:shd w:val="clear" w:color="auto" w:fill="auto"/>
            <w:vAlign w:val="center"/>
          </w:tcPr>
          <w:p w14:paraId="743AF146" w14:textId="07F1A374" w:rsidR="00BB7BC9" w:rsidRPr="00781112" w:rsidRDefault="002B7490">
            <w:pPr>
              <w:jc w:val="center"/>
              <w:rPr>
                <w:rFonts w:cs="Arial"/>
                <w:color w:val="000000" w:themeColor="text1"/>
                <w:szCs w:val="16"/>
              </w:rPr>
            </w:pPr>
            <w:r w:rsidRPr="00781112">
              <w:rPr>
                <w:rFonts w:cs="Arial"/>
                <w:color w:val="000000" w:themeColor="text1"/>
                <w:szCs w:val="16"/>
              </w:rPr>
              <w:t>7.20%</w:t>
            </w:r>
          </w:p>
        </w:tc>
        <w:tc>
          <w:tcPr>
            <w:tcW w:w="679" w:type="pct"/>
            <w:tcBorders>
              <w:top w:val="single" w:sz="4" w:space="0" w:color="auto"/>
              <w:left w:val="single" w:sz="4" w:space="0" w:color="auto"/>
              <w:bottom w:val="single" w:sz="4" w:space="0" w:color="auto"/>
              <w:right w:val="single" w:sz="4" w:space="0" w:color="auto"/>
            </w:tcBorders>
            <w:shd w:val="clear" w:color="auto" w:fill="auto"/>
            <w:vAlign w:val="center"/>
          </w:tcPr>
          <w:p w14:paraId="14470517" w14:textId="6EB26EBD" w:rsidR="00BB7BC9" w:rsidRPr="00781112" w:rsidRDefault="002B7490">
            <w:pPr>
              <w:jc w:val="center"/>
              <w:rPr>
                <w:rFonts w:cs="Arial"/>
                <w:color w:val="000000" w:themeColor="text1"/>
                <w:szCs w:val="16"/>
              </w:rPr>
            </w:pPr>
            <w:r w:rsidRPr="00781112">
              <w:rPr>
                <w:rFonts w:cs="Arial"/>
                <w:color w:val="000000" w:themeColor="text1"/>
                <w:szCs w:val="16"/>
              </w:rPr>
              <w:t>5.03%</w:t>
            </w:r>
          </w:p>
        </w:tc>
        <w:tc>
          <w:tcPr>
            <w:tcW w:w="679" w:type="pct"/>
            <w:tcBorders>
              <w:top w:val="single" w:sz="4" w:space="0" w:color="auto"/>
              <w:left w:val="single" w:sz="4" w:space="0" w:color="auto"/>
              <w:bottom w:val="single" w:sz="4" w:space="0" w:color="auto"/>
              <w:right w:val="single" w:sz="4" w:space="0" w:color="auto"/>
            </w:tcBorders>
            <w:shd w:val="clear" w:color="auto" w:fill="auto"/>
            <w:vAlign w:val="center"/>
          </w:tcPr>
          <w:p w14:paraId="039B042C" w14:textId="501324B8" w:rsidR="00BB7BC9" w:rsidRPr="00781112" w:rsidRDefault="002B7490">
            <w:pPr>
              <w:jc w:val="center"/>
              <w:rPr>
                <w:rFonts w:cs="Arial"/>
                <w:color w:val="000000" w:themeColor="text1"/>
                <w:szCs w:val="16"/>
              </w:rPr>
            </w:pPr>
            <w:r w:rsidRPr="00781112">
              <w:rPr>
                <w:rFonts w:cs="Arial"/>
                <w:color w:val="000000" w:themeColor="text1"/>
                <w:szCs w:val="16"/>
              </w:rPr>
              <w:t>5.28%</w:t>
            </w:r>
          </w:p>
        </w:tc>
      </w:tr>
      <w:tr w:rsidR="005F0D3B" w:rsidRPr="00781112" w14:paraId="78E6E13B" w14:textId="52E2E705" w:rsidTr="005F5FE9">
        <w:trPr>
          <w:trHeight w:val="85"/>
        </w:trPr>
        <w:tc>
          <w:tcPr>
            <w:tcW w:w="248" w:type="pct"/>
            <w:tcBorders>
              <w:left w:val="single" w:sz="4" w:space="0" w:color="auto"/>
              <w:right w:val="single" w:sz="4" w:space="0" w:color="auto"/>
            </w:tcBorders>
            <w:shd w:val="clear" w:color="auto" w:fill="auto"/>
            <w:vAlign w:val="center"/>
          </w:tcPr>
          <w:p w14:paraId="36D93B90" w14:textId="2EF21745" w:rsidR="00BB7BC9" w:rsidRPr="00781112" w:rsidRDefault="001474EC" w:rsidP="004369B2">
            <w:pPr>
              <w:spacing w:line="276" w:lineRule="auto"/>
              <w:jc w:val="center"/>
              <w:rPr>
                <w:rFonts w:cs="Arial"/>
                <w:color w:val="000000" w:themeColor="text1"/>
                <w:szCs w:val="16"/>
              </w:rPr>
            </w:pPr>
            <w:r w:rsidRPr="00781112">
              <w:rPr>
                <w:rFonts w:cs="Arial"/>
                <w:color w:val="000000" w:themeColor="text1"/>
                <w:szCs w:val="16"/>
              </w:rPr>
              <w:t>B</w:t>
            </w:r>
          </w:p>
        </w:tc>
        <w:tc>
          <w:tcPr>
            <w:tcW w:w="678" w:type="pct"/>
            <w:tcBorders>
              <w:left w:val="single" w:sz="4" w:space="0" w:color="auto"/>
              <w:right w:val="single" w:sz="4" w:space="0" w:color="auto"/>
            </w:tcBorders>
            <w:shd w:val="clear" w:color="auto" w:fill="auto"/>
            <w:vAlign w:val="center"/>
          </w:tcPr>
          <w:p w14:paraId="46CEC360" w14:textId="3F201206" w:rsidR="00BB7BC9" w:rsidRPr="00781112" w:rsidRDefault="002B7490" w:rsidP="00A018D4">
            <w:pPr>
              <w:jc w:val="center"/>
              <w:rPr>
                <w:rFonts w:cs="Arial"/>
                <w:color w:val="000000" w:themeColor="text1"/>
                <w:szCs w:val="16"/>
              </w:rPr>
            </w:pPr>
            <w:r w:rsidRPr="00781112">
              <w:rPr>
                <w:rFonts w:cs="Arial"/>
                <w:color w:val="000000" w:themeColor="text1"/>
                <w:szCs w:val="16"/>
              </w:rPr>
              <w:t>5.03%</w:t>
            </w:r>
          </w:p>
        </w:tc>
        <w:tc>
          <w:tcPr>
            <w:tcW w:w="67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52A1F55" w14:textId="77777777" w:rsidR="00BB7BC9" w:rsidRPr="00781112" w:rsidRDefault="00BB7BC9" w:rsidP="00BA3DBE">
            <w:pPr>
              <w:spacing w:line="276" w:lineRule="auto"/>
              <w:jc w:val="center"/>
              <w:rPr>
                <w:rFonts w:cs="Arial"/>
                <w:color w:val="000000" w:themeColor="text1"/>
                <w:szCs w:val="16"/>
              </w:rPr>
            </w:pPr>
            <w:r w:rsidRPr="00781112">
              <w:rPr>
                <w:rFonts w:cs="Arial"/>
                <w:color w:val="000000" w:themeColor="text1"/>
                <w:szCs w:val="16"/>
              </w:rPr>
              <w:t>Data</w:t>
            </w:r>
          </w:p>
        </w:tc>
        <w:tc>
          <w:tcPr>
            <w:tcW w:w="679" w:type="pct"/>
            <w:tcBorders>
              <w:top w:val="single" w:sz="4" w:space="0" w:color="auto"/>
              <w:left w:val="single" w:sz="4" w:space="0" w:color="auto"/>
              <w:bottom w:val="single" w:sz="4" w:space="0" w:color="auto"/>
              <w:right w:val="single" w:sz="4" w:space="0" w:color="auto"/>
            </w:tcBorders>
            <w:shd w:val="clear" w:color="auto" w:fill="auto"/>
            <w:vAlign w:val="center"/>
          </w:tcPr>
          <w:p w14:paraId="3C00B11B" w14:textId="1B815A91" w:rsidR="00BB7BC9" w:rsidRPr="00781112" w:rsidRDefault="002B7490">
            <w:pPr>
              <w:jc w:val="center"/>
              <w:rPr>
                <w:rFonts w:cs="Arial"/>
                <w:color w:val="000000" w:themeColor="text1"/>
                <w:szCs w:val="16"/>
              </w:rPr>
            </w:pPr>
            <w:r w:rsidRPr="00781112">
              <w:rPr>
                <w:rFonts w:cs="Arial"/>
                <w:color w:val="000000" w:themeColor="text1"/>
                <w:szCs w:val="16"/>
              </w:rPr>
              <w:t>6.07%</w:t>
            </w:r>
          </w:p>
        </w:tc>
        <w:tc>
          <w:tcPr>
            <w:tcW w:w="679" w:type="pct"/>
            <w:tcBorders>
              <w:top w:val="single" w:sz="4" w:space="0" w:color="auto"/>
              <w:left w:val="single" w:sz="4" w:space="0" w:color="auto"/>
              <w:bottom w:val="single" w:sz="4" w:space="0" w:color="auto"/>
              <w:right w:val="single" w:sz="4" w:space="0" w:color="auto"/>
            </w:tcBorders>
            <w:shd w:val="clear" w:color="auto" w:fill="auto"/>
            <w:vAlign w:val="center"/>
          </w:tcPr>
          <w:p w14:paraId="01973F9D" w14:textId="4C7C3BCD" w:rsidR="00BB7BC9" w:rsidRPr="00781112" w:rsidRDefault="002B7490">
            <w:pPr>
              <w:jc w:val="center"/>
              <w:rPr>
                <w:rFonts w:cs="Arial"/>
                <w:color w:val="000000" w:themeColor="text1"/>
                <w:szCs w:val="16"/>
              </w:rPr>
            </w:pPr>
            <w:r w:rsidRPr="00781112">
              <w:rPr>
                <w:rFonts w:cs="Arial"/>
                <w:color w:val="000000" w:themeColor="text1"/>
                <w:szCs w:val="16"/>
              </w:rPr>
              <w:t>5.67%</w:t>
            </w:r>
          </w:p>
        </w:tc>
        <w:tc>
          <w:tcPr>
            <w:tcW w:w="679" w:type="pct"/>
            <w:tcBorders>
              <w:top w:val="single" w:sz="4" w:space="0" w:color="auto"/>
              <w:left w:val="single" w:sz="4" w:space="0" w:color="auto"/>
              <w:bottom w:val="single" w:sz="4" w:space="0" w:color="auto"/>
              <w:right w:val="single" w:sz="4" w:space="0" w:color="auto"/>
            </w:tcBorders>
            <w:shd w:val="clear" w:color="auto" w:fill="auto"/>
            <w:vAlign w:val="center"/>
          </w:tcPr>
          <w:p w14:paraId="2270259B" w14:textId="550EFA1E" w:rsidR="00BB7BC9" w:rsidRPr="00781112" w:rsidRDefault="002B7490">
            <w:pPr>
              <w:jc w:val="center"/>
              <w:rPr>
                <w:rFonts w:cs="Arial"/>
                <w:color w:val="000000" w:themeColor="text1"/>
                <w:szCs w:val="16"/>
              </w:rPr>
            </w:pPr>
            <w:r w:rsidRPr="00781112">
              <w:rPr>
                <w:rFonts w:cs="Arial"/>
                <w:color w:val="000000" w:themeColor="text1"/>
                <w:szCs w:val="16"/>
              </w:rPr>
              <w:t>5.33%</w:t>
            </w:r>
          </w:p>
        </w:tc>
        <w:tc>
          <w:tcPr>
            <w:tcW w:w="679" w:type="pct"/>
            <w:tcBorders>
              <w:top w:val="single" w:sz="4" w:space="0" w:color="auto"/>
              <w:left w:val="single" w:sz="4" w:space="0" w:color="auto"/>
              <w:bottom w:val="single" w:sz="4" w:space="0" w:color="auto"/>
              <w:right w:val="single" w:sz="4" w:space="0" w:color="auto"/>
            </w:tcBorders>
            <w:shd w:val="clear" w:color="auto" w:fill="auto"/>
            <w:vAlign w:val="center"/>
          </w:tcPr>
          <w:p w14:paraId="435F6E4C" w14:textId="3A9E3826" w:rsidR="00BB7BC9" w:rsidRPr="00781112" w:rsidRDefault="002B7490">
            <w:pPr>
              <w:jc w:val="center"/>
              <w:rPr>
                <w:rFonts w:cs="Arial"/>
                <w:color w:val="000000" w:themeColor="text1"/>
                <w:szCs w:val="16"/>
              </w:rPr>
            </w:pPr>
            <w:r w:rsidRPr="00781112">
              <w:rPr>
                <w:rFonts w:cs="Arial"/>
                <w:color w:val="000000" w:themeColor="text1"/>
                <w:szCs w:val="16"/>
              </w:rPr>
              <w:t>5.03%</w:t>
            </w:r>
          </w:p>
        </w:tc>
        <w:tc>
          <w:tcPr>
            <w:tcW w:w="679" w:type="pct"/>
            <w:tcBorders>
              <w:top w:val="single" w:sz="4" w:space="0" w:color="auto"/>
              <w:left w:val="single" w:sz="4" w:space="0" w:color="auto"/>
              <w:bottom w:val="single" w:sz="4" w:space="0" w:color="auto"/>
              <w:right w:val="single" w:sz="4" w:space="0" w:color="auto"/>
            </w:tcBorders>
            <w:shd w:val="clear" w:color="auto" w:fill="auto"/>
            <w:vAlign w:val="center"/>
          </w:tcPr>
          <w:p w14:paraId="3F17276C" w14:textId="62DCEF2E" w:rsidR="00BB7BC9" w:rsidRPr="00781112" w:rsidRDefault="002B7490">
            <w:pPr>
              <w:jc w:val="center"/>
              <w:rPr>
                <w:rFonts w:cs="Arial"/>
                <w:color w:val="000000" w:themeColor="text1"/>
                <w:szCs w:val="16"/>
              </w:rPr>
            </w:pPr>
            <w:r w:rsidRPr="00781112">
              <w:rPr>
                <w:rFonts w:cs="Arial"/>
                <w:color w:val="000000" w:themeColor="text1"/>
                <w:szCs w:val="16"/>
              </w:rPr>
              <w:t>4.76%</w:t>
            </w:r>
          </w:p>
        </w:tc>
      </w:tr>
      <w:tr w:rsidR="005F0D3B" w:rsidRPr="00781112" w14:paraId="37C91828" w14:textId="68984F02" w:rsidTr="005F5FE9">
        <w:trPr>
          <w:trHeight w:val="357"/>
        </w:trPr>
        <w:tc>
          <w:tcPr>
            <w:tcW w:w="248" w:type="pct"/>
            <w:tcBorders>
              <w:top w:val="single" w:sz="4" w:space="0" w:color="auto"/>
              <w:left w:val="single" w:sz="4" w:space="0" w:color="auto"/>
              <w:right w:val="single" w:sz="4" w:space="0" w:color="auto"/>
            </w:tcBorders>
            <w:shd w:val="clear" w:color="auto" w:fill="auto"/>
            <w:vAlign w:val="center"/>
          </w:tcPr>
          <w:p w14:paraId="4C5B9753" w14:textId="77777777" w:rsidR="00BB7BC9" w:rsidRPr="00781112" w:rsidRDefault="00BB7BC9" w:rsidP="004B75EC">
            <w:pPr>
              <w:spacing w:line="276" w:lineRule="auto"/>
              <w:jc w:val="center"/>
              <w:rPr>
                <w:rFonts w:cs="Arial"/>
                <w:color w:val="000000" w:themeColor="text1"/>
                <w:szCs w:val="16"/>
              </w:rPr>
            </w:pPr>
            <w:r w:rsidRPr="00781112">
              <w:rPr>
                <w:rFonts w:cs="Arial"/>
                <w:color w:val="000000" w:themeColor="text1"/>
                <w:szCs w:val="16"/>
              </w:rPr>
              <w:t>C</w:t>
            </w:r>
          </w:p>
        </w:tc>
        <w:tc>
          <w:tcPr>
            <w:tcW w:w="678" w:type="pct"/>
            <w:tcBorders>
              <w:top w:val="single" w:sz="4" w:space="0" w:color="auto"/>
              <w:left w:val="single" w:sz="4" w:space="0" w:color="auto"/>
              <w:right w:val="single" w:sz="4" w:space="0" w:color="auto"/>
            </w:tcBorders>
            <w:shd w:val="clear" w:color="auto" w:fill="auto"/>
            <w:vAlign w:val="center"/>
          </w:tcPr>
          <w:p w14:paraId="70C9224B" w14:textId="70CACD96" w:rsidR="00BB7BC9" w:rsidRPr="00781112" w:rsidRDefault="002B7490" w:rsidP="00A018D4">
            <w:pPr>
              <w:jc w:val="center"/>
              <w:rPr>
                <w:rFonts w:cs="Arial"/>
                <w:color w:val="000000" w:themeColor="text1"/>
                <w:szCs w:val="16"/>
              </w:rPr>
            </w:pPr>
            <w:r w:rsidRPr="00781112">
              <w:rPr>
                <w:rFonts w:cs="Arial"/>
                <w:color w:val="000000" w:themeColor="text1"/>
                <w:szCs w:val="16"/>
              </w:rPr>
              <w:t>2020</w:t>
            </w:r>
          </w:p>
        </w:tc>
        <w:tc>
          <w:tcPr>
            <w:tcW w:w="67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F357A99" w14:textId="4C603377" w:rsidR="00BB7BC9" w:rsidRPr="00781112" w:rsidRDefault="00BB7BC9" w:rsidP="00BA3DBE">
            <w:pPr>
              <w:spacing w:line="276" w:lineRule="auto"/>
              <w:jc w:val="center"/>
              <w:rPr>
                <w:rFonts w:cs="Arial"/>
                <w:color w:val="000000" w:themeColor="text1"/>
                <w:szCs w:val="16"/>
              </w:rPr>
            </w:pPr>
            <w:r w:rsidRPr="00781112">
              <w:rPr>
                <w:rFonts w:cs="Arial"/>
                <w:color w:val="000000" w:themeColor="text1"/>
                <w:szCs w:val="16"/>
              </w:rPr>
              <w:t>Target &lt;=</w:t>
            </w:r>
          </w:p>
        </w:tc>
        <w:tc>
          <w:tcPr>
            <w:tcW w:w="679" w:type="pct"/>
            <w:tcBorders>
              <w:top w:val="single" w:sz="4" w:space="0" w:color="auto"/>
              <w:left w:val="single" w:sz="4" w:space="0" w:color="auto"/>
              <w:bottom w:val="single" w:sz="4" w:space="0" w:color="auto"/>
              <w:right w:val="single" w:sz="4" w:space="0" w:color="auto"/>
            </w:tcBorders>
            <w:shd w:val="clear" w:color="auto" w:fill="auto"/>
            <w:vAlign w:val="center"/>
          </w:tcPr>
          <w:p w14:paraId="71AD3A63" w14:textId="1D90F8DD" w:rsidR="00BB7BC9" w:rsidRPr="00781112" w:rsidRDefault="002B7490">
            <w:pPr>
              <w:jc w:val="center"/>
              <w:rPr>
                <w:rFonts w:cs="Arial"/>
                <w:color w:val="000000" w:themeColor="text1"/>
                <w:szCs w:val="16"/>
              </w:rPr>
            </w:pPr>
            <w:r w:rsidRPr="00781112">
              <w:rPr>
                <w:rFonts w:cs="Arial"/>
                <w:color w:val="000000" w:themeColor="text1"/>
                <w:szCs w:val="16"/>
              </w:rPr>
              <w:t>3.50%</w:t>
            </w:r>
          </w:p>
        </w:tc>
        <w:tc>
          <w:tcPr>
            <w:tcW w:w="679" w:type="pct"/>
            <w:tcBorders>
              <w:top w:val="single" w:sz="4" w:space="0" w:color="auto"/>
              <w:left w:val="single" w:sz="4" w:space="0" w:color="auto"/>
              <w:bottom w:val="single" w:sz="4" w:space="0" w:color="auto"/>
              <w:right w:val="single" w:sz="4" w:space="0" w:color="auto"/>
            </w:tcBorders>
            <w:shd w:val="clear" w:color="auto" w:fill="auto"/>
            <w:vAlign w:val="center"/>
          </w:tcPr>
          <w:p w14:paraId="1DA5DD15" w14:textId="499E0DC6" w:rsidR="00BB7BC9" w:rsidRPr="00781112" w:rsidRDefault="002B7490">
            <w:pPr>
              <w:jc w:val="center"/>
              <w:rPr>
                <w:rFonts w:cs="Arial"/>
                <w:color w:val="000000" w:themeColor="text1"/>
                <w:szCs w:val="16"/>
              </w:rPr>
            </w:pPr>
            <w:r w:rsidRPr="00781112">
              <w:rPr>
                <w:rFonts w:cs="Arial"/>
                <w:color w:val="000000" w:themeColor="text1"/>
                <w:szCs w:val="16"/>
              </w:rPr>
              <w:t>3.40%</w:t>
            </w:r>
          </w:p>
        </w:tc>
        <w:tc>
          <w:tcPr>
            <w:tcW w:w="679" w:type="pct"/>
            <w:tcBorders>
              <w:top w:val="single" w:sz="4" w:space="0" w:color="auto"/>
              <w:left w:val="single" w:sz="4" w:space="0" w:color="auto"/>
              <w:bottom w:val="single" w:sz="4" w:space="0" w:color="auto"/>
              <w:right w:val="single" w:sz="4" w:space="0" w:color="auto"/>
            </w:tcBorders>
            <w:shd w:val="clear" w:color="auto" w:fill="auto"/>
            <w:vAlign w:val="center"/>
          </w:tcPr>
          <w:p w14:paraId="7F1F1E81" w14:textId="46D753CA" w:rsidR="00BB7BC9" w:rsidRPr="00781112" w:rsidRDefault="002B7490">
            <w:pPr>
              <w:jc w:val="center"/>
              <w:rPr>
                <w:rFonts w:cs="Arial"/>
                <w:color w:val="000000" w:themeColor="text1"/>
                <w:szCs w:val="16"/>
              </w:rPr>
            </w:pPr>
            <w:r w:rsidRPr="00781112">
              <w:rPr>
                <w:rFonts w:cs="Arial"/>
                <w:color w:val="000000" w:themeColor="text1"/>
                <w:szCs w:val="16"/>
              </w:rPr>
              <w:t>3.40%</w:t>
            </w:r>
          </w:p>
        </w:tc>
        <w:tc>
          <w:tcPr>
            <w:tcW w:w="679" w:type="pct"/>
            <w:tcBorders>
              <w:top w:val="single" w:sz="4" w:space="0" w:color="auto"/>
              <w:left w:val="single" w:sz="4" w:space="0" w:color="auto"/>
              <w:bottom w:val="single" w:sz="4" w:space="0" w:color="auto"/>
              <w:right w:val="single" w:sz="4" w:space="0" w:color="auto"/>
            </w:tcBorders>
            <w:shd w:val="clear" w:color="auto" w:fill="auto"/>
            <w:vAlign w:val="center"/>
          </w:tcPr>
          <w:p w14:paraId="67E23DB0" w14:textId="434389A0" w:rsidR="00BB7BC9" w:rsidRPr="00781112" w:rsidRDefault="002B7490">
            <w:pPr>
              <w:jc w:val="center"/>
              <w:rPr>
                <w:rFonts w:cs="Arial"/>
                <w:color w:val="000000" w:themeColor="text1"/>
                <w:szCs w:val="16"/>
              </w:rPr>
            </w:pPr>
            <w:r w:rsidRPr="00781112">
              <w:rPr>
                <w:rFonts w:cs="Arial"/>
                <w:color w:val="000000" w:themeColor="text1"/>
                <w:szCs w:val="16"/>
              </w:rPr>
              <w:t>2.20%</w:t>
            </w:r>
          </w:p>
        </w:tc>
        <w:tc>
          <w:tcPr>
            <w:tcW w:w="679" w:type="pct"/>
            <w:tcBorders>
              <w:top w:val="single" w:sz="4" w:space="0" w:color="auto"/>
              <w:left w:val="single" w:sz="4" w:space="0" w:color="auto"/>
              <w:bottom w:val="single" w:sz="4" w:space="0" w:color="auto"/>
              <w:right w:val="single" w:sz="4" w:space="0" w:color="auto"/>
            </w:tcBorders>
            <w:shd w:val="clear" w:color="auto" w:fill="auto"/>
            <w:vAlign w:val="center"/>
          </w:tcPr>
          <w:p w14:paraId="6D656878" w14:textId="58FADB64" w:rsidR="00BB7BC9" w:rsidRPr="00781112" w:rsidRDefault="002B7490">
            <w:pPr>
              <w:jc w:val="center"/>
              <w:rPr>
                <w:rFonts w:cs="Arial"/>
                <w:color w:val="000000" w:themeColor="text1"/>
                <w:szCs w:val="16"/>
              </w:rPr>
            </w:pPr>
            <w:r w:rsidRPr="00781112">
              <w:rPr>
                <w:rFonts w:cs="Arial"/>
                <w:color w:val="000000" w:themeColor="text1"/>
                <w:szCs w:val="16"/>
              </w:rPr>
              <w:t>2.22%</w:t>
            </w:r>
          </w:p>
        </w:tc>
      </w:tr>
      <w:tr w:rsidR="005F0D3B" w:rsidRPr="00781112" w14:paraId="64BAB70F" w14:textId="676A8AD8" w:rsidTr="005F5FE9">
        <w:trPr>
          <w:trHeight w:val="85"/>
        </w:trPr>
        <w:tc>
          <w:tcPr>
            <w:tcW w:w="248" w:type="pct"/>
            <w:tcBorders>
              <w:left w:val="single" w:sz="4" w:space="0" w:color="auto"/>
              <w:right w:val="single" w:sz="4" w:space="0" w:color="auto"/>
            </w:tcBorders>
            <w:shd w:val="clear" w:color="auto" w:fill="auto"/>
            <w:vAlign w:val="center"/>
          </w:tcPr>
          <w:p w14:paraId="38B08CB3" w14:textId="5CD30D2F" w:rsidR="00BB7BC9" w:rsidRPr="00781112" w:rsidRDefault="001474EC" w:rsidP="004369B2">
            <w:pPr>
              <w:spacing w:line="276" w:lineRule="auto"/>
              <w:jc w:val="center"/>
              <w:rPr>
                <w:rFonts w:cs="Arial"/>
                <w:color w:val="000000" w:themeColor="text1"/>
                <w:szCs w:val="16"/>
              </w:rPr>
            </w:pPr>
            <w:r w:rsidRPr="00781112">
              <w:rPr>
                <w:rFonts w:cs="Arial"/>
                <w:color w:val="000000" w:themeColor="text1"/>
                <w:szCs w:val="16"/>
              </w:rPr>
              <w:t>C</w:t>
            </w:r>
          </w:p>
        </w:tc>
        <w:tc>
          <w:tcPr>
            <w:tcW w:w="678" w:type="pct"/>
            <w:tcBorders>
              <w:left w:val="single" w:sz="4" w:space="0" w:color="auto"/>
              <w:right w:val="single" w:sz="4" w:space="0" w:color="auto"/>
            </w:tcBorders>
            <w:shd w:val="clear" w:color="auto" w:fill="auto"/>
            <w:vAlign w:val="center"/>
          </w:tcPr>
          <w:p w14:paraId="68128485" w14:textId="059E5B6B" w:rsidR="00BB7BC9" w:rsidRPr="00781112" w:rsidRDefault="002B7490" w:rsidP="00A018D4">
            <w:pPr>
              <w:jc w:val="center"/>
              <w:rPr>
                <w:rFonts w:cs="Arial"/>
                <w:color w:val="000000" w:themeColor="text1"/>
                <w:szCs w:val="16"/>
              </w:rPr>
            </w:pPr>
            <w:r w:rsidRPr="00781112">
              <w:rPr>
                <w:rFonts w:cs="Arial"/>
                <w:color w:val="000000" w:themeColor="text1"/>
                <w:szCs w:val="16"/>
              </w:rPr>
              <w:t>2.20%</w:t>
            </w:r>
          </w:p>
        </w:tc>
        <w:tc>
          <w:tcPr>
            <w:tcW w:w="67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972C5D3" w14:textId="77777777" w:rsidR="00BB7BC9" w:rsidRPr="00781112" w:rsidRDefault="00BB7BC9" w:rsidP="00BA3DBE">
            <w:pPr>
              <w:spacing w:line="276" w:lineRule="auto"/>
              <w:jc w:val="center"/>
              <w:rPr>
                <w:rFonts w:cs="Arial"/>
                <w:color w:val="000000" w:themeColor="text1"/>
                <w:szCs w:val="16"/>
              </w:rPr>
            </w:pPr>
            <w:r w:rsidRPr="00781112">
              <w:rPr>
                <w:rFonts w:cs="Arial"/>
                <w:color w:val="000000" w:themeColor="text1"/>
                <w:szCs w:val="16"/>
              </w:rPr>
              <w:t>Data</w:t>
            </w:r>
          </w:p>
        </w:tc>
        <w:tc>
          <w:tcPr>
            <w:tcW w:w="679" w:type="pct"/>
            <w:tcBorders>
              <w:top w:val="single" w:sz="4" w:space="0" w:color="auto"/>
              <w:left w:val="single" w:sz="4" w:space="0" w:color="auto"/>
              <w:bottom w:val="single" w:sz="4" w:space="0" w:color="auto"/>
              <w:right w:val="single" w:sz="4" w:space="0" w:color="auto"/>
            </w:tcBorders>
            <w:shd w:val="clear" w:color="auto" w:fill="auto"/>
            <w:vAlign w:val="center"/>
          </w:tcPr>
          <w:p w14:paraId="331BEB85" w14:textId="2725D64A" w:rsidR="00BB7BC9" w:rsidRPr="00781112" w:rsidRDefault="002B7490">
            <w:pPr>
              <w:jc w:val="center"/>
              <w:rPr>
                <w:rFonts w:cs="Arial"/>
                <w:color w:val="000000" w:themeColor="text1"/>
                <w:szCs w:val="16"/>
              </w:rPr>
            </w:pPr>
            <w:r w:rsidRPr="00781112">
              <w:rPr>
                <w:rFonts w:cs="Arial"/>
                <w:color w:val="000000" w:themeColor="text1"/>
                <w:szCs w:val="16"/>
              </w:rPr>
              <w:t>2.32%</w:t>
            </w:r>
          </w:p>
        </w:tc>
        <w:tc>
          <w:tcPr>
            <w:tcW w:w="679" w:type="pct"/>
            <w:tcBorders>
              <w:top w:val="single" w:sz="4" w:space="0" w:color="auto"/>
              <w:left w:val="single" w:sz="4" w:space="0" w:color="auto"/>
              <w:bottom w:val="single" w:sz="4" w:space="0" w:color="auto"/>
              <w:right w:val="single" w:sz="4" w:space="0" w:color="auto"/>
            </w:tcBorders>
            <w:shd w:val="clear" w:color="auto" w:fill="auto"/>
            <w:vAlign w:val="center"/>
          </w:tcPr>
          <w:p w14:paraId="51272C2D" w14:textId="719A941F" w:rsidR="00BB7BC9" w:rsidRPr="00781112" w:rsidRDefault="002B7490">
            <w:pPr>
              <w:jc w:val="center"/>
              <w:rPr>
                <w:rFonts w:cs="Arial"/>
                <w:color w:val="000000" w:themeColor="text1"/>
                <w:szCs w:val="16"/>
              </w:rPr>
            </w:pPr>
            <w:r w:rsidRPr="00781112">
              <w:rPr>
                <w:rFonts w:cs="Arial"/>
                <w:color w:val="000000" w:themeColor="text1"/>
                <w:szCs w:val="16"/>
              </w:rPr>
              <w:t>2.42%</w:t>
            </w:r>
          </w:p>
        </w:tc>
        <w:tc>
          <w:tcPr>
            <w:tcW w:w="679" w:type="pct"/>
            <w:tcBorders>
              <w:top w:val="single" w:sz="4" w:space="0" w:color="auto"/>
              <w:left w:val="single" w:sz="4" w:space="0" w:color="auto"/>
              <w:bottom w:val="single" w:sz="4" w:space="0" w:color="auto"/>
              <w:right w:val="single" w:sz="4" w:space="0" w:color="auto"/>
            </w:tcBorders>
            <w:shd w:val="clear" w:color="auto" w:fill="auto"/>
            <w:vAlign w:val="center"/>
          </w:tcPr>
          <w:p w14:paraId="66D69289" w14:textId="52314ECA" w:rsidR="00BB7BC9" w:rsidRPr="00781112" w:rsidRDefault="002B7490">
            <w:pPr>
              <w:jc w:val="center"/>
              <w:rPr>
                <w:rFonts w:cs="Arial"/>
                <w:color w:val="000000" w:themeColor="text1"/>
                <w:szCs w:val="16"/>
              </w:rPr>
            </w:pPr>
            <w:r w:rsidRPr="00781112">
              <w:rPr>
                <w:rFonts w:cs="Arial"/>
                <w:color w:val="000000" w:themeColor="text1"/>
                <w:szCs w:val="16"/>
              </w:rPr>
              <w:t>2.30%</w:t>
            </w:r>
          </w:p>
        </w:tc>
        <w:tc>
          <w:tcPr>
            <w:tcW w:w="679" w:type="pct"/>
            <w:tcBorders>
              <w:top w:val="single" w:sz="4" w:space="0" w:color="auto"/>
              <w:left w:val="single" w:sz="4" w:space="0" w:color="auto"/>
              <w:bottom w:val="single" w:sz="4" w:space="0" w:color="auto"/>
              <w:right w:val="single" w:sz="4" w:space="0" w:color="auto"/>
            </w:tcBorders>
            <w:shd w:val="clear" w:color="auto" w:fill="auto"/>
            <w:vAlign w:val="center"/>
          </w:tcPr>
          <w:p w14:paraId="50C089F4" w14:textId="48A87A04" w:rsidR="00BB7BC9" w:rsidRPr="00781112" w:rsidRDefault="002B7490">
            <w:pPr>
              <w:jc w:val="center"/>
              <w:rPr>
                <w:rFonts w:cs="Arial"/>
                <w:color w:val="000000" w:themeColor="text1"/>
                <w:szCs w:val="16"/>
              </w:rPr>
            </w:pPr>
            <w:r w:rsidRPr="00781112">
              <w:rPr>
                <w:rFonts w:cs="Arial"/>
                <w:color w:val="000000" w:themeColor="text1"/>
                <w:szCs w:val="16"/>
              </w:rPr>
              <w:t>2.20%</w:t>
            </w:r>
          </w:p>
        </w:tc>
        <w:tc>
          <w:tcPr>
            <w:tcW w:w="679" w:type="pct"/>
            <w:tcBorders>
              <w:top w:val="single" w:sz="4" w:space="0" w:color="auto"/>
              <w:left w:val="single" w:sz="4" w:space="0" w:color="auto"/>
              <w:bottom w:val="single" w:sz="4" w:space="0" w:color="auto"/>
              <w:right w:val="single" w:sz="4" w:space="0" w:color="auto"/>
            </w:tcBorders>
            <w:shd w:val="clear" w:color="auto" w:fill="auto"/>
            <w:vAlign w:val="center"/>
          </w:tcPr>
          <w:p w14:paraId="05793CF8" w14:textId="025DD51B" w:rsidR="00BB7BC9" w:rsidRPr="00781112" w:rsidRDefault="002B7490">
            <w:pPr>
              <w:jc w:val="center"/>
              <w:rPr>
                <w:rFonts w:cs="Arial"/>
                <w:color w:val="000000" w:themeColor="text1"/>
                <w:szCs w:val="16"/>
              </w:rPr>
            </w:pPr>
            <w:r w:rsidRPr="00781112">
              <w:rPr>
                <w:rFonts w:cs="Arial"/>
                <w:color w:val="000000" w:themeColor="text1"/>
                <w:szCs w:val="16"/>
              </w:rPr>
              <w:t>2.00%</w:t>
            </w:r>
          </w:p>
        </w:tc>
      </w:tr>
    </w:tbl>
    <w:p w14:paraId="4F18E18D" w14:textId="77777777" w:rsidR="004A4803" w:rsidRPr="00781112" w:rsidRDefault="004A4803" w:rsidP="004369B2">
      <w:pPr>
        <w:rPr>
          <w:color w:val="000000" w:themeColor="text1"/>
        </w:rPr>
      </w:pPr>
    </w:p>
    <w:p w14:paraId="4B421711" w14:textId="34B64243" w:rsidR="002C207A" w:rsidRPr="00781112" w:rsidRDefault="002C207A" w:rsidP="004369B2">
      <w:pPr>
        <w:rPr>
          <w:color w:val="000000" w:themeColor="text1"/>
        </w:rPr>
      </w:pPr>
      <w:r w:rsidRPr="00781112">
        <w:rPr>
          <w:b/>
          <w:color w:val="000000" w:themeColor="text1"/>
        </w:rPr>
        <w:t>Targets</w:t>
      </w:r>
    </w:p>
    <w:tbl>
      <w:tblPr>
        <w:tblW w:w="34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B05TARGETS"/>
      </w:tblPr>
      <w:tblGrid>
        <w:gridCol w:w="672"/>
        <w:gridCol w:w="1691"/>
        <w:gridCol w:w="1691"/>
        <w:gridCol w:w="1691"/>
        <w:gridCol w:w="1691"/>
      </w:tblGrid>
      <w:tr w:rsidR="00B67FCE" w:rsidRPr="00781112" w14:paraId="67121B7A" w14:textId="6B1EA8E0" w:rsidTr="00845B9B">
        <w:trPr>
          <w:trHeight w:val="264"/>
        </w:trPr>
        <w:tc>
          <w:tcPr>
            <w:tcW w:w="452" w:type="pct"/>
            <w:tcBorders>
              <w:bottom w:val="single" w:sz="4" w:space="0" w:color="auto"/>
            </w:tcBorders>
            <w:shd w:val="clear" w:color="auto" w:fill="auto"/>
          </w:tcPr>
          <w:p w14:paraId="417BC1C4" w14:textId="77777777" w:rsidR="00B67FCE" w:rsidRPr="00781112" w:rsidRDefault="00B67FCE" w:rsidP="00D62058">
            <w:pPr>
              <w:jc w:val="center"/>
              <w:rPr>
                <w:b/>
                <w:color w:val="000000" w:themeColor="text1"/>
              </w:rPr>
            </w:pPr>
            <w:r w:rsidRPr="00781112">
              <w:rPr>
                <w:b/>
                <w:color w:val="000000" w:themeColor="text1"/>
              </w:rPr>
              <w:t>FFY</w:t>
            </w:r>
          </w:p>
        </w:tc>
        <w:tc>
          <w:tcPr>
            <w:tcW w:w="1137" w:type="pct"/>
            <w:shd w:val="clear" w:color="auto" w:fill="auto"/>
          </w:tcPr>
          <w:p w14:paraId="43C546D5" w14:textId="7A1B1AB1" w:rsidR="00B67FCE" w:rsidRPr="00781112" w:rsidRDefault="00B67FCE" w:rsidP="00D62058">
            <w:pPr>
              <w:jc w:val="center"/>
              <w:rPr>
                <w:b/>
                <w:color w:val="000000" w:themeColor="text1"/>
              </w:rPr>
            </w:pPr>
            <w:r w:rsidRPr="00781112">
              <w:rPr>
                <w:b/>
                <w:color w:val="000000" w:themeColor="text1"/>
              </w:rPr>
              <w:t>2022</w:t>
            </w:r>
          </w:p>
        </w:tc>
        <w:tc>
          <w:tcPr>
            <w:tcW w:w="1137" w:type="pct"/>
          </w:tcPr>
          <w:p w14:paraId="12417F21" w14:textId="04859FD1" w:rsidR="00B67FCE" w:rsidRPr="00781112" w:rsidRDefault="00B67FCE" w:rsidP="00D62058">
            <w:pPr>
              <w:jc w:val="center"/>
              <w:rPr>
                <w:b/>
                <w:color w:val="000000" w:themeColor="text1"/>
              </w:rPr>
            </w:pPr>
            <w:r w:rsidRPr="00781112">
              <w:rPr>
                <w:rFonts w:cs="Arial"/>
                <w:b/>
                <w:color w:val="000000" w:themeColor="text1"/>
                <w:szCs w:val="16"/>
              </w:rPr>
              <w:t>2023</w:t>
            </w:r>
          </w:p>
        </w:tc>
        <w:tc>
          <w:tcPr>
            <w:tcW w:w="1137" w:type="pct"/>
          </w:tcPr>
          <w:p w14:paraId="75B6E23D" w14:textId="1550C183" w:rsidR="00B67FCE" w:rsidRPr="00781112" w:rsidRDefault="00B67FCE" w:rsidP="00D62058">
            <w:pPr>
              <w:jc w:val="center"/>
              <w:rPr>
                <w:b/>
                <w:color w:val="000000" w:themeColor="text1"/>
              </w:rPr>
            </w:pPr>
            <w:r w:rsidRPr="00781112">
              <w:rPr>
                <w:rFonts w:cs="Arial"/>
                <w:b/>
                <w:color w:val="000000" w:themeColor="text1"/>
                <w:szCs w:val="16"/>
              </w:rPr>
              <w:t>2024</w:t>
            </w:r>
          </w:p>
        </w:tc>
        <w:tc>
          <w:tcPr>
            <w:tcW w:w="1137" w:type="pct"/>
          </w:tcPr>
          <w:p w14:paraId="0412226B" w14:textId="561C74FD" w:rsidR="00B67FCE" w:rsidRPr="00781112" w:rsidRDefault="00B67FCE" w:rsidP="00D62058">
            <w:pPr>
              <w:jc w:val="center"/>
              <w:rPr>
                <w:b/>
                <w:color w:val="000000" w:themeColor="text1"/>
              </w:rPr>
            </w:pPr>
            <w:r w:rsidRPr="00781112">
              <w:rPr>
                <w:rFonts w:cs="Arial"/>
                <w:b/>
                <w:color w:val="000000" w:themeColor="text1"/>
                <w:szCs w:val="16"/>
              </w:rPr>
              <w:t>2025</w:t>
            </w:r>
          </w:p>
        </w:tc>
      </w:tr>
      <w:tr w:rsidR="00B67FCE" w:rsidRPr="00781112" w14:paraId="0E725BBE" w14:textId="7C441390" w:rsidTr="00845B9B">
        <w:trPr>
          <w:trHeight w:val="270"/>
        </w:trPr>
        <w:tc>
          <w:tcPr>
            <w:tcW w:w="452" w:type="pct"/>
            <w:shd w:val="clear" w:color="auto" w:fill="auto"/>
            <w:vAlign w:val="center"/>
          </w:tcPr>
          <w:p w14:paraId="3CB4FC66" w14:textId="21A33A6B" w:rsidR="00B67FCE" w:rsidRPr="00781112" w:rsidRDefault="00B67FCE" w:rsidP="00BA3DBE">
            <w:pPr>
              <w:jc w:val="center"/>
              <w:rPr>
                <w:rFonts w:cs="Arial"/>
                <w:color w:val="000000" w:themeColor="text1"/>
                <w:szCs w:val="16"/>
              </w:rPr>
            </w:pPr>
            <w:r w:rsidRPr="00781112">
              <w:rPr>
                <w:rFonts w:cs="Arial"/>
                <w:color w:val="000000" w:themeColor="text1"/>
                <w:szCs w:val="16"/>
              </w:rPr>
              <w:t>Target A &gt;=</w:t>
            </w:r>
          </w:p>
        </w:tc>
        <w:tc>
          <w:tcPr>
            <w:tcW w:w="1137" w:type="pct"/>
            <w:shd w:val="clear" w:color="auto" w:fill="auto"/>
            <w:vAlign w:val="center"/>
          </w:tcPr>
          <w:p w14:paraId="0643B02C" w14:textId="7613B373" w:rsidR="00B67FCE" w:rsidRPr="00781112" w:rsidRDefault="00B67FCE" w:rsidP="00D62058">
            <w:pPr>
              <w:jc w:val="center"/>
              <w:rPr>
                <w:rFonts w:cs="Arial"/>
                <w:color w:val="000000" w:themeColor="text1"/>
                <w:szCs w:val="16"/>
              </w:rPr>
            </w:pPr>
            <w:r w:rsidRPr="00781112">
              <w:rPr>
                <w:rFonts w:cs="Arial"/>
                <w:color w:val="000000" w:themeColor="text1"/>
                <w:szCs w:val="16"/>
              </w:rPr>
              <w:t>78.02%</w:t>
            </w:r>
          </w:p>
        </w:tc>
        <w:tc>
          <w:tcPr>
            <w:tcW w:w="1137" w:type="pct"/>
          </w:tcPr>
          <w:p w14:paraId="5AAF7764" w14:textId="6CE24C23" w:rsidR="00B67FCE" w:rsidRPr="00781112" w:rsidRDefault="00B67FCE" w:rsidP="00D62058">
            <w:pPr>
              <w:jc w:val="center"/>
              <w:rPr>
                <w:rFonts w:cs="Arial"/>
                <w:color w:val="000000" w:themeColor="text1"/>
                <w:szCs w:val="16"/>
              </w:rPr>
            </w:pPr>
            <w:r w:rsidRPr="00781112">
              <w:rPr>
                <w:color w:val="000000" w:themeColor="text1"/>
                <w:szCs w:val="16"/>
              </w:rPr>
              <w:t>78.34%</w:t>
            </w:r>
          </w:p>
        </w:tc>
        <w:tc>
          <w:tcPr>
            <w:tcW w:w="1137" w:type="pct"/>
          </w:tcPr>
          <w:p w14:paraId="18842FBE" w14:textId="34C8AABC" w:rsidR="00B67FCE" w:rsidRPr="00781112" w:rsidRDefault="00B67FCE" w:rsidP="00D62058">
            <w:pPr>
              <w:jc w:val="center"/>
              <w:rPr>
                <w:rFonts w:cs="Arial"/>
                <w:color w:val="000000" w:themeColor="text1"/>
                <w:szCs w:val="16"/>
              </w:rPr>
            </w:pPr>
            <w:r w:rsidRPr="00781112">
              <w:rPr>
                <w:color w:val="000000" w:themeColor="text1"/>
                <w:szCs w:val="16"/>
              </w:rPr>
              <w:t>78.67%</w:t>
            </w:r>
          </w:p>
        </w:tc>
        <w:tc>
          <w:tcPr>
            <w:tcW w:w="1137" w:type="pct"/>
          </w:tcPr>
          <w:p w14:paraId="22283B88" w14:textId="78C8081B" w:rsidR="00B67FCE" w:rsidRPr="00781112" w:rsidRDefault="00B67FCE" w:rsidP="00D62058">
            <w:pPr>
              <w:jc w:val="center"/>
              <w:rPr>
                <w:rFonts w:cs="Arial"/>
                <w:color w:val="000000" w:themeColor="text1"/>
                <w:szCs w:val="16"/>
              </w:rPr>
            </w:pPr>
            <w:r w:rsidRPr="00781112">
              <w:rPr>
                <w:color w:val="000000" w:themeColor="text1"/>
                <w:szCs w:val="16"/>
              </w:rPr>
              <w:t>78.99%</w:t>
            </w:r>
          </w:p>
        </w:tc>
      </w:tr>
      <w:tr w:rsidR="00B67FCE" w:rsidRPr="00781112" w14:paraId="17C12050" w14:textId="1A45DE5B" w:rsidTr="00845B9B">
        <w:trPr>
          <w:trHeight w:val="270"/>
        </w:trPr>
        <w:tc>
          <w:tcPr>
            <w:tcW w:w="452" w:type="pct"/>
            <w:shd w:val="clear" w:color="auto" w:fill="auto"/>
            <w:vAlign w:val="center"/>
          </w:tcPr>
          <w:p w14:paraId="5FF4BE45" w14:textId="3D057CF2" w:rsidR="00B67FCE" w:rsidRPr="00781112" w:rsidRDefault="00B67FCE" w:rsidP="00BA3DBE">
            <w:pPr>
              <w:jc w:val="center"/>
              <w:rPr>
                <w:rFonts w:cs="Arial"/>
                <w:color w:val="000000" w:themeColor="text1"/>
                <w:szCs w:val="16"/>
              </w:rPr>
            </w:pPr>
            <w:r w:rsidRPr="00781112">
              <w:rPr>
                <w:rFonts w:cs="Arial"/>
                <w:color w:val="000000" w:themeColor="text1"/>
                <w:szCs w:val="16"/>
              </w:rPr>
              <w:t>Target B &lt;=</w:t>
            </w:r>
          </w:p>
        </w:tc>
        <w:tc>
          <w:tcPr>
            <w:tcW w:w="1137" w:type="pct"/>
            <w:shd w:val="clear" w:color="auto" w:fill="auto"/>
            <w:vAlign w:val="center"/>
          </w:tcPr>
          <w:p w14:paraId="4B344C1C" w14:textId="2108066A" w:rsidR="00B67FCE" w:rsidRPr="00781112" w:rsidRDefault="00B67FCE" w:rsidP="00D62058">
            <w:pPr>
              <w:jc w:val="center"/>
              <w:rPr>
                <w:rFonts w:cs="Arial"/>
                <w:color w:val="000000" w:themeColor="text1"/>
                <w:szCs w:val="16"/>
              </w:rPr>
            </w:pPr>
            <w:r w:rsidRPr="00781112">
              <w:rPr>
                <w:rFonts w:cs="Arial"/>
                <w:color w:val="000000" w:themeColor="text1"/>
                <w:szCs w:val="16"/>
              </w:rPr>
              <w:t>5.21%</w:t>
            </w:r>
          </w:p>
        </w:tc>
        <w:tc>
          <w:tcPr>
            <w:tcW w:w="1137" w:type="pct"/>
          </w:tcPr>
          <w:p w14:paraId="05700FA5" w14:textId="5CCD345F" w:rsidR="00B67FCE" w:rsidRPr="00781112" w:rsidRDefault="00B67FCE" w:rsidP="00D62058">
            <w:pPr>
              <w:jc w:val="center"/>
              <w:rPr>
                <w:rFonts w:cs="Arial"/>
                <w:color w:val="000000" w:themeColor="text1"/>
                <w:szCs w:val="16"/>
              </w:rPr>
            </w:pPr>
            <w:r w:rsidRPr="00781112">
              <w:rPr>
                <w:color w:val="000000" w:themeColor="text1"/>
                <w:szCs w:val="16"/>
              </w:rPr>
              <w:t>5.15%</w:t>
            </w:r>
          </w:p>
        </w:tc>
        <w:tc>
          <w:tcPr>
            <w:tcW w:w="1137" w:type="pct"/>
          </w:tcPr>
          <w:p w14:paraId="3714E477" w14:textId="7A435890" w:rsidR="00B67FCE" w:rsidRPr="00781112" w:rsidRDefault="00B67FCE" w:rsidP="00D62058">
            <w:pPr>
              <w:jc w:val="center"/>
              <w:rPr>
                <w:rFonts w:cs="Arial"/>
                <w:color w:val="000000" w:themeColor="text1"/>
                <w:szCs w:val="16"/>
              </w:rPr>
            </w:pPr>
            <w:r w:rsidRPr="00781112">
              <w:rPr>
                <w:color w:val="000000" w:themeColor="text1"/>
                <w:szCs w:val="16"/>
              </w:rPr>
              <w:t>5.09%</w:t>
            </w:r>
          </w:p>
        </w:tc>
        <w:tc>
          <w:tcPr>
            <w:tcW w:w="1137" w:type="pct"/>
          </w:tcPr>
          <w:p w14:paraId="378D738F" w14:textId="779494DE" w:rsidR="00B67FCE" w:rsidRPr="00781112" w:rsidRDefault="00B67FCE" w:rsidP="00D62058">
            <w:pPr>
              <w:jc w:val="center"/>
              <w:rPr>
                <w:rFonts w:cs="Arial"/>
                <w:color w:val="000000" w:themeColor="text1"/>
                <w:szCs w:val="16"/>
              </w:rPr>
            </w:pPr>
            <w:r w:rsidRPr="00781112">
              <w:rPr>
                <w:color w:val="000000" w:themeColor="text1"/>
                <w:szCs w:val="16"/>
              </w:rPr>
              <w:t>5.02%</w:t>
            </w:r>
          </w:p>
        </w:tc>
      </w:tr>
      <w:tr w:rsidR="00B67FCE" w:rsidRPr="00781112" w14:paraId="1C671552" w14:textId="2F7800FB" w:rsidTr="00845B9B">
        <w:trPr>
          <w:trHeight w:val="270"/>
        </w:trPr>
        <w:tc>
          <w:tcPr>
            <w:tcW w:w="452" w:type="pct"/>
            <w:shd w:val="clear" w:color="auto" w:fill="auto"/>
            <w:vAlign w:val="center"/>
          </w:tcPr>
          <w:p w14:paraId="5D979A7F" w14:textId="57DEB4C1" w:rsidR="00B67FCE" w:rsidRPr="00781112" w:rsidRDefault="00B67FCE" w:rsidP="00BA3DBE">
            <w:pPr>
              <w:jc w:val="center"/>
              <w:rPr>
                <w:rFonts w:cs="Arial"/>
                <w:color w:val="000000" w:themeColor="text1"/>
                <w:szCs w:val="16"/>
              </w:rPr>
            </w:pPr>
            <w:r w:rsidRPr="00781112">
              <w:rPr>
                <w:rFonts w:cs="Arial"/>
                <w:color w:val="000000" w:themeColor="text1"/>
                <w:szCs w:val="16"/>
              </w:rPr>
              <w:t>Target C &lt;=</w:t>
            </w:r>
          </w:p>
        </w:tc>
        <w:tc>
          <w:tcPr>
            <w:tcW w:w="1137" w:type="pct"/>
            <w:shd w:val="clear" w:color="auto" w:fill="auto"/>
            <w:vAlign w:val="center"/>
          </w:tcPr>
          <w:p w14:paraId="1C0EF441" w14:textId="373B29D8" w:rsidR="00B67FCE" w:rsidRPr="00781112" w:rsidRDefault="00B67FCE" w:rsidP="00D62058">
            <w:pPr>
              <w:jc w:val="center"/>
              <w:rPr>
                <w:rFonts w:cs="Arial"/>
                <w:color w:val="000000" w:themeColor="text1"/>
                <w:szCs w:val="16"/>
              </w:rPr>
            </w:pPr>
            <w:r w:rsidRPr="00781112">
              <w:rPr>
                <w:rFonts w:cs="Arial"/>
                <w:color w:val="000000" w:themeColor="text1"/>
                <w:szCs w:val="16"/>
              </w:rPr>
              <w:t>2.22%</w:t>
            </w:r>
          </w:p>
        </w:tc>
        <w:tc>
          <w:tcPr>
            <w:tcW w:w="1137" w:type="pct"/>
          </w:tcPr>
          <w:p w14:paraId="29CA6903" w14:textId="7D992541" w:rsidR="00B67FCE" w:rsidRPr="00781112" w:rsidRDefault="00B67FCE" w:rsidP="00D62058">
            <w:pPr>
              <w:jc w:val="center"/>
              <w:rPr>
                <w:rFonts w:cs="Arial"/>
                <w:color w:val="000000" w:themeColor="text1"/>
                <w:szCs w:val="16"/>
              </w:rPr>
            </w:pPr>
            <w:r w:rsidRPr="00781112">
              <w:rPr>
                <w:color w:val="000000" w:themeColor="text1"/>
                <w:szCs w:val="16"/>
              </w:rPr>
              <w:t>2.21%</w:t>
            </w:r>
          </w:p>
        </w:tc>
        <w:tc>
          <w:tcPr>
            <w:tcW w:w="1137" w:type="pct"/>
          </w:tcPr>
          <w:p w14:paraId="552B6B09" w14:textId="511FB8CF" w:rsidR="00B67FCE" w:rsidRPr="00781112" w:rsidRDefault="00B67FCE" w:rsidP="00D62058">
            <w:pPr>
              <w:jc w:val="center"/>
              <w:rPr>
                <w:rFonts w:cs="Arial"/>
                <w:color w:val="000000" w:themeColor="text1"/>
                <w:szCs w:val="16"/>
              </w:rPr>
            </w:pPr>
            <w:r w:rsidRPr="00781112">
              <w:rPr>
                <w:color w:val="000000" w:themeColor="text1"/>
                <w:szCs w:val="16"/>
              </w:rPr>
              <w:t>2.20%</w:t>
            </w:r>
          </w:p>
        </w:tc>
        <w:tc>
          <w:tcPr>
            <w:tcW w:w="1137" w:type="pct"/>
          </w:tcPr>
          <w:p w14:paraId="7DB61507" w14:textId="60C3D8B8" w:rsidR="00B67FCE" w:rsidRPr="00781112" w:rsidRDefault="00B67FCE" w:rsidP="00D62058">
            <w:pPr>
              <w:jc w:val="center"/>
              <w:rPr>
                <w:rFonts w:cs="Arial"/>
                <w:color w:val="000000" w:themeColor="text1"/>
                <w:szCs w:val="16"/>
              </w:rPr>
            </w:pPr>
            <w:r w:rsidRPr="00781112">
              <w:rPr>
                <w:color w:val="000000" w:themeColor="text1"/>
                <w:szCs w:val="16"/>
              </w:rPr>
              <w:t>2.19%</w:t>
            </w:r>
          </w:p>
        </w:tc>
      </w:tr>
    </w:tbl>
    <w:p w14:paraId="7C8EA9A0" w14:textId="74543D19" w:rsidR="002D145D" w:rsidRPr="00781112" w:rsidRDefault="002D145D" w:rsidP="004369B2">
      <w:pPr>
        <w:rPr>
          <w:b/>
          <w:color w:val="000000" w:themeColor="text1"/>
        </w:rPr>
      </w:pPr>
      <w:r w:rsidRPr="00781112">
        <w:rPr>
          <w:b/>
          <w:color w:val="000000" w:themeColor="text1"/>
        </w:rPr>
        <w:t xml:space="preserve">Targets: Description of Stakeholder Input </w:t>
      </w:r>
    </w:p>
    <w:p w14:paraId="2B96DDD0" w14:textId="3E2ADE72" w:rsidR="002D145D" w:rsidRPr="00781112" w:rsidRDefault="00D60B5F" w:rsidP="002D145D">
      <w:pPr>
        <w:rPr>
          <w:rFonts w:cs="Arial"/>
          <w:color w:val="000000" w:themeColor="text1"/>
          <w:szCs w:val="16"/>
        </w:rPr>
      </w:pPr>
      <w:r w:rsidRPr="00781112">
        <w:rPr>
          <w:rFonts w:cs="Arial"/>
          <w:color w:val="000000" w:themeColor="text1"/>
          <w:szCs w:val="16"/>
        </w:rPr>
        <w:t>For FFY 2022, CDE presented, discussed, and solicited feedback on the SPP/APR Indicators with our Colorado Special Education Advisory Committee (CSEAC).</w:t>
      </w:r>
      <w:r w:rsidRPr="00781112">
        <w:rPr>
          <w:rFonts w:cs="Arial"/>
          <w:color w:val="000000" w:themeColor="text1"/>
          <w:szCs w:val="16"/>
        </w:rPr>
        <w:br/>
      </w:r>
      <w:r w:rsidRPr="00781112">
        <w:rPr>
          <w:rFonts w:cs="Arial"/>
          <w:color w:val="000000" w:themeColor="text1"/>
          <w:szCs w:val="16"/>
        </w:rPr>
        <w:br/>
        <w:t>For FFY 2020, the following mechanisms were used to gather broad stakeholder input:</w:t>
      </w:r>
      <w:r w:rsidRPr="00781112">
        <w:rPr>
          <w:rFonts w:cs="Arial"/>
          <w:color w:val="000000" w:themeColor="text1"/>
          <w:szCs w:val="16"/>
        </w:rPr>
        <w:br/>
        <w:t>Identified CDE internal stakeholders and content experts for each indicator:</w:t>
      </w:r>
      <w:r w:rsidRPr="00781112">
        <w:rPr>
          <w:rFonts w:cs="Arial"/>
          <w:color w:val="000000" w:themeColor="text1"/>
          <w:szCs w:val="16"/>
        </w:rPr>
        <w:br/>
        <w:t>1. Scheduled meetings for each CDE internal stakeholder indicator team.</w:t>
      </w:r>
      <w:r w:rsidRPr="00781112">
        <w:rPr>
          <w:rFonts w:cs="Arial"/>
          <w:color w:val="000000" w:themeColor="text1"/>
          <w:szCs w:val="16"/>
        </w:rPr>
        <w:br/>
        <w:t>2. Met with each CDE stakeholder team, explain rules and parameters, Colorado history of indicator, past and current improvement strategies, facilitate discussion, and solicit feedback and develop options for each of the SPP/APR targets.</w:t>
      </w:r>
      <w:r w:rsidRPr="00781112">
        <w:rPr>
          <w:rFonts w:cs="Arial"/>
          <w:color w:val="000000" w:themeColor="text1"/>
          <w:szCs w:val="16"/>
        </w:rPr>
        <w:br/>
        <w:t>3. Met with each CDE stakeholder team to facilitate discussion and come to consensus on targets and improvement strategies to present to the external stakeholder groups.</w:t>
      </w:r>
      <w:r w:rsidRPr="00781112">
        <w:rPr>
          <w:rFonts w:cs="Arial"/>
          <w:color w:val="000000" w:themeColor="text1"/>
          <w:szCs w:val="16"/>
        </w:rPr>
        <w:br/>
        <w:t xml:space="preserve">4. Requested and collected improvement strategies for each indicator from each CDE internal stakeholder team. </w:t>
      </w:r>
      <w:r w:rsidRPr="00781112">
        <w:rPr>
          <w:rFonts w:cs="Arial"/>
          <w:color w:val="000000" w:themeColor="text1"/>
          <w:szCs w:val="16"/>
        </w:rPr>
        <w:br/>
      </w:r>
      <w:r w:rsidRPr="00781112">
        <w:rPr>
          <w:rFonts w:cs="Arial"/>
          <w:color w:val="000000" w:themeColor="text1"/>
          <w:szCs w:val="16"/>
        </w:rPr>
        <w:br/>
        <w:t>Built a survey to collect evidence and information from external stakeholder groups and the public to gain feedback on current SPP/APR indicators to collect the following data:</w:t>
      </w:r>
      <w:r w:rsidRPr="00781112">
        <w:rPr>
          <w:rFonts w:cs="Arial"/>
          <w:color w:val="000000" w:themeColor="text1"/>
          <w:szCs w:val="16"/>
        </w:rPr>
        <w:br/>
        <w:t xml:space="preserve">1. Are targets too high, too low, </w:t>
      </w:r>
      <w:proofErr w:type="gramStart"/>
      <w:r w:rsidRPr="00781112">
        <w:rPr>
          <w:rFonts w:cs="Arial"/>
          <w:color w:val="000000" w:themeColor="text1"/>
          <w:szCs w:val="16"/>
        </w:rPr>
        <w:t>just</w:t>
      </w:r>
      <w:proofErr w:type="gramEnd"/>
      <w:r w:rsidRPr="00781112">
        <w:rPr>
          <w:rFonts w:cs="Arial"/>
          <w:color w:val="000000" w:themeColor="text1"/>
          <w:szCs w:val="16"/>
        </w:rPr>
        <w:t xml:space="preserve"> right?</w:t>
      </w:r>
      <w:r w:rsidRPr="00781112">
        <w:rPr>
          <w:rFonts w:cs="Arial"/>
          <w:color w:val="000000" w:themeColor="text1"/>
          <w:szCs w:val="16"/>
        </w:rPr>
        <w:br/>
      </w:r>
      <w:r w:rsidRPr="00781112">
        <w:rPr>
          <w:rFonts w:cs="Arial"/>
          <w:color w:val="000000" w:themeColor="text1"/>
          <w:szCs w:val="16"/>
        </w:rPr>
        <w:lastRenderedPageBreak/>
        <w:t>2. If the proposed improvement strategies are reasonably calculated to help Colorado reach the proposed targets?</w:t>
      </w:r>
      <w:r w:rsidRPr="00781112">
        <w:rPr>
          <w:rFonts w:cs="Arial"/>
          <w:color w:val="000000" w:themeColor="text1"/>
          <w:szCs w:val="16"/>
        </w:rPr>
        <w:br/>
        <w:t>3. Is the proposed choice of demographic category to be analyzed for representation an appropriate selection?</w:t>
      </w:r>
      <w:r w:rsidRPr="00781112">
        <w:rPr>
          <w:rFonts w:cs="Arial"/>
          <w:color w:val="000000" w:themeColor="text1"/>
          <w:szCs w:val="16"/>
        </w:rPr>
        <w:br/>
      </w:r>
      <w:r w:rsidRPr="00781112">
        <w:rPr>
          <w:rFonts w:cs="Arial"/>
          <w:color w:val="000000" w:themeColor="text1"/>
          <w:szCs w:val="16"/>
        </w:rPr>
        <w:br/>
        <w:t>Built a web page to include:</w:t>
      </w:r>
      <w:r w:rsidRPr="00781112">
        <w:rPr>
          <w:rFonts w:cs="Arial"/>
          <w:color w:val="000000" w:themeColor="text1"/>
          <w:szCs w:val="16"/>
        </w:rPr>
        <w:br/>
        <w:t>1. basic information regarding the SPP/APR and the 6-year target resetting process.</w:t>
      </w:r>
      <w:r w:rsidRPr="00781112">
        <w:rPr>
          <w:rFonts w:cs="Arial"/>
          <w:color w:val="000000" w:themeColor="text1"/>
          <w:szCs w:val="16"/>
        </w:rPr>
        <w:br/>
        <w:t>2. asyncronys access to a series of webinars explaining each of the SPP/APR indicators, proposed targets, and improvement strategies.</w:t>
      </w:r>
      <w:r w:rsidRPr="00781112">
        <w:rPr>
          <w:rFonts w:cs="Arial"/>
          <w:color w:val="000000" w:themeColor="text1"/>
          <w:szCs w:val="16"/>
        </w:rPr>
        <w:br/>
        <w:t>3. a link to an indicator survey to gather information from the public during the comment period. This survey was designed to solicit the following information: (a) Are the proposed targets too high, too low, or appropriate? (b) Are the proposed improvement strategies reasonably calculated to help Colorado reach the proposed targets? (c) Is the proposed demographic group to be analyzed for representation an appropriate selection?</w:t>
      </w:r>
      <w:r w:rsidRPr="00781112">
        <w:rPr>
          <w:rFonts w:cs="Arial"/>
          <w:color w:val="000000" w:themeColor="text1"/>
          <w:szCs w:val="16"/>
        </w:rPr>
        <w:br/>
      </w:r>
      <w:r w:rsidRPr="00781112">
        <w:rPr>
          <w:rFonts w:cs="Arial"/>
          <w:color w:val="000000" w:themeColor="text1"/>
          <w:szCs w:val="16"/>
        </w:rPr>
        <w:br/>
        <w:t>Presented and requested input on agreed on targets and improvement strategies to the following indicator specific advisory councils: Preschool School Special Education Advisory Committee (PSSEAC), and the Secondary Transition Task Force Advisory Committee. Review and incorporate feedback into the final draft of the new targets and share proposed version with ESSU Executive Director for approval.</w:t>
      </w:r>
      <w:r w:rsidRPr="00781112">
        <w:rPr>
          <w:rFonts w:cs="Arial"/>
          <w:color w:val="000000" w:themeColor="text1"/>
          <w:szCs w:val="16"/>
        </w:rPr>
        <w:br/>
        <w:t>Presented proposed targets and gathered additional feedback to the following State advisory groups and advocacy groups: Colorado Special Education Advisory Committee (CSEAC) and Parent Partnerships for Equity Advisory Committee, The Arc of Colorado, PEAK Parent Center, and Disability Law Colorado.</w:t>
      </w:r>
      <w:r w:rsidRPr="00781112">
        <w:rPr>
          <w:rFonts w:cs="Arial"/>
          <w:color w:val="000000" w:themeColor="text1"/>
          <w:szCs w:val="16"/>
        </w:rPr>
        <w:br/>
        <w:t>Presented proposed targets for all indicators to Colorado LEA Special Education Directors.</w:t>
      </w:r>
      <w:r w:rsidRPr="00781112">
        <w:rPr>
          <w:rFonts w:cs="Arial"/>
          <w:color w:val="000000" w:themeColor="text1"/>
          <w:szCs w:val="16"/>
        </w:rPr>
        <w:br/>
        <w:t>Held a 2-month public comment period to solicit public comments through a broad CDE-wide communication plan made up of a dedicated webpage with short videos and surveys for each indicator, CDE Facebook page, CDE Twitter Account, a CDE webpage news story, CDE’s Weekly Newsletter, and notifications to our parent advocacy agencies.</w:t>
      </w:r>
      <w:r w:rsidRPr="00781112">
        <w:rPr>
          <w:rFonts w:cs="Arial"/>
          <w:color w:val="000000" w:themeColor="text1"/>
          <w:szCs w:val="16"/>
        </w:rPr>
        <w:br/>
        <w:t xml:space="preserve"> </w:t>
      </w:r>
      <w:r w:rsidRPr="00781112">
        <w:rPr>
          <w:rFonts w:cs="Arial"/>
          <w:color w:val="000000" w:themeColor="text1"/>
          <w:szCs w:val="16"/>
        </w:rPr>
        <w:br/>
        <w:t>Reviewed and considered public comments received through the indicator survey mechanism, finalize all targets with ESSU Executive Director, and published targets on CDE webpage.</w:t>
      </w:r>
    </w:p>
    <w:p w14:paraId="5251E1B0" w14:textId="77777777" w:rsidR="004A4803" w:rsidRPr="00781112" w:rsidRDefault="004A4803" w:rsidP="004369B2">
      <w:pPr>
        <w:rPr>
          <w:color w:val="000000" w:themeColor="text1"/>
        </w:rPr>
      </w:pPr>
    </w:p>
    <w:p w14:paraId="4D7BF763" w14:textId="45C93061" w:rsidR="00931A25" w:rsidRPr="00781112" w:rsidRDefault="00931A25" w:rsidP="004369B2">
      <w:pPr>
        <w:rPr>
          <w:color w:val="000000" w:themeColor="text1"/>
        </w:rPr>
      </w:pPr>
      <w:r w:rsidRPr="00781112">
        <w:rPr>
          <w:b/>
          <w:color w:val="000000" w:themeColor="text1"/>
        </w:rPr>
        <w:t>Prepopulated Data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B05PREPOPDATA"/>
      </w:tblPr>
      <w:tblGrid>
        <w:gridCol w:w="2605"/>
        <w:gridCol w:w="2969"/>
        <w:gridCol w:w="3332"/>
        <w:gridCol w:w="1884"/>
      </w:tblGrid>
      <w:tr w:rsidR="005C29F8" w:rsidRPr="00781112" w14:paraId="7DC625CA" w14:textId="77777777" w:rsidTr="0033429D">
        <w:trPr>
          <w:trHeight w:val="372"/>
          <w:tblHeader/>
        </w:trPr>
        <w:tc>
          <w:tcPr>
            <w:tcW w:w="1207" w:type="pct"/>
            <w:shd w:val="clear" w:color="auto" w:fill="auto"/>
          </w:tcPr>
          <w:p w14:paraId="27CE7D2A" w14:textId="77777777" w:rsidR="001C6C30" w:rsidRPr="00781112" w:rsidRDefault="001C6C30">
            <w:pPr>
              <w:spacing w:after="0"/>
              <w:jc w:val="center"/>
              <w:rPr>
                <w:rFonts w:cs="Arial"/>
                <w:b/>
                <w:color w:val="000000" w:themeColor="text1"/>
                <w:szCs w:val="16"/>
              </w:rPr>
            </w:pPr>
            <w:r w:rsidRPr="00781112">
              <w:rPr>
                <w:rFonts w:cs="Arial"/>
                <w:b/>
                <w:color w:val="000000" w:themeColor="text1"/>
                <w:szCs w:val="16"/>
              </w:rPr>
              <w:t>Source</w:t>
            </w:r>
          </w:p>
        </w:tc>
        <w:tc>
          <w:tcPr>
            <w:tcW w:w="1376" w:type="pct"/>
            <w:shd w:val="clear" w:color="auto" w:fill="auto"/>
          </w:tcPr>
          <w:p w14:paraId="37A472D3" w14:textId="77777777" w:rsidR="001C6C30" w:rsidRPr="00781112" w:rsidRDefault="001C6C30">
            <w:pPr>
              <w:spacing w:after="0"/>
              <w:jc w:val="center"/>
              <w:rPr>
                <w:rFonts w:cs="Arial"/>
                <w:b/>
                <w:color w:val="000000" w:themeColor="text1"/>
                <w:szCs w:val="16"/>
              </w:rPr>
            </w:pPr>
            <w:r w:rsidRPr="00781112">
              <w:rPr>
                <w:rFonts w:cs="Arial"/>
                <w:b/>
                <w:color w:val="000000" w:themeColor="text1"/>
                <w:szCs w:val="16"/>
              </w:rPr>
              <w:t>Date</w:t>
            </w:r>
          </w:p>
        </w:tc>
        <w:tc>
          <w:tcPr>
            <w:tcW w:w="1544" w:type="pct"/>
            <w:shd w:val="clear" w:color="auto" w:fill="auto"/>
          </w:tcPr>
          <w:p w14:paraId="3AD5D5D4" w14:textId="77777777" w:rsidR="001C6C30" w:rsidRPr="00781112" w:rsidRDefault="001C6C30">
            <w:pPr>
              <w:spacing w:after="0"/>
              <w:jc w:val="center"/>
              <w:rPr>
                <w:rFonts w:cs="Arial"/>
                <w:b/>
                <w:color w:val="000000" w:themeColor="text1"/>
                <w:szCs w:val="16"/>
              </w:rPr>
            </w:pPr>
            <w:r w:rsidRPr="00781112">
              <w:rPr>
                <w:rFonts w:cs="Arial"/>
                <w:b/>
                <w:color w:val="000000" w:themeColor="text1"/>
                <w:szCs w:val="16"/>
              </w:rPr>
              <w:t>Description</w:t>
            </w:r>
          </w:p>
        </w:tc>
        <w:tc>
          <w:tcPr>
            <w:tcW w:w="873" w:type="pct"/>
            <w:shd w:val="clear" w:color="auto" w:fill="auto"/>
          </w:tcPr>
          <w:p w14:paraId="3879034D" w14:textId="77777777" w:rsidR="001C6C30" w:rsidRPr="00781112" w:rsidRDefault="001C6C30">
            <w:pPr>
              <w:spacing w:after="0"/>
              <w:jc w:val="center"/>
              <w:rPr>
                <w:rFonts w:cs="Arial"/>
                <w:b/>
                <w:color w:val="000000" w:themeColor="text1"/>
                <w:szCs w:val="16"/>
              </w:rPr>
            </w:pPr>
            <w:r w:rsidRPr="00781112">
              <w:rPr>
                <w:rFonts w:cs="Arial"/>
                <w:b/>
                <w:color w:val="000000" w:themeColor="text1"/>
                <w:szCs w:val="16"/>
              </w:rPr>
              <w:t>Data</w:t>
            </w:r>
          </w:p>
        </w:tc>
      </w:tr>
      <w:tr w:rsidR="005C29F8" w:rsidRPr="00781112" w14:paraId="701A6E97" w14:textId="77777777" w:rsidTr="00AB0D6A">
        <w:trPr>
          <w:trHeight w:val="380"/>
        </w:trPr>
        <w:tc>
          <w:tcPr>
            <w:tcW w:w="1207" w:type="pct"/>
            <w:shd w:val="clear" w:color="auto" w:fill="auto"/>
            <w:vAlign w:val="center"/>
          </w:tcPr>
          <w:p w14:paraId="35A4BC35" w14:textId="73E52F94" w:rsidR="003C1852" w:rsidRPr="00781112" w:rsidRDefault="002B7490">
            <w:pPr>
              <w:jc w:val="center"/>
              <w:rPr>
                <w:rFonts w:cs="Arial"/>
                <w:color w:val="000000" w:themeColor="text1"/>
                <w:szCs w:val="16"/>
              </w:rPr>
            </w:pPr>
            <w:r w:rsidRPr="00781112">
              <w:rPr>
                <w:rFonts w:cs="Arial"/>
                <w:color w:val="000000" w:themeColor="text1"/>
                <w:szCs w:val="16"/>
              </w:rPr>
              <w:t>SY 2022-23 Child Count/Educational Environment Data Groups (EDFacts file spec FS002; Data group 74)</w:t>
            </w:r>
          </w:p>
        </w:tc>
        <w:tc>
          <w:tcPr>
            <w:tcW w:w="1376" w:type="pct"/>
            <w:shd w:val="clear" w:color="auto" w:fill="auto"/>
            <w:vAlign w:val="center"/>
          </w:tcPr>
          <w:p w14:paraId="0BD5009E" w14:textId="3A5F2E3D" w:rsidR="003C1852" w:rsidRPr="00781112" w:rsidRDefault="00FB785D">
            <w:pPr>
              <w:jc w:val="center"/>
              <w:rPr>
                <w:rFonts w:cs="Arial"/>
                <w:color w:val="000000" w:themeColor="text1"/>
                <w:szCs w:val="16"/>
              </w:rPr>
            </w:pPr>
            <w:r w:rsidRPr="00781112">
              <w:rPr>
                <w:rFonts w:cs="Arial"/>
                <w:color w:val="000000" w:themeColor="text1"/>
                <w:szCs w:val="16"/>
              </w:rPr>
              <w:t>08/30/2023</w:t>
            </w:r>
          </w:p>
        </w:tc>
        <w:tc>
          <w:tcPr>
            <w:tcW w:w="1544" w:type="pct"/>
            <w:shd w:val="clear" w:color="auto" w:fill="auto"/>
            <w:vAlign w:val="center"/>
          </w:tcPr>
          <w:p w14:paraId="05856C31" w14:textId="605373FB" w:rsidR="003C1852" w:rsidRPr="00781112" w:rsidRDefault="003C1852" w:rsidP="00E0321D">
            <w:pPr>
              <w:jc w:val="center"/>
              <w:rPr>
                <w:rFonts w:cs="Arial"/>
                <w:color w:val="000000" w:themeColor="text1"/>
                <w:szCs w:val="16"/>
              </w:rPr>
            </w:pPr>
            <w:r w:rsidRPr="00781112">
              <w:rPr>
                <w:rFonts w:cs="Arial"/>
                <w:color w:val="000000" w:themeColor="text1"/>
                <w:szCs w:val="16"/>
              </w:rPr>
              <w:t xml:space="preserve">Total number of children with IEPs aged </w:t>
            </w:r>
            <w:r w:rsidR="00185BA9" w:rsidRPr="00781112">
              <w:rPr>
                <w:rFonts w:cs="Arial"/>
                <w:szCs w:val="16"/>
              </w:rPr>
              <w:t>5 (kindergarten)</w:t>
            </w:r>
            <w:r w:rsidRPr="00781112">
              <w:rPr>
                <w:rFonts w:cs="Arial"/>
                <w:color w:val="000000" w:themeColor="text1"/>
                <w:szCs w:val="16"/>
              </w:rPr>
              <w:t xml:space="preserve"> through 21</w:t>
            </w:r>
          </w:p>
        </w:tc>
        <w:tc>
          <w:tcPr>
            <w:tcW w:w="873" w:type="pct"/>
            <w:shd w:val="clear" w:color="auto" w:fill="auto"/>
            <w:vAlign w:val="center"/>
          </w:tcPr>
          <w:p w14:paraId="6A944F84" w14:textId="31582347" w:rsidR="003C1852" w:rsidRPr="00781112" w:rsidRDefault="002B7490" w:rsidP="00E0321D">
            <w:pPr>
              <w:jc w:val="center"/>
              <w:rPr>
                <w:rFonts w:cs="Arial"/>
                <w:color w:val="000000" w:themeColor="text1"/>
                <w:szCs w:val="16"/>
              </w:rPr>
            </w:pPr>
            <w:r w:rsidRPr="00781112">
              <w:rPr>
                <w:rFonts w:cs="Arial"/>
                <w:color w:val="000000" w:themeColor="text1"/>
                <w:szCs w:val="16"/>
              </w:rPr>
              <w:t>104,181</w:t>
            </w:r>
          </w:p>
        </w:tc>
      </w:tr>
      <w:tr w:rsidR="005C29F8" w:rsidRPr="00781112" w14:paraId="774B0393" w14:textId="77777777" w:rsidTr="00AB0D6A">
        <w:trPr>
          <w:trHeight w:val="380"/>
        </w:trPr>
        <w:tc>
          <w:tcPr>
            <w:tcW w:w="1207" w:type="pct"/>
            <w:shd w:val="clear" w:color="auto" w:fill="auto"/>
            <w:vAlign w:val="center"/>
          </w:tcPr>
          <w:p w14:paraId="41118E4B" w14:textId="707D9C2B" w:rsidR="008A3DC6" w:rsidRPr="00781112" w:rsidRDefault="00FB785D">
            <w:pPr>
              <w:jc w:val="center"/>
              <w:rPr>
                <w:rFonts w:cs="Arial"/>
                <w:color w:val="000000" w:themeColor="text1"/>
                <w:szCs w:val="16"/>
              </w:rPr>
            </w:pPr>
            <w:r w:rsidRPr="00781112">
              <w:rPr>
                <w:rFonts w:cs="Arial"/>
                <w:color w:val="000000" w:themeColor="text1"/>
                <w:szCs w:val="16"/>
              </w:rPr>
              <w:t>SY 2022-23 Child Count/Educational Environment Data Groups (EDFacts file spec FS002; Data group 74)</w:t>
            </w:r>
          </w:p>
        </w:tc>
        <w:tc>
          <w:tcPr>
            <w:tcW w:w="1376" w:type="pct"/>
            <w:shd w:val="clear" w:color="auto" w:fill="auto"/>
            <w:vAlign w:val="center"/>
          </w:tcPr>
          <w:p w14:paraId="598C9B67" w14:textId="1DDD1ECD" w:rsidR="008A3DC6" w:rsidRPr="00781112" w:rsidRDefault="00FB785D">
            <w:pPr>
              <w:jc w:val="center"/>
              <w:rPr>
                <w:rFonts w:cs="Arial"/>
                <w:color w:val="000000" w:themeColor="text1"/>
                <w:szCs w:val="16"/>
              </w:rPr>
            </w:pPr>
            <w:r w:rsidRPr="00781112">
              <w:rPr>
                <w:rFonts w:cs="Arial"/>
                <w:color w:val="000000" w:themeColor="text1"/>
                <w:szCs w:val="16"/>
              </w:rPr>
              <w:t>08/30/2023</w:t>
            </w:r>
          </w:p>
        </w:tc>
        <w:tc>
          <w:tcPr>
            <w:tcW w:w="1544" w:type="pct"/>
            <w:shd w:val="clear" w:color="auto" w:fill="auto"/>
            <w:vAlign w:val="center"/>
          </w:tcPr>
          <w:p w14:paraId="02329530" w14:textId="7C955459" w:rsidR="008A3DC6" w:rsidRPr="00781112" w:rsidRDefault="008A3DC6" w:rsidP="00E0321D">
            <w:pPr>
              <w:jc w:val="center"/>
              <w:rPr>
                <w:rFonts w:cs="Arial"/>
                <w:color w:val="000000" w:themeColor="text1"/>
                <w:szCs w:val="16"/>
              </w:rPr>
            </w:pPr>
            <w:r w:rsidRPr="00781112">
              <w:rPr>
                <w:rFonts w:cs="Arial"/>
                <w:color w:val="000000" w:themeColor="text1"/>
                <w:szCs w:val="16"/>
              </w:rPr>
              <w:t xml:space="preserve">A. Number of children with IEPs aged </w:t>
            </w:r>
            <w:r w:rsidR="00185BA9" w:rsidRPr="00781112">
              <w:rPr>
                <w:rFonts w:cs="Arial"/>
                <w:szCs w:val="16"/>
              </w:rPr>
              <w:t>5 (kindergarten)</w:t>
            </w:r>
            <w:r w:rsidRPr="00781112">
              <w:rPr>
                <w:rFonts w:cs="Arial"/>
                <w:color w:val="000000" w:themeColor="text1"/>
                <w:szCs w:val="16"/>
              </w:rPr>
              <w:t xml:space="preserve"> through 21 inside the regular class 80% or more of the day</w:t>
            </w:r>
          </w:p>
        </w:tc>
        <w:tc>
          <w:tcPr>
            <w:tcW w:w="873" w:type="pct"/>
            <w:shd w:val="clear" w:color="auto" w:fill="auto"/>
            <w:vAlign w:val="center"/>
          </w:tcPr>
          <w:p w14:paraId="699212F3" w14:textId="450EBDBF" w:rsidR="008A3DC6" w:rsidRPr="00781112" w:rsidRDefault="002B7490" w:rsidP="00E0321D">
            <w:pPr>
              <w:jc w:val="center"/>
              <w:rPr>
                <w:rFonts w:cs="Arial"/>
                <w:color w:val="000000" w:themeColor="text1"/>
                <w:szCs w:val="16"/>
              </w:rPr>
            </w:pPr>
            <w:r w:rsidRPr="00781112">
              <w:rPr>
                <w:rFonts w:cs="Arial"/>
                <w:color w:val="000000" w:themeColor="text1"/>
                <w:szCs w:val="16"/>
              </w:rPr>
              <w:t>83,385</w:t>
            </w:r>
          </w:p>
        </w:tc>
      </w:tr>
      <w:tr w:rsidR="005C29F8" w:rsidRPr="00781112" w14:paraId="1BE24412" w14:textId="77777777" w:rsidTr="00AB0D6A">
        <w:trPr>
          <w:trHeight w:val="380"/>
        </w:trPr>
        <w:tc>
          <w:tcPr>
            <w:tcW w:w="1207" w:type="pct"/>
            <w:shd w:val="clear" w:color="auto" w:fill="auto"/>
            <w:vAlign w:val="center"/>
          </w:tcPr>
          <w:p w14:paraId="13D524C0" w14:textId="46F357A5" w:rsidR="008A3DC6" w:rsidRPr="00781112" w:rsidRDefault="00FB785D">
            <w:pPr>
              <w:jc w:val="center"/>
              <w:rPr>
                <w:rFonts w:cs="Arial"/>
                <w:color w:val="000000" w:themeColor="text1"/>
                <w:szCs w:val="16"/>
              </w:rPr>
            </w:pPr>
            <w:r w:rsidRPr="00781112">
              <w:rPr>
                <w:rFonts w:cs="Arial"/>
                <w:color w:val="000000" w:themeColor="text1"/>
                <w:szCs w:val="16"/>
              </w:rPr>
              <w:t>SY 2022-23 Child Count/Educational Environment Data Groups (EDFacts file spec FS002; Data group 74)</w:t>
            </w:r>
          </w:p>
        </w:tc>
        <w:tc>
          <w:tcPr>
            <w:tcW w:w="1376" w:type="pct"/>
            <w:shd w:val="clear" w:color="auto" w:fill="auto"/>
            <w:vAlign w:val="center"/>
          </w:tcPr>
          <w:p w14:paraId="72EFA773" w14:textId="00761F20" w:rsidR="008A3DC6" w:rsidRPr="00781112" w:rsidRDefault="00FB785D">
            <w:pPr>
              <w:jc w:val="center"/>
              <w:rPr>
                <w:rFonts w:cs="Arial"/>
                <w:color w:val="000000" w:themeColor="text1"/>
                <w:szCs w:val="16"/>
              </w:rPr>
            </w:pPr>
            <w:r w:rsidRPr="00781112">
              <w:rPr>
                <w:rFonts w:cs="Arial"/>
                <w:color w:val="000000" w:themeColor="text1"/>
                <w:szCs w:val="16"/>
              </w:rPr>
              <w:t>08/30/2023</w:t>
            </w:r>
          </w:p>
        </w:tc>
        <w:tc>
          <w:tcPr>
            <w:tcW w:w="1544" w:type="pct"/>
            <w:shd w:val="clear" w:color="auto" w:fill="auto"/>
            <w:vAlign w:val="center"/>
          </w:tcPr>
          <w:p w14:paraId="6EF7CE7A" w14:textId="07D1D751" w:rsidR="008A3DC6" w:rsidRPr="00781112" w:rsidRDefault="008A3DC6" w:rsidP="00E0321D">
            <w:pPr>
              <w:jc w:val="center"/>
              <w:rPr>
                <w:rFonts w:cs="Arial"/>
                <w:color w:val="000000" w:themeColor="text1"/>
                <w:szCs w:val="16"/>
              </w:rPr>
            </w:pPr>
            <w:r w:rsidRPr="00781112">
              <w:rPr>
                <w:rFonts w:cs="Arial"/>
                <w:color w:val="000000" w:themeColor="text1"/>
                <w:szCs w:val="16"/>
              </w:rPr>
              <w:t xml:space="preserve">B. Number of children with IEPs aged </w:t>
            </w:r>
            <w:r w:rsidR="00185BA9" w:rsidRPr="00781112">
              <w:rPr>
                <w:rFonts w:cs="Arial"/>
                <w:szCs w:val="16"/>
              </w:rPr>
              <w:t>5 (kindergarten)</w:t>
            </w:r>
            <w:r w:rsidR="00185BA9" w:rsidRPr="00781112">
              <w:rPr>
                <w:rFonts w:cs="Arial"/>
                <w:color w:val="000000" w:themeColor="text1"/>
                <w:szCs w:val="16"/>
              </w:rPr>
              <w:t xml:space="preserve"> </w:t>
            </w:r>
            <w:r w:rsidRPr="00781112">
              <w:rPr>
                <w:rFonts w:cs="Arial"/>
                <w:color w:val="000000" w:themeColor="text1"/>
                <w:szCs w:val="16"/>
              </w:rPr>
              <w:t>through 21 inside the regular class less than 40% of the day</w:t>
            </w:r>
          </w:p>
        </w:tc>
        <w:tc>
          <w:tcPr>
            <w:tcW w:w="873" w:type="pct"/>
            <w:shd w:val="clear" w:color="auto" w:fill="auto"/>
            <w:vAlign w:val="center"/>
          </w:tcPr>
          <w:p w14:paraId="33B90725" w14:textId="1FBE54FE" w:rsidR="008A3DC6" w:rsidRPr="00781112" w:rsidRDefault="002B7490" w:rsidP="00E0321D">
            <w:pPr>
              <w:jc w:val="center"/>
              <w:rPr>
                <w:rFonts w:cs="Arial"/>
                <w:color w:val="000000" w:themeColor="text1"/>
                <w:szCs w:val="16"/>
              </w:rPr>
            </w:pPr>
            <w:r w:rsidRPr="00781112">
              <w:rPr>
                <w:rFonts w:cs="Arial"/>
                <w:color w:val="000000" w:themeColor="text1"/>
                <w:szCs w:val="16"/>
              </w:rPr>
              <w:t>4,753</w:t>
            </w:r>
          </w:p>
        </w:tc>
      </w:tr>
      <w:tr w:rsidR="005C29F8" w:rsidRPr="00781112" w14:paraId="17A5A2B3" w14:textId="77777777" w:rsidTr="00AB0D6A">
        <w:trPr>
          <w:trHeight w:val="380"/>
        </w:trPr>
        <w:tc>
          <w:tcPr>
            <w:tcW w:w="1207" w:type="pct"/>
            <w:shd w:val="clear" w:color="auto" w:fill="auto"/>
            <w:vAlign w:val="center"/>
          </w:tcPr>
          <w:p w14:paraId="525A2ED8" w14:textId="4E94BB5B" w:rsidR="008A3DC6" w:rsidRPr="00781112" w:rsidRDefault="00FB785D">
            <w:pPr>
              <w:jc w:val="center"/>
              <w:rPr>
                <w:rFonts w:cs="Arial"/>
                <w:color w:val="000000" w:themeColor="text1"/>
                <w:szCs w:val="16"/>
              </w:rPr>
            </w:pPr>
            <w:r w:rsidRPr="00781112">
              <w:rPr>
                <w:rFonts w:cs="Arial"/>
                <w:color w:val="000000" w:themeColor="text1"/>
                <w:szCs w:val="16"/>
              </w:rPr>
              <w:t>SY 2022-23 Child Count/Educational Environment Data Groups (EDFacts file spec FS002; Data group 74)</w:t>
            </w:r>
          </w:p>
        </w:tc>
        <w:tc>
          <w:tcPr>
            <w:tcW w:w="1376" w:type="pct"/>
            <w:shd w:val="clear" w:color="auto" w:fill="auto"/>
            <w:vAlign w:val="center"/>
          </w:tcPr>
          <w:p w14:paraId="68C3F92C" w14:textId="3AE47CC2" w:rsidR="008A3DC6" w:rsidRPr="00781112" w:rsidRDefault="00FB785D">
            <w:pPr>
              <w:jc w:val="center"/>
              <w:rPr>
                <w:rFonts w:cs="Arial"/>
                <w:color w:val="000000" w:themeColor="text1"/>
                <w:szCs w:val="16"/>
              </w:rPr>
            </w:pPr>
            <w:r w:rsidRPr="00781112">
              <w:rPr>
                <w:rFonts w:cs="Arial"/>
                <w:color w:val="000000" w:themeColor="text1"/>
                <w:szCs w:val="16"/>
              </w:rPr>
              <w:t>08/30/2023</w:t>
            </w:r>
          </w:p>
        </w:tc>
        <w:tc>
          <w:tcPr>
            <w:tcW w:w="1544" w:type="pct"/>
            <w:shd w:val="clear" w:color="auto" w:fill="auto"/>
            <w:vAlign w:val="center"/>
          </w:tcPr>
          <w:p w14:paraId="413AEB9E" w14:textId="1B537E25" w:rsidR="008A3DC6" w:rsidRPr="00781112" w:rsidRDefault="008A3DC6" w:rsidP="00E0321D">
            <w:pPr>
              <w:jc w:val="center"/>
              <w:rPr>
                <w:rFonts w:cs="Arial"/>
                <w:color w:val="000000" w:themeColor="text1"/>
                <w:szCs w:val="16"/>
              </w:rPr>
            </w:pPr>
            <w:r w:rsidRPr="00781112">
              <w:rPr>
                <w:rFonts w:cs="Arial"/>
                <w:color w:val="000000" w:themeColor="text1"/>
                <w:szCs w:val="16"/>
              </w:rPr>
              <w:t xml:space="preserve">c1. Number of children with IEPs aged </w:t>
            </w:r>
            <w:r w:rsidR="00185BA9" w:rsidRPr="00781112">
              <w:rPr>
                <w:rFonts w:cs="Arial"/>
                <w:szCs w:val="16"/>
              </w:rPr>
              <w:t>5 (kindergarten)</w:t>
            </w:r>
            <w:r w:rsidRPr="00781112">
              <w:rPr>
                <w:rFonts w:cs="Arial"/>
                <w:color w:val="000000" w:themeColor="text1"/>
                <w:szCs w:val="16"/>
              </w:rPr>
              <w:t xml:space="preserve"> through 21 in separate </w:t>
            </w:r>
            <w:r w:rsidR="00185BA9" w:rsidRPr="00781112">
              <w:rPr>
                <w:rFonts w:cs="Arial"/>
                <w:color w:val="000000" w:themeColor="text1"/>
                <w:szCs w:val="16"/>
              </w:rPr>
              <w:t>s</w:t>
            </w:r>
            <w:r w:rsidRPr="00781112">
              <w:rPr>
                <w:rFonts w:cs="Arial"/>
                <w:color w:val="000000" w:themeColor="text1"/>
                <w:szCs w:val="16"/>
              </w:rPr>
              <w:t>chools</w:t>
            </w:r>
          </w:p>
        </w:tc>
        <w:tc>
          <w:tcPr>
            <w:tcW w:w="873" w:type="pct"/>
            <w:shd w:val="clear" w:color="auto" w:fill="auto"/>
            <w:vAlign w:val="center"/>
          </w:tcPr>
          <w:p w14:paraId="0C6DF60D" w14:textId="1A57B1C5" w:rsidR="008A3DC6" w:rsidRPr="00781112" w:rsidRDefault="002B7490" w:rsidP="00E0321D">
            <w:pPr>
              <w:jc w:val="center"/>
              <w:rPr>
                <w:rFonts w:cs="Arial"/>
                <w:color w:val="000000" w:themeColor="text1"/>
                <w:szCs w:val="16"/>
              </w:rPr>
            </w:pPr>
            <w:r w:rsidRPr="00781112">
              <w:rPr>
                <w:rFonts w:cs="Arial"/>
                <w:color w:val="000000" w:themeColor="text1"/>
                <w:szCs w:val="16"/>
              </w:rPr>
              <w:t>1,712</w:t>
            </w:r>
          </w:p>
        </w:tc>
      </w:tr>
      <w:tr w:rsidR="005C29F8" w:rsidRPr="00781112" w14:paraId="7C327020" w14:textId="77777777" w:rsidTr="00AB0D6A">
        <w:trPr>
          <w:trHeight w:val="380"/>
        </w:trPr>
        <w:tc>
          <w:tcPr>
            <w:tcW w:w="1207" w:type="pct"/>
            <w:shd w:val="clear" w:color="auto" w:fill="auto"/>
            <w:vAlign w:val="center"/>
          </w:tcPr>
          <w:p w14:paraId="485F7D93" w14:textId="6A92F697" w:rsidR="008A3DC6" w:rsidRPr="00781112" w:rsidRDefault="00FB785D">
            <w:pPr>
              <w:jc w:val="center"/>
              <w:rPr>
                <w:rFonts w:cs="Arial"/>
                <w:color w:val="000000" w:themeColor="text1"/>
                <w:szCs w:val="16"/>
              </w:rPr>
            </w:pPr>
            <w:r w:rsidRPr="00781112">
              <w:rPr>
                <w:rFonts w:cs="Arial"/>
                <w:color w:val="000000" w:themeColor="text1"/>
                <w:szCs w:val="16"/>
              </w:rPr>
              <w:t>SY 2022-23 Child Count/Educational Environment Data Groups (EDFacts file spec FS002; Data group 74)</w:t>
            </w:r>
          </w:p>
        </w:tc>
        <w:tc>
          <w:tcPr>
            <w:tcW w:w="1376" w:type="pct"/>
            <w:shd w:val="clear" w:color="auto" w:fill="auto"/>
            <w:vAlign w:val="center"/>
          </w:tcPr>
          <w:p w14:paraId="1261545C" w14:textId="230AF013" w:rsidR="008A3DC6" w:rsidRPr="00781112" w:rsidRDefault="00FB785D">
            <w:pPr>
              <w:jc w:val="center"/>
              <w:rPr>
                <w:rFonts w:cs="Arial"/>
                <w:color w:val="000000" w:themeColor="text1"/>
                <w:szCs w:val="16"/>
              </w:rPr>
            </w:pPr>
            <w:r w:rsidRPr="00781112">
              <w:rPr>
                <w:rFonts w:cs="Arial"/>
                <w:color w:val="000000" w:themeColor="text1"/>
                <w:szCs w:val="16"/>
              </w:rPr>
              <w:t>08/30/2023</w:t>
            </w:r>
          </w:p>
        </w:tc>
        <w:tc>
          <w:tcPr>
            <w:tcW w:w="1544" w:type="pct"/>
            <w:shd w:val="clear" w:color="auto" w:fill="auto"/>
            <w:vAlign w:val="center"/>
          </w:tcPr>
          <w:p w14:paraId="3AEE0CBD" w14:textId="6D1B0F8E" w:rsidR="008A3DC6" w:rsidRPr="00781112" w:rsidRDefault="008A3DC6" w:rsidP="00E0321D">
            <w:pPr>
              <w:jc w:val="center"/>
              <w:rPr>
                <w:rFonts w:cs="Arial"/>
                <w:color w:val="000000" w:themeColor="text1"/>
                <w:szCs w:val="16"/>
              </w:rPr>
            </w:pPr>
            <w:r w:rsidRPr="00781112">
              <w:rPr>
                <w:rFonts w:cs="Arial"/>
                <w:color w:val="000000" w:themeColor="text1"/>
                <w:szCs w:val="16"/>
              </w:rPr>
              <w:t xml:space="preserve">c2. Number of children with IEPs aged </w:t>
            </w:r>
            <w:r w:rsidR="00185BA9" w:rsidRPr="00781112">
              <w:rPr>
                <w:rFonts w:cs="Arial"/>
                <w:szCs w:val="16"/>
              </w:rPr>
              <w:t>5 (kindergarten)</w:t>
            </w:r>
            <w:r w:rsidR="00185BA9" w:rsidRPr="00781112">
              <w:rPr>
                <w:rFonts w:cs="Arial"/>
                <w:color w:val="000000" w:themeColor="text1"/>
                <w:szCs w:val="16"/>
              </w:rPr>
              <w:t xml:space="preserve"> </w:t>
            </w:r>
            <w:r w:rsidRPr="00781112">
              <w:rPr>
                <w:rFonts w:cs="Arial"/>
                <w:color w:val="000000" w:themeColor="text1"/>
                <w:szCs w:val="16"/>
              </w:rPr>
              <w:t>through 21 in residential facilities</w:t>
            </w:r>
          </w:p>
        </w:tc>
        <w:tc>
          <w:tcPr>
            <w:tcW w:w="873" w:type="pct"/>
            <w:shd w:val="clear" w:color="auto" w:fill="auto"/>
            <w:vAlign w:val="center"/>
          </w:tcPr>
          <w:p w14:paraId="596B74CB" w14:textId="6136D9E8" w:rsidR="008A3DC6" w:rsidRPr="00781112" w:rsidRDefault="002B7490" w:rsidP="00E0321D">
            <w:pPr>
              <w:jc w:val="center"/>
              <w:rPr>
                <w:rFonts w:cs="Arial"/>
                <w:color w:val="000000" w:themeColor="text1"/>
                <w:szCs w:val="16"/>
              </w:rPr>
            </w:pPr>
            <w:r w:rsidRPr="00781112">
              <w:rPr>
                <w:rFonts w:cs="Arial"/>
                <w:color w:val="000000" w:themeColor="text1"/>
                <w:szCs w:val="16"/>
              </w:rPr>
              <w:t>78</w:t>
            </w:r>
          </w:p>
        </w:tc>
      </w:tr>
      <w:tr w:rsidR="005C29F8" w:rsidRPr="00781112" w14:paraId="16FD0FC0" w14:textId="77777777" w:rsidTr="00AB0D6A">
        <w:trPr>
          <w:trHeight w:val="380"/>
        </w:trPr>
        <w:tc>
          <w:tcPr>
            <w:tcW w:w="1207" w:type="pct"/>
            <w:shd w:val="clear" w:color="auto" w:fill="auto"/>
            <w:vAlign w:val="center"/>
          </w:tcPr>
          <w:p w14:paraId="59885F77" w14:textId="75A8CDFC" w:rsidR="008A3DC6" w:rsidRPr="00781112" w:rsidRDefault="00FB785D">
            <w:pPr>
              <w:jc w:val="center"/>
              <w:rPr>
                <w:rFonts w:cs="Arial"/>
                <w:color w:val="000000" w:themeColor="text1"/>
                <w:szCs w:val="16"/>
              </w:rPr>
            </w:pPr>
            <w:r w:rsidRPr="00781112">
              <w:rPr>
                <w:rFonts w:cs="Arial"/>
                <w:color w:val="000000" w:themeColor="text1"/>
                <w:szCs w:val="16"/>
              </w:rPr>
              <w:t>SY 2022-23 Child Count/Educational Environment Data Groups (EDFacts file spec FS002; Data group 74)</w:t>
            </w:r>
          </w:p>
        </w:tc>
        <w:tc>
          <w:tcPr>
            <w:tcW w:w="1376" w:type="pct"/>
            <w:shd w:val="clear" w:color="auto" w:fill="auto"/>
            <w:vAlign w:val="center"/>
          </w:tcPr>
          <w:p w14:paraId="5FC32D0C" w14:textId="67F32884" w:rsidR="008A3DC6" w:rsidRPr="00781112" w:rsidRDefault="00FB785D">
            <w:pPr>
              <w:jc w:val="center"/>
              <w:rPr>
                <w:rFonts w:cs="Arial"/>
                <w:color w:val="000000" w:themeColor="text1"/>
                <w:szCs w:val="16"/>
              </w:rPr>
            </w:pPr>
            <w:r w:rsidRPr="00781112">
              <w:rPr>
                <w:rFonts w:cs="Arial"/>
                <w:color w:val="000000" w:themeColor="text1"/>
                <w:szCs w:val="16"/>
              </w:rPr>
              <w:t>08/30/2023</w:t>
            </w:r>
          </w:p>
        </w:tc>
        <w:tc>
          <w:tcPr>
            <w:tcW w:w="1544" w:type="pct"/>
            <w:shd w:val="clear" w:color="auto" w:fill="auto"/>
            <w:vAlign w:val="center"/>
          </w:tcPr>
          <w:p w14:paraId="5DA416E0" w14:textId="4230AAAE" w:rsidR="008A3DC6" w:rsidRPr="00781112" w:rsidRDefault="008A3DC6" w:rsidP="00E0321D">
            <w:pPr>
              <w:jc w:val="center"/>
              <w:rPr>
                <w:rFonts w:cs="Arial"/>
                <w:color w:val="000000" w:themeColor="text1"/>
                <w:szCs w:val="16"/>
              </w:rPr>
            </w:pPr>
            <w:r w:rsidRPr="00781112">
              <w:rPr>
                <w:rFonts w:cs="Arial"/>
                <w:color w:val="000000" w:themeColor="text1"/>
                <w:szCs w:val="16"/>
              </w:rPr>
              <w:t xml:space="preserve">c3. Number of children with IEPs aged </w:t>
            </w:r>
            <w:r w:rsidR="00185BA9" w:rsidRPr="00781112">
              <w:rPr>
                <w:rFonts w:cs="Arial"/>
                <w:szCs w:val="16"/>
              </w:rPr>
              <w:t>5 (kindergarten)</w:t>
            </w:r>
            <w:r w:rsidRPr="00781112">
              <w:rPr>
                <w:rFonts w:cs="Arial"/>
                <w:color w:val="000000" w:themeColor="text1"/>
                <w:szCs w:val="16"/>
              </w:rPr>
              <w:t xml:space="preserve"> through 21 in homebound/hospital placements</w:t>
            </w:r>
          </w:p>
        </w:tc>
        <w:tc>
          <w:tcPr>
            <w:tcW w:w="873" w:type="pct"/>
            <w:shd w:val="clear" w:color="auto" w:fill="auto"/>
            <w:vAlign w:val="center"/>
          </w:tcPr>
          <w:p w14:paraId="7B0E7054" w14:textId="49D56445" w:rsidR="008A3DC6" w:rsidRPr="00781112" w:rsidRDefault="002B7490" w:rsidP="00E0321D">
            <w:pPr>
              <w:jc w:val="center"/>
              <w:rPr>
                <w:rFonts w:cs="Arial"/>
                <w:color w:val="000000" w:themeColor="text1"/>
                <w:szCs w:val="16"/>
              </w:rPr>
            </w:pPr>
            <w:r w:rsidRPr="00781112">
              <w:rPr>
                <w:rFonts w:cs="Arial"/>
                <w:color w:val="000000" w:themeColor="text1"/>
                <w:szCs w:val="16"/>
              </w:rPr>
              <w:t>204</w:t>
            </w:r>
          </w:p>
        </w:tc>
      </w:tr>
    </w:tbl>
    <w:p w14:paraId="5475FEBE" w14:textId="3E3663D3" w:rsidR="004A4803" w:rsidRPr="00781112" w:rsidRDefault="004A4803">
      <w:pPr>
        <w:rPr>
          <w:color w:val="000000" w:themeColor="text1"/>
        </w:rPr>
      </w:pPr>
    </w:p>
    <w:p w14:paraId="47A0647A" w14:textId="20BD9700" w:rsidR="00D60B5F" w:rsidRPr="00781112" w:rsidRDefault="00055C7A">
      <w:pPr>
        <w:rPr>
          <w:b/>
          <w:color w:val="000000" w:themeColor="text1"/>
        </w:rPr>
      </w:pPr>
      <w:r w:rsidRPr="00781112">
        <w:rPr>
          <w:b/>
          <w:color w:val="000000" w:themeColor="text1"/>
        </w:rPr>
        <w:t>Select yes if the data reported in this indicator are not the same as the State’s data reported under section 618 of the IDEA.</w:t>
      </w:r>
    </w:p>
    <w:p w14:paraId="7B71CB67" w14:textId="6BBC3C80" w:rsidR="00D60B5F" w:rsidRPr="00781112" w:rsidRDefault="00D60B5F">
      <w:pPr>
        <w:rPr>
          <w:color w:val="000000" w:themeColor="text1"/>
        </w:rPr>
      </w:pPr>
      <w:r w:rsidRPr="00781112">
        <w:rPr>
          <w:color w:val="000000" w:themeColor="text1"/>
        </w:rPr>
        <w:t>NO</w:t>
      </w:r>
    </w:p>
    <w:p w14:paraId="14F4B2C8" w14:textId="77777777" w:rsidR="0037431B" w:rsidRPr="00781112" w:rsidRDefault="0037431B" w:rsidP="004369B2">
      <w:pPr>
        <w:rPr>
          <w:color w:val="000000" w:themeColor="text1"/>
        </w:rPr>
      </w:pPr>
    </w:p>
    <w:p w14:paraId="7EFB6535" w14:textId="53AEF2F0" w:rsidR="00805DD3" w:rsidRPr="00781112" w:rsidRDefault="0047313F">
      <w:pPr>
        <w:rPr>
          <w:b/>
          <w:color w:val="000000" w:themeColor="text1"/>
        </w:rPr>
      </w:pPr>
      <w:r>
        <w:rPr>
          <w:b/>
          <w:color w:val="000000" w:themeColor="text1"/>
        </w:rPr>
        <w:t>FFY 2022 SPP/APR Data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B05CFFYAPRDATA1"/>
      </w:tblPr>
      <w:tblGrid>
        <w:gridCol w:w="2245"/>
        <w:gridCol w:w="1395"/>
        <w:gridCol w:w="1397"/>
        <w:gridCol w:w="1151"/>
        <w:gridCol w:w="1151"/>
        <w:gridCol w:w="1151"/>
        <w:gridCol w:w="1150"/>
        <w:gridCol w:w="1150"/>
      </w:tblGrid>
      <w:tr w:rsidR="00740CBC" w:rsidRPr="00781112" w14:paraId="0324DF77" w14:textId="01438934" w:rsidTr="00360DD6">
        <w:trPr>
          <w:trHeight w:val="440"/>
          <w:tblHeader/>
        </w:trPr>
        <w:tc>
          <w:tcPr>
            <w:tcW w:w="1040" w:type="pct"/>
            <w:shd w:val="clear" w:color="auto" w:fill="auto"/>
            <w:vAlign w:val="bottom"/>
          </w:tcPr>
          <w:p w14:paraId="0D668D1B" w14:textId="6BB38C6B" w:rsidR="00740CBC" w:rsidRPr="00781112" w:rsidRDefault="00740CBC" w:rsidP="00740CBC">
            <w:pPr>
              <w:jc w:val="center"/>
              <w:rPr>
                <w:b/>
                <w:color w:val="000000" w:themeColor="text1"/>
              </w:rPr>
            </w:pPr>
            <w:r w:rsidRPr="00781112">
              <w:rPr>
                <w:b/>
                <w:color w:val="000000" w:themeColor="text1"/>
              </w:rPr>
              <w:t>Education Environments</w:t>
            </w:r>
          </w:p>
        </w:tc>
        <w:tc>
          <w:tcPr>
            <w:tcW w:w="646" w:type="pct"/>
            <w:shd w:val="clear" w:color="auto" w:fill="auto"/>
            <w:vAlign w:val="bottom"/>
          </w:tcPr>
          <w:p w14:paraId="323FF92F" w14:textId="6010A4DC" w:rsidR="00740CBC" w:rsidRPr="00781112" w:rsidRDefault="00740CBC" w:rsidP="00740CBC">
            <w:pPr>
              <w:jc w:val="center"/>
              <w:rPr>
                <w:b/>
                <w:color w:val="000000" w:themeColor="text1"/>
              </w:rPr>
            </w:pPr>
            <w:r w:rsidRPr="00781112">
              <w:rPr>
                <w:b/>
                <w:color w:val="000000" w:themeColor="text1"/>
              </w:rPr>
              <w:t xml:space="preserve">Number of children with IEPs aged </w:t>
            </w:r>
            <w:r w:rsidRPr="00781112">
              <w:rPr>
                <w:rFonts w:cs="Arial"/>
                <w:b/>
                <w:bCs/>
                <w:szCs w:val="16"/>
              </w:rPr>
              <w:t>5 (kindergarten)</w:t>
            </w:r>
            <w:r w:rsidRPr="00781112">
              <w:rPr>
                <w:b/>
                <w:color w:val="000000" w:themeColor="text1"/>
              </w:rPr>
              <w:t xml:space="preserve"> through 21 served</w:t>
            </w:r>
          </w:p>
        </w:tc>
        <w:tc>
          <w:tcPr>
            <w:tcW w:w="647" w:type="pct"/>
            <w:shd w:val="clear" w:color="auto" w:fill="auto"/>
            <w:vAlign w:val="bottom"/>
          </w:tcPr>
          <w:p w14:paraId="5B4758A3" w14:textId="799168FB" w:rsidR="00740CBC" w:rsidRPr="00781112" w:rsidRDefault="00740CBC" w:rsidP="00740CBC">
            <w:pPr>
              <w:jc w:val="center"/>
              <w:rPr>
                <w:b/>
                <w:color w:val="000000" w:themeColor="text1"/>
              </w:rPr>
            </w:pPr>
            <w:r w:rsidRPr="00781112">
              <w:rPr>
                <w:b/>
                <w:color w:val="000000" w:themeColor="text1"/>
              </w:rPr>
              <w:t xml:space="preserve">Total number of children with IEPs aged </w:t>
            </w:r>
            <w:r w:rsidRPr="00781112">
              <w:rPr>
                <w:rFonts w:cs="Arial"/>
                <w:b/>
                <w:bCs/>
                <w:szCs w:val="16"/>
              </w:rPr>
              <w:t>5 (kindergarten)</w:t>
            </w:r>
            <w:r w:rsidRPr="00781112">
              <w:rPr>
                <w:b/>
                <w:color w:val="000000" w:themeColor="text1"/>
              </w:rPr>
              <w:t xml:space="preserve"> through 21</w:t>
            </w:r>
          </w:p>
        </w:tc>
        <w:tc>
          <w:tcPr>
            <w:tcW w:w="533" w:type="pct"/>
            <w:shd w:val="clear" w:color="auto" w:fill="auto"/>
            <w:vAlign w:val="bottom"/>
          </w:tcPr>
          <w:p w14:paraId="5B2059E0" w14:textId="79AACA75" w:rsidR="00740CBC" w:rsidRPr="00CC1061" w:rsidRDefault="00740CBC" w:rsidP="00740CBC">
            <w:pPr>
              <w:jc w:val="center"/>
              <w:rPr>
                <w:b/>
                <w:bCs/>
                <w:color w:val="000000" w:themeColor="text1"/>
              </w:rPr>
            </w:pPr>
            <w:r w:rsidRPr="00CC1061">
              <w:rPr>
                <w:b/>
                <w:bCs/>
              </w:rPr>
              <w:t>FFY 2021 Data</w:t>
            </w:r>
          </w:p>
        </w:tc>
        <w:tc>
          <w:tcPr>
            <w:tcW w:w="533" w:type="pct"/>
            <w:shd w:val="clear" w:color="auto" w:fill="auto"/>
            <w:vAlign w:val="bottom"/>
          </w:tcPr>
          <w:p w14:paraId="320127EA" w14:textId="2825F293" w:rsidR="00740CBC" w:rsidRPr="00CC1061" w:rsidRDefault="00740CBC" w:rsidP="00740CBC">
            <w:pPr>
              <w:jc w:val="center"/>
              <w:rPr>
                <w:b/>
                <w:bCs/>
                <w:color w:val="000000" w:themeColor="text1"/>
              </w:rPr>
            </w:pPr>
            <w:r w:rsidRPr="00CC1061">
              <w:rPr>
                <w:b/>
                <w:bCs/>
              </w:rPr>
              <w:t>FFY 2022 Target</w:t>
            </w:r>
          </w:p>
        </w:tc>
        <w:tc>
          <w:tcPr>
            <w:tcW w:w="533" w:type="pct"/>
            <w:shd w:val="clear" w:color="auto" w:fill="auto"/>
            <w:vAlign w:val="bottom"/>
          </w:tcPr>
          <w:p w14:paraId="150C2675" w14:textId="52D7C5D9" w:rsidR="00740CBC" w:rsidRPr="00CC1061" w:rsidRDefault="00740CBC" w:rsidP="00740CBC">
            <w:pPr>
              <w:jc w:val="center"/>
              <w:rPr>
                <w:b/>
                <w:bCs/>
                <w:color w:val="000000" w:themeColor="text1"/>
              </w:rPr>
            </w:pPr>
            <w:r w:rsidRPr="00CC1061">
              <w:rPr>
                <w:b/>
                <w:bCs/>
              </w:rPr>
              <w:t>FFY 2022 Data</w:t>
            </w:r>
          </w:p>
        </w:tc>
        <w:tc>
          <w:tcPr>
            <w:tcW w:w="533" w:type="pct"/>
            <w:shd w:val="clear" w:color="auto" w:fill="auto"/>
            <w:vAlign w:val="bottom"/>
          </w:tcPr>
          <w:p w14:paraId="08F715E4" w14:textId="7BB096AF" w:rsidR="00740CBC" w:rsidRPr="00781112" w:rsidRDefault="00740CBC" w:rsidP="00740CBC">
            <w:pPr>
              <w:jc w:val="center"/>
              <w:rPr>
                <w:b/>
                <w:color w:val="000000" w:themeColor="text1"/>
              </w:rPr>
            </w:pPr>
            <w:r w:rsidRPr="00781112">
              <w:rPr>
                <w:b/>
                <w:color w:val="000000" w:themeColor="text1"/>
              </w:rPr>
              <w:t>Status</w:t>
            </w:r>
          </w:p>
        </w:tc>
        <w:tc>
          <w:tcPr>
            <w:tcW w:w="533" w:type="pct"/>
            <w:shd w:val="clear" w:color="auto" w:fill="auto"/>
            <w:vAlign w:val="bottom"/>
          </w:tcPr>
          <w:p w14:paraId="16F336C8" w14:textId="693FB9B1" w:rsidR="00740CBC" w:rsidRPr="00781112" w:rsidRDefault="00740CBC" w:rsidP="00740CBC">
            <w:pPr>
              <w:jc w:val="center"/>
              <w:rPr>
                <w:b/>
                <w:color w:val="000000" w:themeColor="text1"/>
              </w:rPr>
            </w:pPr>
            <w:r w:rsidRPr="00781112">
              <w:rPr>
                <w:b/>
                <w:color w:val="000000" w:themeColor="text1"/>
              </w:rPr>
              <w:t>Slippage</w:t>
            </w:r>
          </w:p>
        </w:tc>
      </w:tr>
      <w:tr w:rsidR="005C29F8" w:rsidRPr="00781112" w14:paraId="0CF0446C" w14:textId="0B89548D" w:rsidTr="00360DD6">
        <w:trPr>
          <w:trHeight w:val="361"/>
        </w:trPr>
        <w:tc>
          <w:tcPr>
            <w:tcW w:w="1040" w:type="pct"/>
            <w:shd w:val="clear" w:color="auto" w:fill="auto"/>
            <w:vAlign w:val="center"/>
          </w:tcPr>
          <w:p w14:paraId="389D79B9" w14:textId="5A7555F3" w:rsidR="00631963" w:rsidRPr="00781112" w:rsidRDefault="00631963" w:rsidP="00631963">
            <w:pPr>
              <w:rPr>
                <w:rFonts w:cs="Arial"/>
                <w:color w:val="000000" w:themeColor="text1"/>
                <w:szCs w:val="16"/>
              </w:rPr>
            </w:pPr>
            <w:r w:rsidRPr="00781112">
              <w:rPr>
                <w:rFonts w:cs="Arial"/>
                <w:color w:val="000000" w:themeColor="text1"/>
                <w:szCs w:val="16"/>
              </w:rPr>
              <w:t>A.</w:t>
            </w:r>
            <w:r w:rsidRPr="00781112">
              <w:rPr>
                <w:rFonts w:cs="Arial"/>
                <w:color w:val="000000" w:themeColor="text1"/>
                <w:szCs w:val="16"/>
                <w:shd w:val="clear" w:color="auto" w:fill="FFFFFF"/>
              </w:rPr>
              <w:t xml:space="preserve"> Number of children with IEPs aged </w:t>
            </w:r>
            <w:r w:rsidR="00D362C5" w:rsidRPr="00781112">
              <w:rPr>
                <w:rFonts w:cs="Arial"/>
                <w:szCs w:val="16"/>
              </w:rPr>
              <w:t>5 (kindergarten)</w:t>
            </w:r>
            <w:r w:rsidRPr="00781112">
              <w:rPr>
                <w:rFonts w:cs="Arial"/>
                <w:color w:val="000000" w:themeColor="text1"/>
                <w:szCs w:val="16"/>
                <w:shd w:val="clear" w:color="auto" w:fill="FFFFFF"/>
              </w:rPr>
              <w:t xml:space="preserve"> through 21 inside the regular class 80% or more of the day</w:t>
            </w:r>
          </w:p>
        </w:tc>
        <w:tc>
          <w:tcPr>
            <w:tcW w:w="646" w:type="pct"/>
            <w:shd w:val="clear" w:color="auto" w:fill="auto"/>
            <w:vAlign w:val="center"/>
          </w:tcPr>
          <w:p w14:paraId="0C538F78" w14:textId="211A39AD" w:rsidR="00631963" w:rsidRPr="00781112" w:rsidRDefault="002B7490" w:rsidP="00A018D4">
            <w:pPr>
              <w:jc w:val="center"/>
              <w:rPr>
                <w:rFonts w:cs="Arial"/>
                <w:color w:val="000000" w:themeColor="text1"/>
                <w:szCs w:val="16"/>
              </w:rPr>
            </w:pPr>
            <w:r w:rsidRPr="00781112">
              <w:rPr>
                <w:rFonts w:cs="Arial"/>
                <w:color w:val="000000" w:themeColor="text1"/>
                <w:szCs w:val="16"/>
              </w:rPr>
              <w:t>83,385</w:t>
            </w:r>
          </w:p>
        </w:tc>
        <w:tc>
          <w:tcPr>
            <w:tcW w:w="647" w:type="pct"/>
            <w:shd w:val="clear" w:color="auto" w:fill="auto"/>
            <w:vAlign w:val="center"/>
          </w:tcPr>
          <w:p w14:paraId="7CB3B03A" w14:textId="4A5E294F" w:rsidR="00631963" w:rsidRPr="00781112" w:rsidRDefault="002B7490" w:rsidP="00A018D4">
            <w:pPr>
              <w:jc w:val="center"/>
              <w:rPr>
                <w:rFonts w:cs="Arial"/>
                <w:color w:val="000000" w:themeColor="text1"/>
                <w:szCs w:val="16"/>
              </w:rPr>
            </w:pPr>
            <w:r w:rsidRPr="00781112">
              <w:rPr>
                <w:rFonts w:cs="Arial"/>
                <w:color w:val="000000" w:themeColor="text1"/>
                <w:szCs w:val="16"/>
              </w:rPr>
              <w:t>104,181</w:t>
            </w:r>
          </w:p>
        </w:tc>
        <w:tc>
          <w:tcPr>
            <w:tcW w:w="533" w:type="pct"/>
            <w:shd w:val="clear" w:color="auto" w:fill="auto"/>
            <w:vAlign w:val="center"/>
          </w:tcPr>
          <w:p w14:paraId="147CA5C5" w14:textId="139C91CB" w:rsidR="00631963" w:rsidRPr="00781112" w:rsidRDefault="002B7490" w:rsidP="00A018D4">
            <w:pPr>
              <w:jc w:val="center"/>
              <w:rPr>
                <w:rFonts w:cs="Arial"/>
                <w:color w:val="000000" w:themeColor="text1"/>
                <w:szCs w:val="16"/>
              </w:rPr>
            </w:pPr>
            <w:r w:rsidRPr="00781112">
              <w:rPr>
                <w:rFonts w:cs="Arial"/>
                <w:color w:val="000000" w:themeColor="text1"/>
                <w:szCs w:val="16"/>
              </w:rPr>
              <w:t>79.37%</w:t>
            </w:r>
          </w:p>
        </w:tc>
        <w:tc>
          <w:tcPr>
            <w:tcW w:w="533" w:type="pct"/>
            <w:shd w:val="clear" w:color="auto" w:fill="auto"/>
            <w:vAlign w:val="center"/>
          </w:tcPr>
          <w:p w14:paraId="497D8B9F" w14:textId="585C0A39" w:rsidR="00631963" w:rsidRPr="00781112" w:rsidRDefault="002B7490" w:rsidP="00A018D4">
            <w:pPr>
              <w:jc w:val="center"/>
              <w:rPr>
                <w:rFonts w:cs="Arial"/>
                <w:color w:val="000000" w:themeColor="text1"/>
                <w:szCs w:val="16"/>
              </w:rPr>
            </w:pPr>
            <w:r w:rsidRPr="00781112">
              <w:rPr>
                <w:rFonts w:cs="Arial"/>
                <w:color w:val="000000" w:themeColor="text1"/>
                <w:szCs w:val="16"/>
              </w:rPr>
              <w:t>78.02%</w:t>
            </w:r>
          </w:p>
        </w:tc>
        <w:tc>
          <w:tcPr>
            <w:tcW w:w="533" w:type="pct"/>
            <w:shd w:val="clear" w:color="auto" w:fill="auto"/>
            <w:vAlign w:val="center"/>
          </w:tcPr>
          <w:p w14:paraId="4B6AC9A3" w14:textId="0D7F6AEF" w:rsidR="00631963" w:rsidRPr="00781112" w:rsidRDefault="002B7490" w:rsidP="00A018D4">
            <w:pPr>
              <w:jc w:val="center"/>
              <w:rPr>
                <w:rFonts w:cs="Arial"/>
                <w:color w:val="000000" w:themeColor="text1"/>
                <w:szCs w:val="16"/>
              </w:rPr>
            </w:pPr>
            <w:r w:rsidRPr="00781112">
              <w:rPr>
                <w:rFonts w:cs="Arial"/>
                <w:color w:val="000000" w:themeColor="text1"/>
                <w:szCs w:val="16"/>
              </w:rPr>
              <w:t>80.04%</w:t>
            </w:r>
          </w:p>
        </w:tc>
        <w:tc>
          <w:tcPr>
            <w:tcW w:w="533" w:type="pct"/>
            <w:shd w:val="clear" w:color="auto" w:fill="auto"/>
            <w:vAlign w:val="center"/>
          </w:tcPr>
          <w:p w14:paraId="0D12A1DA" w14:textId="6C35FF67" w:rsidR="00631963" w:rsidRPr="00781112" w:rsidRDefault="002B7490" w:rsidP="00A018D4">
            <w:pPr>
              <w:jc w:val="center"/>
              <w:rPr>
                <w:rFonts w:cs="Arial"/>
                <w:color w:val="000000" w:themeColor="text1"/>
                <w:szCs w:val="16"/>
              </w:rPr>
            </w:pPr>
            <w:r w:rsidRPr="00781112">
              <w:rPr>
                <w:rFonts w:cs="Arial"/>
                <w:color w:val="000000" w:themeColor="text1"/>
                <w:szCs w:val="16"/>
              </w:rPr>
              <w:t>Met target</w:t>
            </w:r>
          </w:p>
        </w:tc>
        <w:tc>
          <w:tcPr>
            <w:tcW w:w="533" w:type="pct"/>
            <w:shd w:val="clear" w:color="auto" w:fill="auto"/>
            <w:vAlign w:val="center"/>
          </w:tcPr>
          <w:p w14:paraId="2E7D658D" w14:textId="6E94158A" w:rsidR="00631963" w:rsidRPr="00781112" w:rsidRDefault="002B7490" w:rsidP="00A018D4">
            <w:pPr>
              <w:jc w:val="center"/>
              <w:rPr>
                <w:rFonts w:cs="Arial"/>
                <w:color w:val="000000" w:themeColor="text1"/>
                <w:szCs w:val="16"/>
              </w:rPr>
            </w:pPr>
            <w:r w:rsidRPr="00781112">
              <w:rPr>
                <w:rFonts w:cs="Arial"/>
                <w:color w:val="000000" w:themeColor="text1"/>
                <w:szCs w:val="16"/>
              </w:rPr>
              <w:t>No Slippage</w:t>
            </w:r>
          </w:p>
        </w:tc>
      </w:tr>
      <w:tr w:rsidR="005C29F8" w:rsidRPr="00781112" w14:paraId="0FEF5E26" w14:textId="1BAD9686" w:rsidTr="00360DD6">
        <w:trPr>
          <w:trHeight w:val="361"/>
        </w:trPr>
        <w:tc>
          <w:tcPr>
            <w:tcW w:w="1040" w:type="pct"/>
            <w:shd w:val="clear" w:color="auto" w:fill="auto"/>
            <w:vAlign w:val="center"/>
          </w:tcPr>
          <w:p w14:paraId="787D8C24" w14:textId="626F335A" w:rsidR="00631963" w:rsidRPr="00781112" w:rsidRDefault="00631963" w:rsidP="00631963">
            <w:pPr>
              <w:rPr>
                <w:rFonts w:cs="Arial"/>
                <w:color w:val="000000" w:themeColor="text1"/>
                <w:szCs w:val="16"/>
              </w:rPr>
            </w:pPr>
            <w:r w:rsidRPr="00781112">
              <w:rPr>
                <w:rFonts w:cs="Arial"/>
                <w:color w:val="000000" w:themeColor="text1"/>
                <w:szCs w:val="16"/>
                <w:shd w:val="clear" w:color="auto" w:fill="FFFFFF"/>
              </w:rPr>
              <w:lastRenderedPageBreak/>
              <w:t xml:space="preserve">B. Number of children with IEPs aged </w:t>
            </w:r>
            <w:r w:rsidR="00D362C5" w:rsidRPr="00781112">
              <w:rPr>
                <w:rFonts w:cs="Arial"/>
                <w:szCs w:val="16"/>
              </w:rPr>
              <w:t>5 (kindergarten)</w:t>
            </w:r>
            <w:r w:rsidRPr="00781112">
              <w:rPr>
                <w:rFonts w:cs="Arial"/>
                <w:color w:val="000000" w:themeColor="text1"/>
                <w:szCs w:val="16"/>
                <w:shd w:val="clear" w:color="auto" w:fill="FFFFFF"/>
              </w:rPr>
              <w:t xml:space="preserve"> through 21 inside the regular class less than 40% of the day</w:t>
            </w:r>
          </w:p>
        </w:tc>
        <w:tc>
          <w:tcPr>
            <w:tcW w:w="646" w:type="pct"/>
            <w:shd w:val="clear" w:color="auto" w:fill="auto"/>
            <w:vAlign w:val="center"/>
          </w:tcPr>
          <w:p w14:paraId="03764807" w14:textId="322EE6A5" w:rsidR="00631963" w:rsidRPr="00781112" w:rsidRDefault="002B7490" w:rsidP="00A018D4">
            <w:pPr>
              <w:jc w:val="center"/>
              <w:rPr>
                <w:rFonts w:cs="Arial"/>
                <w:color w:val="000000" w:themeColor="text1"/>
                <w:szCs w:val="16"/>
              </w:rPr>
            </w:pPr>
            <w:r w:rsidRPr="00781112">
              <w:rPr>
                <w:rFonts w:cs="Arial"/>
                <w:color w:val="000000" w:themeColor="text1"/>
                <w:szCs w:val="16"/>
              </w:rPr>
              <w:t>4,753</w:t>
            </w:r>
          </w:p>
        </w:tc>
        <w:tc>
          <w:tcPr>
            <w:tcW w:w="647" w:type="pct"/>
            <w:shd w:val="clear" w:color="auto" w:fill="auto"/>
            <w:vAlign w:val="center"/>
          </w:tcPr>
          <w:p w14:paraId="6BB5ED43" w14:textId="72BAFF29" w:rsidR="00631963" w:rsidRPr="00781112" w:rsidRDefault="002B7490" w:rsidP="00A018D4">
            <w:pPr>
              <w:jc w:val="center"/>
              <w:rPr>
                <w:rFonts w:cs="Arial"/>
                <w:color w:val="000000" w:themeColor="text1"/>
                <w:szCs w:val="16"/>
              </w:rPr>
            </w:pPr>
            <w:r w:rsidRPr="00781112">
              <w:rPr>
                <w:rFonts w:cs="Arial"/>
                <w:color w:val="000000" w:themeColor="text1"/>
                <w:szCs w:val="16"/>
              </w:rPr>
              <w:t>104,181</w:t>
            </w:r>
          </w:p>
        </w:tc>
        <w:tc>
          <w:tcPr>
            <w:tcW w:w="533" w:type="pct"/>
            <w:shd w:val="clear" w:color="auto" w:fill="auto"/>
            <w:vAlign w:val="center"/>
          </w:tcPr>
          <w:p w14:paraId="3D5C1070" w14:textId="57DABC44" w:rsidR="00631963" w:rsidRPr="00781112" w:rsidRDefault="002B7490" w:rsidP="00A018D4">
            <w:pPr>
              <w:jc w:val="center"/>
              <w:rPr>
                <w:rFonts w:cs="Arial"/>
                <w:color w:val="000000" w:themeColor="text1"/>
                <w:szCs w:val="16"/>
              </w:rPr>
            </w:pPr>
            <w:r w:rsidRPr="00781112">
              <w:rPr>
                <w:rFonts w:cs="Arial"/>
                <w:color w:val="000000" w:themeColor="text1"/>
                <w:szCs w:val="16"/>
              </w:rPr>
              <w:t>4.76%</w:t>
            </w:r>
          </w:p>
        </w:tc>
        <w:tc>
          <w:tcPr>
            <w:tcW w:w="533" w:type="pct"/>
            <w:shd w:val="clear" w:color="auto" w:fill="auto"/>
            <w:vAlign w:val="center"/>
          </w:tcPr>
          <w:p w14:paraId="02F3CF00" w14:textId="6A81B00C" w:rsidR="00631963" w:rsidRPr="00781112" w:rsidRDefault="002B7490" w:rsidP="00A018D4">
            <w:pPr>
              <w:jc w:val="center"/>
              <w:rPr>
                <w:rFonts w:cs="Arial"/>
                <w:color w:val="000000" w:themeColor="text1"/>
                <w:szCs w:val="16"/>
              </w:rPr>
            </w:pPr>
            <w:r w:rsidRPr="00781112">
              <w:rPr>
                <w:rFonts w:cs="Arial"/>
                <w:color w:val="000000" w:themeColor="text1"/>
                <w:szCs w:val="16"/>
              </w:rPr>
              <w:t>5.21%</w:t>
            </w:r>
          </w:p>
        </w:tc>
        <w:tc>
          <w:tcPr>
            <w:tcW w:w="533" w:type="pct"/>
            <w:shd w:val="clear" w:color="auto" w:fill="auto"/>
            <w:vAlign w:val="center"/>
          </w:tcPr>
          <w:p w14:paraId="07434586" w14:textId="19522680" w:rsidR="00631963" w:rsidRPr="00781112" w:rsidRDefault="002B7490" w:rsidP="00A018D4">
            <w:pPr>
              <w:jc w:val="center"/>
              <w:rPr>
                <w:rFonts w:cs="Arial"/>
                <w:color w:val="000000" w:themeColor="text1"/>
                <w:szCs w:val="16"/>
              </w:rPr>
            </w:pPr>
            <w:r w:rsidRPr="00781112">
              <w:rPr>
                <w:rFonts w:cs="Arial"/>
                <w:color w:val="000000" w:themeColor="text1"/>
                <w:szCs w:val="16"/>
              </w:rPr>
              <w:t>4.56%</w:t>
            </w:r>
          </w:p>
        </w:tc>
        <w:tc>
          <w:tcPr>
            <w:tcW w:w="533" w:type="pct"/>
            <w:shd w:val="clear" w:color="auto" w:fill="auto"/>
            <w:vAlign w:val="center"/>
          </w:tcPr>
          <w:p w14:paraId="59BFCAE8" w14:textId="7F9BACFA" w:rsidR="00631963" w:rsidRPr="00781112" w:rsidRDefault="002B7490" w:rsidP="00A018D4">
            <w:pPr>
              <w:jc w:val="center"/>
              <w:rPr>
                <w:rFonts w:cs="Arial"/>
                <w:color w:val="000000" w:themeColor="text1"/>
                <w:szCs w:val="16"/>
              </w:rPr>
            </w:pPr>
            <w:r w:rsidRPr="00781112">
              <w:rPr>
                <w:rFonts w:cs="Arial"/>
                <w:color w:val="000000" w:themeColor="text1"/>
                <w:szCs w:val="16"/>
              </w:rPr>
              <w:t>Met target</w:t>
            </w:r>
          </w:p>
        </w:tc>
        <w:tc>
          <w:tcPr>
            <w:tcW w:w="533" w:type="pct"/>
            <w:shd w:val="clear" w:color="auto" w:fill="auto"/>
            <w:vAlign w:val="center"/>
          </w:tcPr>
          <w:p w14:paraId="6D7448AA" w14:textId="1247E0AB" w:rsidR="00631963" w:rsidRPr="00781112" w:rsidRDefault="002B7490" w:rsidP="00A018D4">
            <w:pPr>
              <w:jc w:val="center"/>
              <w:rPr>
                <w:rFonts w:cs="Arial"/>
                <w:color w:val="000000" w:themeColor="text1"/>
                <w:szCs w:val="16"/>
              </w:rPr>
            </w:pPr>
            <w:r w:rsidRPr="00781112">
              <w:rPr>
                <w:rFonts w:cs="Arial"/>
                <w:color w:val="000000" w:themeColor="text1"/>
                <w:szCs w:val="16"/>
              </w:rPr>
              <w:t>No Slippage</w:t>
            </w:r>
          </w:p>
        </w:tc>
      </w:tr>
      <w:tr w:rsidR="005C29F8" w:rsidRPr="00781112" w14:paraId="18A60D9F" w14:textId="211489DF" w:rsidTr="00360DD6">
        <w:trPr>
          <w:trHeight w:val="361"/>
        </w:trPr>
        <w:tc>
          <w:tcPr>
            <w:tcW w:w="1040" w:type="pct"/>
            <w:shd w:val="clear" w:color="auto" w:fill="auto"/>
            <w:vAlign w:val="center"/>
          </w:tcPr>
          <w:p w14:paraId="0B4BA19D" w14:textId="5F11E8FF" w:rsidR="00631963" w:rsidRPr="00781112" w:rsidRDefault="00631963" w:rsidP="00631963">
            <w:pPr>
              <w:pStyle w:val="Explanation"/>
              <w:rPr>
                <w:rFonts w:cs="Arial"/>
                <w:color w:val="000000" w:themeColor="text1"/>
                <w:szCs w:val="16"/>
              </w:rPr>
            </w:pPr>
            <w:r w:rsidRPr="00781112">
              <w:rPr>
                <w:rFonts w:cs="Arial"/>
                <w:i w:val="0"/>
                <w:color w:val="000000" w:themeColor="text1"/>
                <w:szCs w:val="16"/>
                <w:shd w:val="clear" w:color="auto" w:fill="FFFFFF"/>
              </w:rPr>
              <w:t xml:space="preserve">C. Number of children with IEPs aged 5 (kindergarten) through 21 inside separate schools, residential facilities, or homebound/hospital placements </w:t>
            </w:r>
            <w:r w:rsidR="00163FA7" w:rsidRPr="00781112">
              <w:rPr>
                <w:rFonts w:cs="Arial"/>
                <w:color w:val="000000" w:themeColor="text1"/>
                <w:szCs w:val="16"/>
              </w:rPr>
              <w:t>[</w:t>
            </w:r>
            <w:r w:rsidRPr="00781112">
              <w:rPr>
                <w:rFonts w:cs="Arial"/>
                <w:color w:val="000000" w:themeColor="text1"/>
                <w:szCs w:val="16"/>
              </w:rPr>
              <w:t>c1+c2+c3</w:t>
            </w:r>
            <w:r w:rsidR="00163FA7" w:rsidRPr="00781112">
              <w:rPr>
                <w:rFonts w:cs="Arial"/>
                <w:color w:val="000000" w:themeColor="text1"/>
                <w:szCs w:val="16"/>
              </w:rPr>
              <w:t>]</w:t>
            </w:r>
          </w:p>
        </w:tc>
        <w:tc>
          <w:tcPr>
            <w:tcW w:w="646" w:type="pct"/>
            <w:shd w:val="clear" w:color="auto" w:fill="auto"/>
            <w:vAlign w:val="center"/>
          </w:tcPr>
          <w:p w14:paraId="6F83B928" w14:textId="3C12179B" w:rsidR="00631963" w:rsidRPr="00781112" w:rsidRDefault="002B7490" w:rsidP="00A018D4">
            <w:pPr>
              <w:jc w:val="center"/>
              <w:rPr>
                <w:rFonts w:cs="Arial"/>
                <w:color w:val="000000" w:themeColor="text1"/>
                <w:szCs w:val="16"/>
              </w:rPr>
            </w:pPr>
            <w:r w:rsidRPr="00781112">
              <w:rPr>
                <w:rFonts w:cs="Arial"/>
                <w:color w:val="000000" w:themeColor="text1"/>
                <w:szCs w:val="16"/>
              </w:rPr>
              <w:t>1,994</w:t>
            </w:r>
          </w:p>
        </w:tc>
        <w:tc>
          <w:tcPr>
            <w:tcW w:w="647" w:type="pct"/>
            <w:shd w:val="clear" w:color="auto" w:fill="auto"/>
            <w:vAlign w:val="center"/>
          </w:tcPr>
          <w:p w14:paraId="2B632B6B" w14:textId="0ADBABA1" w:rsidR="00631963" w:rsidRPr="00781112" w:rsidRDefault="002B7490" w:rsidP="00A018D4">
            <w:pPr>
              <w:jc w:val="center"/>
              <w:rPr>
                <w:rFonts w:cs="Arial"/>
                <w:color w:val="000000" w:themeColor="text1"/>
                <w:szCs w:val="16"/>
              </w:rPr>
            </w:pPr>
            <w:r w:rsidRPr="00781112">
              <w:rPr>
                <w:rFonts w:cs="Arial"/>
                <w:color w:val="000000" w:themeColor="text1"/>
                <w:szCs w:val="16"/>
              </w:rPr>
              <w:t>104,181</w:t>
            </w:r>
          </w:p>
        </w:tc>
        <w:tc>
          <w:tcPr>
            <w:tcW w:w="533" w:type="pct"/>
            <w:shd w:val="clear" w:color="auto" w:fill="auto"/>
            <w:vAlign w:val="center"/>
          </w:tcPr>
          <w:p w14:paraId="16857354" w14:textId="17E80039" w:rsidR="00631963" w:rsidRPr="00781112" w:rsidRDefault="002B7490" w:rsidP="00A018D4">
            <w:pPr>
              <w:jc w:val="center"/>
              <w:rPr>
                <w:rFonts w:cs="Arial"/>
                <w:color w:val="000000" w:themeColor="text1"/>
                <w:szCs w:val="16"/>
              </w:rPr>
            </w:pPr>
            <w:r w:rsidRPr="00781112">
              <w:rPr>
                <w:rFonts w:cs="Arial"/>
                <w:color w:val="000000" w:themeColor="text1"/>
                <w:szCs w:val="16"/>
              </w:rPr>
              <w:t>2.00%</w:t>
            </w:r>
          </w:p>
        </w:tc>
        <w:tc>
          <w:tcPr>
            <w:tcW w:w="533" w:type="pct"/>
            <w:shd w:val="clear" w:color="auto" w:fill="auto"/>
            <w:vAlign w:val="center"/>
          </w:tcPr>
          <w:p w14:paraId="10D1478E" w14:textId="0F36466F" w:rsidR="00631963" w:rsidRPr="00781112" w:rsidRDefault="002B7490" w:rsidP="00A018D4">
            <w:pPr>
              <w:jc w:val="center"/>
              <w:rPr>
                <w:rFonts w:cs="Arial"/>
                <w:color w:val="000000" w:themeColor="text1"/>
                <w:szCs w:val="16"/>
              </w:rPr>
            </w:pPr>
            <w:r w:rsidRPr="00781112">
              <w:rPr>
                <w:rFonts w:cs="Arial"/>
                <w:color w:val="000000" w:themeColor="text1"/>
                <w:szCs w:val="16"/>
              </w:rPr>
              <w:t>2.22%</w:t>
            </w:r>
          </w:p>
        </w:tc>
        <w:tc>
          <w:tcPr>
            <w:tcW w:w="533" w:type="pct"/>
            <w:shd w:val="clear" w:color="auto" w:fill="auto"/>
            <w:vAlign w:val="center"/>
          </w:tcPr>
          <w:p w14:paraId="2E9E2BFC" w14:textId="26FEF90C" w:rsidR="00631963" w:rsidRPr="00781112" w:rsidRDefault="002B7490" w:rsidP="00A018D4">
            <w:pPr>
              <w:jc w:val="center"/>
              <w:rPr>
                <w:rFonts w:cs="Arial"/>
                <w:color w:val="000000" w:themeColor="text1"/>
                <w:szCs w:val="16"/>
              </w:rPr>
            </w:pPr>
            <w:r w:rsidRPr="00781112">
              <w:rPr>
                <w:rFonts w:cs="Arial"/>
                <w:color w:val="000000" w:themeColor="text1"/>
                <w:szCs w:val="16"/>
              </w:rPr>
              <w:t>1.91%</w:t>
            </w:r>
          </w:p>
        </w:tc>
        <w:tc>
          <w:tcPr>
            <w:tcW w:w="533" w:type="pct"/>
            <w:shd w:val="clear" w:color="auto" w:fill="auto"/>
            <w:vAlign w:val="center"/>
          </w:tcPr>
          <w:p w14:paraId="5321D014" w14:textId="1EA51894" w:rsidR="00631963" w:rsidRPr="00781112" w:rsidRDefault="002B7490" w:rsidP="00A018D4">
            <w:pPr>
              <w:jc w:val="center"/>
              <w:rPr>
                <w:rFonts w:cs="Arial"/>
                <w:color w:val="000000" w:themeColor="text1"/>
                <w:szCs w:val="16"/>
              </w:rPr>
            </w:pPr>
            <w:r w:rsidRPr="00781112">
              <w:rPr>
                <w:rFonts w:cs="Arial"/>
                <w:color w:val="000000" w:themeColor="text1"/>
                <w:szCs w:val="16"/>
              </w:rPr>
              <w:t>Met target</w:t>
            </w:r>
          </w:p>
        </w:tc>
        <w:tc>
          <w:tcPr>
            <w:tcW w:w="533" w:type="pct"/>
            <w:shd w:val="clear" w:color="auto" w:fill="auto"/>
            <w:vAlign w:val="center"/>
          </w:tcPr>
          <w:p w14:paraId="2BFA05A8" w14:textId="3EACA9BA" w:rsidR="00631963" w:rsidRPr="00781112" w:rsidRDefault="002B7490" w:rsidP="00A018D4">
            <w:pPr>
              <w:jc w:val="center"/>
              <w:rPr>
                <w:rFonts w:cs="Arial"/>
                <w:color w:val="000000" w:themeColor="text1"/>
                <w:szCs w:val="16"/>
              </w:rPr>
            </w:pPr>
            <w:r w:rsidRPr="00781112">
              <w:rPr>
                <w:rFonts w:cs="Arial"/>
                <w:color w:val="000000" w:themeColor="text1"/>
                <w:szCs w:val="16"/>
              </w:rPr>
              <w:t>No Slippage</w:t>
            </w:r>
          </w:p>
        </w:tc>
      </w:tr>
    </w:tbl>
    <w:p w14:paraId="073B208C" w14:textId="4B79EDF3" w:rsidR="006C575D" w:rsidRPr="00781112" w:rsidRDefault="006C575D" w:rsidP="004369B2">
      <w:pPr>
        <w:rPr>
          <w:b/>
          <w:color w:val="000000" w:themeColor="text1"/>
        </w:rPr>
      </w:pPr>
      <w:r w:rsidRPr="00781112">
        <w:rPr>
          <w:b/>
          <w:color w:val="000000" w:themeColor="text1"/>
        </w:rPr>
        <w:t>Provide additional information about this indicator (optional)</w:t>
      </w:r>
    </w:p>
    <w:p w14:paraId="2F810D98" w14:textId="08328771" w:rsidR="003C308E" w:rsidRPr="00781112" w:rsidRDefault="003C308E" w:rsidP="007D435F">
      <w:pPr>
        <w:rPr>
          <w:rFonts w:cs="Arial"/>
          <w:color w:val="000000" w:themeColor="text1"/>
          <w:szCs w:val="16"/>
        </w:rPr>
      </w:pPr>
    </w:p>
    <w:p w14:paraId="0B7E5CD7" w14:textId="77777777" w:rsidR="004A4803" w:rsidRPr="00781112" w:rsidRDefault="004A4803" w:rsidP="004369B2">
      <w:pPr>
        <w:rPr>
          <w:color w:val="000000" w:themeColor="text1"/>
        </w:rPr>
      </w:pPr>
    </w:p>
    <w:p w14:paraId="68DA7415" w14:textId="0FE711BA" w:rsidR="000A2C83" w:rsidRPr="00781112" w:rsidRDefault="007B5383" w:rsidP="008645AD">
      <w:pPr>
        <w:pStyle w:val="Heading2"/>
      </w:pPr>
      <w:r w:rsidRPr="00781112">
        <w:t>5</w:t>
      </w:r>
      <w:r w:rsidR="002203FA" w:rsidRPr="00781112">
        <w:t xml:space="preserve"> </w:t>
      </w:r>
      <w:r w:rsidRPr="00781112">
        <w:t xml:space="preserve">- </w:t>
      </w:r>
      <w:r w:rsidR="000A2C83" w:rsidRPr="00781112">
        <w:t>Prior FFY Required Actions</w:t>
      </w:r>
    </w:p>
    <w:p w14:paraId="2C73DADD" w14:textId="6039179B" w:rsidR="00163FA7" w:rsidRPr="00781112" w:rsidRDefault="002B7490" w:rsidP="000A2C83">
      <w:pPr>
        <w:rPr>
          <w:rFonts w:cs="Arial"/>
          <w:color w:val="000000" w:themeColor="text1"/>
          <w:szCs w:val="16"/>
        </w:rPr>
      </w:pPr>
      <w:r w:rsidRPr="00781112">
        <w:rPr>
          <w:rFonts w:cs="Arial"/>
          <w:color w:val="000000" w:themeColor="text1"/>
          <w:szCs w:val="16"/>
        </w:rPr>
        <w:t>None</w:t>
      </w:r>
    </w:p>
    <w:p w14:paraId="30448C87" w14:textId="2E9FCBE3" w:rsidR="006C575D" w:rsidRPr="00781112" w:rsidRDefault="007B5383" w:rsidP="008645AD">
      <w:pPr>
        <w:pStyle w:val="Heading2"/>
      </w:pPr>
      <w:r w:rsidRPr="00781112">
        <w:t>5 - OSEP Response</w:t>
      </w:r>
    </w:p>
    <w:p w14:paraId="63E8B575" w14:textId="0FE467D2" w:rsidR="003C308E" w:rsidRPr="00781112" w:rsidRDefault="003C308E" w:rsidP="001F692C">
      <w:pPr>
        <w:rPr>
          <w:rFonts w:cs="Arial"/>
          <w:color w:val="000000" w:themeColor="text1"/>
          <w:szCs w:val="16"/>
        </w:rPr>
      </w:pPr>
    </w:p>
    <w:p w14:paraId="66CCD9C9" w14:textId="435D8999" w:rsidR="006C575D" w:rsidRPr="00781112" w:rsidRDefault="007B5383" w:rsidP="008645AD">
      <w:pPr>
        <w:pStyle w:val="Heading2"/>
      </w:pPr>
      <w:r w:rsidRPr="00781112">
        <w:t>5 - Required Actions</w:t>
      </w:r>
    </w:p>
    <w:p w14:paraId="140EB887" w14:textId="21164854" w:rsidR="003C308E" w:rsidRPr="00781112" w:rsidRDefault="003C308E" w:rsidP="001F692C">
      <w:pPr>
        <w:rPr>
          <w:rFonts w:cs="Arial"/>
          <w:color w:val="000000" w:themeColor="text1"/>
          <w:szCs w:val="16"/>
        </w:rPr>
      </w:pPr>
    </w:p>
    <w:p w14:paraId="0AFF9CFF" w14:textId="77777777" w:rsidR="00600E15" w:rsidRPr="00781112" w:rsidRDefault="00600E15">
      <w:pPr>
        <w:spacing w:before="0" w:after="200" w:line="276" w:lineRule="auto"/>
        <w:rPr>
          <w:rFonts w:eastAsiaTheme="majorEastAsia" w:cs="Arial"/>
          <w:b/>
          <w:bCs/>
          <w:color w:val="000000" w:themeColor="text1"/>
          <w:szCs w:val="16"/>
        </w:rPr>
      </w:pPr>
      <w:r w:rsidRPr="00781112">
        <w:rPr>
          <w:rFonts w:cs="Arial"/>
          <w:color w:val="000000" w:themeColor="text1"/>
          <w:szCs w:val="16"/>
        </w:rPr>
        <w:br w:type="page"/>
      </w:r>
    </w:p>
    <w:p w14:paraId="35527AAE" w14:textId="1CCE2F0D" w:rsidR="00D21EAA" w:rsidRPr="00781112" w:rsidRDefault="00D21EAA" w:rsidP="000444E2">
      <w:pPr>
        <w:pStyle w:val="Heading1"/>
        <w:rPr>
          <w:color w:val="000000" w:themeColor="text1"/>
          <w:sz w:val="22"/>
        </w:rPr>
      </w:pPr>
      <w:r w:rsidRPr="00781112">
        <w:rPr>
          <w:color w:val="000000" w:themeColor="text1"/>
          <w:sz w:val="22"/>
        </w:rPr>
        <w:lastRenderedPageBreak/>
        <w:t>Indicator 6: Preschool Environments</w:t>
      </w:r>
    </w:p>
    <w:p w14:paraId="0EEB38B7" w14:textId="59C9FCA0" w:rsidR="00897094" w:rsidRPr="00781112" w:rsidRDefault="00897094" w:rsidP="00A018D4">
      <w:pPr>
        <w:rPr>
          <w:color w:val="000000" w:themeColor="text1"/>
          <w:szCs w:val="20"/>
        </w:rPr>
      </w:pPr>
      <w:bookmarkStart w:id="37" w:name="_Toc392159299"/>
      <w:r w:rsidRPr="00781112">
        <w:rPr>
          <w:b/>
          <w:color w:val="000000" w:themeColor="text1"/>
          <w:sz w:val="20"/>
          <w:szCs w:val="20"/>
        </w:rPr>
        <w:t>Instructions and Measurement</w:t>
      </w:r>
    </w:p>
    <w:p w14:paraId="38394246" w14:textId="27FF79AA" w:rsidR="00CC634E" w:rsidRPr="00781112" w:rsidRDefault="00CC634E" w:rsidP="004369B2">
      <w:pPr>
        <w:rPr>
          <w:color w:val="000000" w:themeColor="text1"/>
        </w:rPr>
      </w:pPr>
      <w:r w:rsidRPr="00781112">
        <w:rPr>
          <w:b/>
          <w:color w:val="000000" w:themeColor="text1"/>
        </w:rPr>
        <w:t xml:space="preserve">Monitoring Priority: </w:t>
      </w:r>
      <w:r w:rsidRPr="00781112">
        <w:rPr>
          <w:color w:val="000000" w:themeColor="text1"/>
        </w:rPr>
        <w:t>FAPE in the LRE</w:t>
      </w:r>
    </w:p>
    <w:p w14:paraId="07B041D6" w14:textId="3EA0507C" w:rsidR="00CC634E" w:rsidRPr="00781112" w:rsidRDefault="00CC634E" w:rsidP="0011074D">
      <w:pPr>
        <w:rPr>
          <w:rFonts w:cs="Arial"/>
          <w:color w:val="000000" w:themeColor="text1"/>
          <w:szCs w:val="16"/>
        </w:rPr>
      </w:pPr>
      <w:r w:rsidRPr="00781112">
        <w:rPr>
          <w:rFonts w:cs="Arial"/>
          <w:b/>
          <w:color w:val="000000" w:themeColor="text1"/>
          <w:szCs w:val="16"/>
        </w:rPr>
        <w:t>Results indicator:</w:t>
      </w:r>
      <w:r w:rsidR="00131842" w:rsidRPr="00781112">
        <w:rPr>
          <w:rFonts w:cs="Arial"/>
          <w:color w:val="000000" w:themeColor="text1"/>
          <w:szCs w:val="16"/>
        </w:rPr>
        <w:t xml:space="preserve"> </w:t>
      </w:r>
      <w:r w:rsidRPr="00781112">
        <w:rPr>
          <w:rFonts w:cs="Arial"/>
          <w:color w:val="000000" w:themeColor="text1"/>
          <w:szCs w:val="16"/>
        </w:rPr>
        <w:t>Percent of children</w:t>
      </w:r>
      <w:r w:rsidR="00BE028C" w:rsidRPr="00781112">
        <w:rPr>
          <w:rFonts w:cs="Arial"/>
          <w:color w:val="000000" w:themeColor="text1"/>
          <w:szCs w:val="16"/>
        </w:rPr>
        <w:t xml:space="preserve"> </w:t>
      </w:r>
      <w:r w:rsidRPr="00781112">
        <w:rPr>
          <w:rFonts w:cs="Arial"/>
          <w:color w:val="000000" w:themeColor="text1"/>
          <w:szCs w:val="16"/>
        </w:rPr>
        <w:t xml:space="preserve">with IEPs </w:t>
      </w:r>
      <w:r w:rsidR="000B1A1B" w:rsidRPr="00781112">
        <w:rPr>
          <w:rFonts w:cs="Arial"/>
          <w:color w:val="000000" w:themeColor="text1"/>
          <w:szCs w:val="16"/>
        </w:rPr>
        <w:t xml:space="preserve">aged 3, 4, and aged 5 who are enrolled in a preschool program </w:t>
      </w:r>
      <w:r w:rsidRPr="00781112">
        <w:rPr>
          <w:rFonts w:cs="Arial"/>
          <w:color w:val="000000" w:themeColor="text1"/>
          <w:szCs w:val="16"/>
        </w:rPr>
        <w:t>attending a:</w:t>
      </w:r>
    </w:p>
    <w:p w14:paraId="0FDA7062" w14:textId="4CA83104" w:rsidR="00CC634E" w:rsidRPr="00781112" w:rsidRDefault="005F3399" w:rsidP="006A01BD">
      <w:pPr>
        <w:ind w:left="720"/>
        <w:rPr>
          <w:rFonts w:cs="Arial"/>
          <w:color w:val="000000" w:themeColor="text1"/>
          <w:szCs w:val="16"/>
        </w:rPr>
      </w:pPr>
      <w:r w:rsidRPr="00781112">
        <w:rPr>
          <w:rFonts w:cs="Arial"/>
          <w:color w:val="000000" w:themeColor="text1"/>
          <w:szCs w:val="16"/>
        </w:rPr>
        <w:t xml:space="preserve">A. Regular early childhood program and receiving </w:t>
      </w:r>
      <w:proofErr w:type="gramStart"/>
      <w:r w:rsidRPr="00781112">
        <w:rPr>
          <w:rFonts w:cs="Arial"/>
          <w:color w:val="000000" w:themeColor="text1"/>
          <w:szCs w:val="16"/>
        </w:rPr>
        <w:t>the majority of</w:t>
      </w:r>
      <w:proofErr w:type="gramEnd"/>
      <w:r w:rsidRPr="00781112">
        <w:rPr>
          <w:rFonts w:cs="Arial"/>
          <w:color w:val="000000" w:themeColor="text1"/>
          <w:szCs w:val="16"/>
        </w:rPr>
        <w:t xml:space="preserve"> special education and related services in the regular early childhood program; and</w:t>
      </w:r>
    </w:p>
    <w:p w14:paraId="4A161793" w14:textId="6574C625" w:rsidR="00CC634E" w:rsidRPr="00781112" w:rsidRDefault="005F3399" w:rsidP="006A01BD">
      <w:pPr>
        <w:ind w:firstLine="720"/>
        <w:rPr>
          <w:rFonts w:cs="Arial"/>
          <w:color w:val="000000" w:themeColor="text1"/>
          <w:szCs w:val="16"/>
        </w:rPr>
      </w:pPr>
      <w:r w:rsidRPr="00781112">
        <w:rPr>
          <w:rFonts w:cs="Arial"/>
          <w:color w:val="000000" w:themeColor="text1"/>
          <w:szCs w:val="16"/>
        </w:rPr>
        <w:t>B. Separate special education class, separate school or residential facility.</w:t>
      </w:r>
    </w:p>
    <w:p w14:paraId="797114DB" w14:textId="5A0252FB" w:rsidR="003608F9" w:rsidRPr="00781112" w:rsidRDefault="003608F9" w:rsidP="00360DD6">
      <w:pPr>
        <w:ind w:left="360"/>
        <w:rPr>
          <w:rFonts w:cs="Arial"/>
          <w:szCs w:val="16"/>
        </w:rPr>
      </w:pPr>
      <w:r w:rsidRPr="00781112">
        <w:rPr>
          <w:rFonts w:cs="Arial"/>
          <w:color w:val="000000" w:themeColor="text1"/>
          <w:szCs w:val="16"/>
        </w:rPr>
        <w:tab/>
        <w:t xml:space="preserve">C. </w:t>
      </w:r>
      <w:r w:rsidRPr="00781112">
        <w:rPr>
          <w:rFonts w:cs="Arial"/>
          <w:szCs w:val="16"/>
        </w:rPr>
        <w:t>Receiving special education and related services in the home.</w:t>
      </w:r>
    </w:p>
    <w:p w14:paraId="1AC955CF" w14:textId="38EDB6BF" w:rsidR="0011074D" w:rsidRPr="00781112" w:rsidRDefault="0011074D" w:rsidP="0011074D">
      <w:pPr>
        <w:rPr>
          <w:rFonts w:cs="Arial"/>
          <w:color w:val="000000" w:themeColor="text1"/>
          <w:szCs w:val="16"/>
        </w:rPr>
      </w:pPr>
      <w:r w:rsidRPr="00781112">
        <w:rPr>
          <w:rFonts w:cs="Arial"/>
          <w:color w:val="000000" w:themeColor="text1"/>
          <w:szCs w:val="16"/>
        </w:rPr>
        <w:t>(20 U.S.C. 1416(a)(3)(A))</w:t>
      </w:r>
    </w:p>
    <w:p w14:paraId="47FA9AD7" w14:textId="77777777" w:rsidR="005322B8" w:rsidRPr="00781112" w:rsidRDefault="005322B8" w:rsidP="004369B2">
      <w:pPr>
        <w:rPr>
          <w:color w:val="000000" w:themeColor="text1"/>
        </w:rPr>
      </w:pPr>
      <w:r w:rsidRPr="00781112">
        <w:rPr>
          <w:b/>
          <w:color w:val="000000" w:themeColor="text1"/>
        </w:rPr>
        <w:t>Data Source</w:t>
      </w:r>
    </w:p>
    <w:p w14:paraId="7412FE19" w14:textId="736BCFC9" w:rsidR="005322B8" w:rsidRPr="00781112" w:rsidRDefault="005322B8" w:rsidP="00BB7BC9">
      <w:pPr>
        <w:rPr>
          <w:rFonts w:cs="Arial"/>
          <w:color w:val="000000" w:themeColor="text1"/>
          <w:szCs w:val="16"/>
        </w:rPr>
      </w:pPr>
      <w:r w:rsidRPr="00781112">
        <w:rPr>
          <w:rFonts w:cs="Arial"/>
          <w:color w:val="000000" w:themeColor="text1"/>
          <w:szCs w:val="16"/>
        </w:rPr>
        <w:t>S</w:t>
      </w:r>
      <w:r w:rsidRPr="00781112">
        <w:rPr>
          <w:rFonts w:cs="Arial"/>
          <w:color w:val="000000" w:themeColor="text1"/>
          <w:szCs w:val="16"/>
          <w:shd w:val="clear" w:color="auto" w:fill="FFFFFF"/>
        </w:rPr>
        <w:t>ame data as used for reporting to the Department under section 618 of the IDEA, using the definitions in ED</w:t>
      </w:r>
      <w:r w:rsidRPr="00BA3DBE">
        <w:rPr>
          <w:rFonts w:cs="Arial"/>
          <w:i/>
          <w:iCs/>
          <w:color w:val="000000" w:themeColor="text1"/>
          <w:szCs w:val="16"/>
          <w:shd w:val="clear" w:color="auto" w:fill="FFFFFF"/>
        </w:rPr>
        <w:t>Facts</w:t>
      </w:r>
      <w:r w:rsidRPr="00781112">
        <w:rPr>
          <w:rFonts w:cs="Arial"/>
          <w:color w:val="000000" w:themeColor="text1"/>
          <w:szCs w:val="16"/>
          <w:shd w:val="clear" w:color="auto" w:fill="FFFFFF"/>
        </w:rPr>
        <w:t xml:space="preserve"> file specification </w:t>
      </w:r>
      <w:r w:rsidR="00A95280" w:rsidRPr="00781112">
        <w:rPr>
          <w:rFonts w:cs="Arial"/>
          <w:color w:val="000000" w:themeColor="text1"/>
          <w:szCs w:val="16"/>
          <w:shd w:val="clear" w:color="auto" w:fill="FFFFFF"/>
        </w:rPr>
        <w:t>FS</w:t>
      </w:r>
      <w:r w:rsidRPr="00781112">
        <w:rPr>
          <w:rFonts w:cs="Arial"/>
          <w:color w:val="000000" w:themeColor="text1"/>
          <w:szCs w:val="16"/>
          <w:shd w:val="clear" w:color="auto" w:fill="FFFFFF"/>
        </w:rPr>
        <w:t>089.</w:t>
      </w:r>
    </w:p>
    <w:p w14:paraId="17AAF6AD" w14:textId="77777777" w:rsidR="005322B8" w:rsidRPr="00781112" w:rsidRDefault="005322B8" w:rsidP="004369B2">
      <w:pPr>
        <w:rPr>
          <w:color w:val="000000" w:themeColor="text1"/>
        </w:rPr>
      </w:pPr>
      <w:r w:rsidRPr="00781112">
        <w:rPr>
          <w:b/>
          <w:color w:val="000000" w:themeColor="text1"/>
        </w:rPr>
        <w:t>Measurement</w:t>
      </w:r>
    </w:p>
    <w:p w14:paraId="14C60C6A" w14:textId="3C4928BE" w:rsidR="005322B8" w:rsidRPr="00781112" w:rsidRDefault="00724BCB" w:rsidP="00286BDF">
      <w:pPr>
        <w:rPr>
          <w:rFonts w:cs="Arial"/>
          <w:color w:val="000000" w:themeColor="text1"/>
          <w:szCs w:val="16"/>
        </w:rPr>
      </w:pPr>
      <w:r w:rsidRPr="00781112">
        <w:rPr>
          <w:rFonts w:cs="Arial"/>
          <w:color w:val="000000" w:themeColor="text1"/>
          <w:szCs w:val="16"/>
        </w:rPr>
        <w:tab/>
        <w:t>A. Percent</w:t>
      </w:r>
      <w:r w:rsidR="005322B8" w:rsidRPr="00781112">
        <w:rPr>
          <w:rFonts w:cs="Arial"/>
          <w:color w:val="000000" w:themeColor="text1"/>
          <w:szCs w:val="16"/>
          <w:shd w:val="clear" w:color="auto" w:fill="FFFFFF"/>
        </w:rPr>
        <w:t xml:space="preserve"> = </w:t>
      </w:r>
      <w:r w:rsidR="00B2497F" w:rsidRPr="00781112">
        <w:rPr>
          <w:rFonts w:cs="Arial"/>
          <w:color w:val="000000" w:themeColor="text1"/>
          <w:szCs w:val="16"/>
          <w:shd w:val="clear" w:color="auto" w:fill="FFFFFF"/>
        </w:rPr>
        <w:t xml:space="preserve">[(# </w:t>
      </w:r>
      <w:r w:rsidR="005322B8" w:rsidRPr="00781112">
        <w:rPr>
          <w:rFonts w:cs="Arial"/>
          <w:color w:val="000000" w:themeColor="text1"/>
          <w:szCs w:val="16"/>
          <w:shd w:val="clear" w:color="auto" w:fill="FFFFFF"/>
        </w:rPr>
        <w:t>of children age</w:t>
      </w:r>
      <w:r w:rsidRPr="00781112">
        <w:rPr>
          <w:rFonts w:cs="Arial"/>
          <w:color w:val="000000" w:themeColor="text1"/>
          <w:szCs w:val="16"/>
          <w:shd w:val="clear" w:color="auto" w:fill="FFFFFF"/>
        </w:rPr>
        <w:t>s</w:t>
      </w:r>
      <w:r w:rsidR="005322B8" w:rsidRPr="00781112">
        <w:rPr>
          <w:rFonts w:cs="Arial"/>
          <w:color w:val="000000" w:themeColor="text1"/>
          <w:szCs w:val="16"/>
          <w:shd w:val="clear" w:color="auto" w:fill="FFFFFF"/>
        </w:rPr>
        <w:t xml:space="preserve"> 3</w:t>
      </w:r>
      <w:r w:rsidRPr="00781112">
        <w:rPr>
          <w:rFonts w:cs="Arial"/>
          <w:color w:val="000000" w:themeColor="text1"/>
          <w:szCs w:val="16"/>
          <w:shd w:val="clear" w:color="auto" w:fill="FFFFFF"/>
        </w:rPr>
        <w:t>, 4, and</w:t>
      </w:r>
      <w:r w:rsidR="005322B8" w:rsidRPr="00781112">
        <w:rPr>
          <w:rFonts w:cs="Arial"/>
          <w:color w:val="000000" w:themeColor="text1"/>
          <w:szCs w:val="16"/>
          <w:shd w:val="clear" w:color="auto" w:fill="FFFFFF"/>
        </w:rPr>
        <w:t xml:space="preserve"> 5 with IEPs attending a regular early childhood program and receiving </w:t>
      </w:r>
      <w:proofErr w:type="gramStart"/>
      <w:r w:rsidR="005322B8" w:rsidRPr="00781112">
        <w:rPr>
          <w:rFonts w:cs="Arial"/>
          <w:color w:val="000000" w:themeColor="text1"/>
          <w:szCs w:val="16"/>
          <w:shd w:val="clear" w:color="auto" w:fill="FFFFFF"/>
        </w:rPr>
        <w:t>the majority of</w:t>
      </w:r>
      <w:proofErr w:type="gramEnd"/>
      <w:r w:rsidR="005322B8" w:rsidRPr="00781112">
        <w:rPr>
          <w:rFonts w:cs="Arial"/>
          <w:color w:val="000000" w:themeColor="text1"/>
          <w:szCs w:val="16"/>
          <w:shd w:val="clear" w:color="auto" w:fill="FFFFFF"/>
        </w:rPr>
        <w:t xml:space="preserve"> special </w:t>
      </w:r>
      <w:r w:rsidR="00774DE0" w:rsidRPr="00781112">
        <w:rPr>
          <w:rFonts w:cs="Arial"/>
          <w:color w:val="000000" w:themeColor="text1"/>
          <w:szCs w:val="16"/>
          <w:shd w:val="clear" w:color="auto" w:fill="FFFFFF"/>
        </w:rPr>
        <w:tab/>
      </w:r>
      <w:r w:rsidR="005322B8" w:rsidRPr="00781112">
        <w:rPr>
          <w:rFonts w:cs="Arial"/>
          <w:color w:val="000000" w:themeColor="text1"/>
          <w:szCs w:val="16"/>
          <w:shd w:val="clear" w:color="auto" w:fill="FFFFFF"/>
        </w:rPr>
        <w:t>education and related services in the regular early childhood program) divided by the (total # of children age</w:t>
      </w:r>
      <w:r w:rsidR="00774DE0" w:rsidRPr="00781112">
        <w:rPr>
          <w:rFonts w:cs="Arial"/>
          <w:color w:val="000000" w:themeColor="text1"/>
          <w:szCs w:val="16"/>
          <w:shd w:val="clear" w:color="auto" w:fill="FFFFFF"/>
        </w:rPr>
        <w:t>s</w:t>
      </w:r>
      <w:r w:rsidR="005322B8" w:rsidRPr="00781112">
        <w:rPr>
          <w:rFonts w:cs="Arial"/>
          <w:color w:val="000000" w:themeColor="text1"/>
          <w:szCs w:val="16"/>
          <w:shd w:val="clear" w:color="auto" w:fill="FFFFFF"/>
        </w:rPr>
        <w:t xml:space="preserve"> 3</w:t>
      </w:r>
      <w:r w:rsidR="00774DE0" w:rsidRPr="00781112">
        <w:rPr>
          <w:rFonts w:cs="Arial"/>
          <w:color w:val="000000" w:themeColor="text1"/>
          <w:szCs w:val="16"/>
          <w:shd w:val="clear" w:color="auto" w:fill="FFFFFF"/>
        </w:rPr>
        <w:t>, 4, and</w:t>
      </w:r>
      <w:r w:rsidR="005322B8" w:rsidRPr="00781112">
        <w:rPr>
          <w:rFonts w:cs="Arial"/>
          <w:color w:val="000000" w:themeColor="text1"/>
          <w:szCs w:val="16"/>
          <w:shd w:val="clear" w:color="auto" w:fill="FFFFFF"/>
        </w:rPr>
        <w:t xml:space="preserve"> 5 with IEPs)</w:t>
      </w:r>
      <w:r w:rsidR="00B2497F" w:rsidRPr="00781112">
        <w:rPr>
          <w:rFonts w:cs="Arial"/>
          <w:color w:val="000000" w:themeColor="text1"/>
          <w:szCs w:val="16"/>
          <w:shd w:val="clear" w:color="auto" w:fill="FFFFFF"/>
        </w:rPr>
        <w:t>]</w:t>
      </w:r>
      <w:r w:rsidR="005322B8" w:rsidRPr="00781112">
        <w:rPr>
          <w:rFonts w:cs="Arial"/>
          <w:color w:val="000000" w:themeColor="text1"/>
          <w:szCs w:val="16"/>
          <w:shd w:val="clear" w:color="auto" w:fill="FFFFFF"/>
        </w:rPr>
        <w:t xml:space="preserve"> times </w:t>
      </w:r>
      <w:r w:rsidR="00774DE0" w:rsidRPr="00781112">
        <w:rPr>
          <w:rFonts w:cs="Arial"/>
          <w:color w:val="000000" w:themeColor="text1"/>
          <w:szCs w:val="16"/>
          <w:shd w:val="clear" w:color="auto" w:fill="FFFFFF"/>
        </w:rPr>
        <w:tab/>
      </w:r>
      <w:r w:rsidR="005322B8" w:rsidRPr="00781112">
        <w:rPr>
          <w:rFonts w:cs="Arial"/>
          <w:color w:val="000000" w:themeColor="text1"/>
          <w:szCs w:val="16"/>
          <w:shd w:val="clear" w:color="auto" w:fill="FFFFFF"/>
        </w:rPr>
        <w:t>100.</w:t>
      </w:r>
    </w:p>
    <w:p w14:paraId="0CD6EF84" w14:textId="4020B61A" w:rsidR="005322B8" w:rsidRPr="00781112" w:rsidRDefault="00774DE0" w:rsidP="00286BDF">
      <w:pPr>
        <w:rPr>
          <w:rFonts w:cs="Arial"/>
          <w:color w:val="000000" w:themeColor="text1"/>
          <w:szCs w:val="16"/>
          <w:shd w:val="clear" w:color="auto" w:fill="FFFFFF"/>
        </w:rPr>
      </w:pPr>
      <w:r w:rsidRPr="00781112">
        <w:rPr>
          <w:rFonts w:cs="Arial"/>
          <w:color w:val="000000" w:themeColor="text1"/>
          <w:szCs w:val="16"/>
        </w:rPr>
        <w:tab/>
        <w:t xml:space="preserve">B. Percent </w:t>
      </w:r>
      <w:r w:rsidR="00DB1150" w:rsidRPr="00781112">
        <w:rPr>
          <w:rFonts w:cs="Arial"/>
          <w:color w:val="000000" w:themeColor="text1"/>
          <w:szCs w:val="16"/>
          <w:shd w:val="clear" w:color="auto" w:fill="FFFFFF"/>
        </w:rPr>
        <w:t>=</w:t>
      </w:r>
      <w:r w:rsidR="005322B8" w:rsidRPr="00781112">
        <w:rPr>
          <w:rFonts w:cs="Arial"/>
          <w:color w:val="000000" w:themeColor="text1"/>
          <w:szCs w:val="16"/>
          <w:shd w:val="clear" w:color="auto" w:fill="FFFFFF"/>
        </w:rPr>
        <w:t xml:space="preserve"> </w:t>
      </w:r>
      <w:r w:rsidR="00B2497F" w:rsidRPr="00781112">
        <w:rPr>
          <w:rFonts w:cs="Arial"/>
          <w:color w:val="000000" w:themeColor="text1"/>
          <w:szCs w:val="16"/>
          <w:shd w:val="clear" w:color="auto" w:fill="FFFFFF"/>
        </w:rPr>
        <w:t>[</w:t>
      </w:r>
      <w:r w:rsidR="005322B8" w:rsidRPr="00781112">
        <w:rPr>
          <w:rFonts w:cs="Arial"/>
          <w:color w:val="000000" w:themeColor="text1"/>
          <w:szCs w:val="16"/>
          <w:shd w:val="clear" w:color="auto" w:fill="FFFFFF"/>
        </w:rPr>
        <w:t>(# of children age</w:t>
      </w:r>
      <w:r w:rsidR="00633044" w:rsidRPr="00781112">
        <w:rPr>
          <w:rFonts w:cs="Arial"/>
          <w:color w:val="000000" w:themeColor="text1"/>
          <w:szCs w:val="16"/>
          <w:shd w:val="clear" w:color="auto" w:fill="FFFFFF"/>
        </w:rPr>
        <w:t>s</w:t>
      </w:r>
      <w:r w:rsidR="005322B8" w:rsidRPr="00781112">
        <w:rPr>
          <w:rFonts w:cs="Arial"/>
          <w:color w:val="000000" w:themeColor="text1"/>
          <w:szCs w:val="16"/>
          <w:shd w:val="clear" w:color="auto" w:fill="FFFFFF"/>
        </w:rPr>
        <w:t xml:space="preserve"> 3</w:t>
      </w:r>
      <w:r w:rsidR="00633044" w:rsidRPr="00781112">
        <w:rPr>
          <w:rFonts w:cs="Arial"/>
          <w:color w:val="000000" w:themeColor="text1"/>
          <w:szCs w:val="16"/>
          <w:shd w:val="clear" w:color="auto" w:fill="FFFFFF"/>
        </w:rPr>
        <w:t>, 4, and</w:t>
      </w:r>
      <w:r w:rsidR="005322B8" w:rsidRPr="00781112">
        <w:rPr>
          <w:rFonts w:cs="Arial"/>
          <w:color w:val="000000" w:themeColor="text1"/>
          <w:szCs w:val="16"/>
          <w:shd w:val="clear" w:color="auto" w:fill="FFFFFF"/>
        </w:rPr>
        <w:t xml:space="preserve"> 5 with IEPs attending a separate special education class, separate school or residential facility) </w:t>
      </w:r>
      <w:r w:rsidRPr="00781112">
        <w:rPr>
          <w:rFonts w:cs="Arial"/>
          <w:color w:val="000000" w:themeColor="text1"/>
          <w:szCs w:val="16"/>
          <w:shd w:val="clear" w:color="auto" w:fill="FFFFFF"/>
        </w:rPr>
        <w:tab/>
      </w:r>
      <w:r w:rsidR="005322B8" w:rsidRPr="00781112">
        <w:rPr>
          <w:rFonts w:cs="Arial"/>
          <w:color w:val="000000" w:themeColor="text1"/>
          <w:szCs w:val="16"/>
          <w:shd w:val="clear" w:color="auto" w:fill="FFFFFF"/>
        </w:rPr>
        <w:t>divided by the (total # of children age</w:t>
      </w:r>
      <w:r w:rsidR="00633044" w:rsidRPr="00781112">
        <w:rPr>
          <w:rFonts w:cs="Arial"/>
          <w:color w:val="000000" w:themeColor="text1"/>
          <w:szCs w:val="16"/>
          <w:shd w:val="clear" w:color="auto" w:fill="FFFFFF"/>
        </w:rPr>
        <w:t>s</w:t>
      </w:r>
      <w:r w:rsidR="005322B8" w:rsidRPr="00781112">
        <w:rPr>
          <w:rFonts w:cs="Arial"/>
          <w:color w:val="000000" w:themeColor="text1"/>
          <w:szCs w:val="16"/>
          <w:shd w:val="clear" w:color="auto" w:fill="FFFFFF"/>
        </w:rPr>
        <w:t xml:space="preserve"> 3</w:t>
      </w:r>
      <w:r w:rsidR="00633044" w:rsidRPr="00781112">
        <w:rPr>
          <w:rFonts w:cs="Arial"/>
          <w:color w:val="000000" w:themeColor="text1"/>
          <w:szCs w:val="16"/>
          <w:shd w:val="clear" w:color="auto" w:fill="FFFFFF"/>
        </w:rPr>
        <w:t>, 4, and</w:t>
      </w:r>
      <w:r w:rsidR="005322B8" w:rsidRPr="00781112">
        <w:rPr>
          <w:rFonts w:cs="Arial"/>
          <w:color w:val="000000" w:themeColor="text1"/>
          <w:szCs w:val="16"/>
          <w:shd w:val="clear" w:color="auto" w:fill="FFFFFF"/>
        </w:rPr>
        <w:t xml:space="preserve"> 5 with IEPs)</w:t>
      </w:r>
      <w:r w:rsidR="00B2497F" w:rsidRPr="00781112">
        <w:rPr>
          <w:rFonts w:cs="Arial"/>
          <w:color w:val="000000" w:themeColor="text1"/>
          <w:szCs w:val="16"/>
          <w:shd w:val="clear" w:color="auto" w:fill="FFFFFF"/>
        </w:rPr>
        <w:t>]</w:t>
      </w:r>
      <w:r w:rsidR="005322B8" w:rsidRPr="00781112">
        <w:rPr>
          <w:rFonts w:cs="Arial"/>
          <w:color w:val="000000" w:themeColor="text1"/>
          <w:szCs w:val="16"/>
          <w:shd w:val="clear" w:color="auto" w:fill="FFFFFF"/>
        </w:rPr>
        <w:t xml:space="preserve"> times 100.</w:t>
      </w:r>
    </w:p>
    <w:p w14:paraId="48F03EFA" w14:textId="54A1E7EC" w:rsidR="00774DE0" w:rsidRPr="00781112" w:rsidRDefault="002C5A1B" w:rsidP="00360DD6">
      <w:pPr>
        <w:ind w:left="360"/>
        <w:rPr>
          <w:rFonts w:cs="Arial"/>
          <w:szCs w:val="16"/>
        </w:rPr>
      </w:pPr>
      <w:r w:rsidRPr="00781112">
        <w:rPr>
          <w:rFonts w:cs="Arial"/>
          <w:color w:val="000000" w:themeColor="text1"/>
          <w:szCs w:val="16"/>
          <w:shd w:val="clear" w:color="auto" w:fill="FFFFFF"/>
        </w:rPr>
        <w:tab/>
      </w:r>
      <w:r w:rsidR="007E77D6" w:rsidRPr="00781112">
        <w:rPr>
          <w:rFonts w:cs="Arial"/>
          <w:color w:val="000000" w:themeColor="text1"/>
          <w:szCs w:val="16"/>
          <w:shd w:val="clear" w:color="auto" w:fill="FFFFFF"/>
        </w:rPr>
        <w:t xml:space="preserve">C. </w:t>
      </w:r>
      <w:r w:rsidRPr="00781112">
        <w:rPr>
          <w:rFonts w:cs="Arial"/>
          <w:szCs w:val="16"/>
        </w:rPr>
        <w:t xml:space="preserve">Percent = [(# of children ages 3, 4, and 5 with IEPs receiving special education and related services in the home) divided by the (total # of </w:t>
      </w:r>
      <w:r w:rsidRPr="00781112">
        <w:rPr>
          <w:rFonts w:cs="Arial"/>
          <w:szCs w:val="16"/>
        </w:rPr>
        <w:tab/>
        <w:t>children ages 3, 4, and 5 with IEPs)] times 100.</w:t>
      </w:r>
    </w:p>
    <w:p w14:paraId="2CAF467D" w14:textId="77777777" w:rsidR="005322B8" w:rsidRPr="00781112" w:rsidRDefault="005322B8" w:rsidP="004369B2">
      <w:pPr>
        <w:rPr>
          <w:color w:val="000000" w:themeColor="text1"/>
        </w:rPr>
      </w:pPr>
      <w:r w:rsidRPr="00781112">
        <w:rPr>
          <w:b/>
          <w:color w:val="000000" w:themeColor="text1"/>
        </w:rPr>
        <w:t>Instructions</w:t>
      </w:r>
    </w:p>
    <w:p w14:paraId="5B2FF157" w14:textId="6FABC6E7" w:rsidR="005322B8" w:rsidRPr="00781112" w:rsidRDefault="005322B8" w:rsidP="00BB7BC9">
      <w:pPr>
        <w:rPr>
          <w:rFonts w:cs="Arial"/>
          <w:i/>
          <w:iCs/>
          <w:color w:val="000000" w:themeColor="text1"/>
          <w:szCs w:val="16"/>
        </w:rPr>
      </w:pPr>
      <w:r w:rsidRPr="00781112">
        <w:rPr>
          <w:rFonts w:cs="Arial"/>
          <w:i/>
          <w:iCs/>
          <w:color w:val="000000" w:themeColor="text1"/>
          <w:szCs w:val="16"/>
        </w:rPr>
        <w:t>Sampling from the State’s 618 data is not allowed.</w:t>
      </w:r>
    </w:p>
    <w:p w14:paraId="4451A4DB" w14:textId="77777777" w:rsidR="00426EC6" w:rsidRPr="00781112" w:rsidRDefault="00426EC6" w:rsidP="00426EC6">
      <w:pPr>
        <w:rPr>
          <w:rFonts w:cs="Arial"/>
          <w:szCs w:val="16"/>
        </w:rPr>
      </w:pPr>
      <w:r w:rsidRPr="00781112">
        <w:rPr>
          <w:rFonts w:cs="Arial"/>
          <w:szCs w:val="16"/>
        </w:rPr>
        <w:t xml:space="preserve">States must report </w:t>
      </w:r>
      <w:proofErr w:type="gramStart"/>
      <w:r w:rsidRPr="00781112">
        <w:rPr>
          <w:rFonts w:cs="Arial"/>
          <w:szCs w:val="16"/>
        </w:rPr>
        <w:t>five</w:t>
      </w:r>
      <w:proofErr w:type="gramEnd"/>
      <w:r w:rsidRPr="00781112">
        <w:rPr>
          <w:rFonts w:cs="Arial"/>
          <w:szCs w:val="16"/>
        </w:rPr>
        <w:t>-year-old children with disabilities who are enrolled in preschool programs in this indicator. Five-year-old children with disabilities who are enrolled in kindergarten are included in Indicator 5.</w:t>
      </w:r>
    </w:p>
    <w:p w14:paraId="0B2E3F2D" w14:textId="77777777" w:rsidR="00426EC6" w:rsidRPr="00781112" w:rsidRDefault="00426EC6" w:rsidP="00426EC6">
      <w:pPr>
        <w:rPr>
          <w:rFonts w:cs="Arial"/>
          <w:szCs w:val="16"/>
        </w:rPr>
      </w:pPr>
      <w:r w:rsidRPr="00781112">
        <w:rPr>
          <w:rFonts w:cs="Arial"/>
          <w:szCs w:val="16"/>
        </w:rPr>
        <w:t>States may choose to set one target that is inclusive of children ages 3, 4, and 5, or set individual targets for each age.</w:t>
      </w:r>
    </w:p>
    <w:p w14:paraId="7F82A520" w14:textId="77777777" w:rsidR="00633044" w:rsidRPr="00781112" w:rsidRDefault="00633044" w:rsidP="00633044">
      <w:pPr>
        <w:rPr>
          <w:rFonts w:cs="Arial"/>
          <w:szCs w:val="16"/>
        </w:rPr>
      </w:pPr>
      <w:r w:rsidRPr="00781112">
        <w:rPr>
          <w:rFonts w:cs="Arial"/>
          <w:szCs w:val="16"/>
        </w:rPr>
        <w:t>For Indicator 6C: States are not required to establish a baseline or targets if the number of children receiving special education and related services in the home is less than 10, regardless of whether the State chooses to set one target that is inclusive of children ages 3, 4, and 5, or set individual targets for each age. In a reporting period during which the number of children receiving special education and related services in the home reaches 10 or greater, States are required to develop baseline and targets and report on them in the corresponding SPP/APR.</w:t>
      </w:r>
    </w:p>
    <w:p w14:paraId="676DC96C" w14:textId="77777777" w:rsidR="00085D61" w:rsidRDefault="00633044" w:rsidP="00BB7BC9">
      <w:pPr>
        <w:rPr>
          <w:rFonts w:cs="Arial"/>
          <w:iCs/>
          <w:szCs w:val="16"/>
        </w:rPr>
      </w:pPr>
      <w:r w:rsidRPr="00781112">
        <w:rPr>
          <w:rFonts w:cs="Arial"/>
          <w:szCs w:val="16"/>
        </w:rPr>
        <w:t xml:space="preserve">For Indicator 6C: </w:t>
      </w:r>
      <w:r w:rsidRPr="00781112">
        <w:rPr>
          <w:rFonts w:cs="Arial"/>
          <w:iCs/>
          <w:szCs w:val="16"/>
        </w:rPr>
        <w:t>States may express their targets in a range (</w:t>
      </w:r>
      <w:r w:rsidRPr="00781112">
        <w:rPr>
          <w:rFonts w:cs="Arial"/>
          <w:i/>
          <w:iCs/>
          <w:szCs w:val="16"/>
        </w:rPr>
        <w:t>e.g.</w:t>
      </w:r>
      <w:r w:rsidRPr="00781112">
        <w:rPr>
          <w:rFonts w:cs="Arial"/>
          <w:iCs/>
          <w:szCs w:val="16"/>
        </w:rPr>
        <w:t>, 75-85%).</w:t>
      </w:r>
    </w:p>
    <w:p w14:paraId="594A7ED4" w14:textId="4CE4250A" w:rsidR="005322B8" w:rsidRPr="00781112" w:rsidRDefault="005322B8" w:rsidP="00BB7BC9">
      <w:pPr>
        <w:rPr>
          <w:rFonts w:cs="Arial"/>
          <w:color w:val="000000" w:themeColor="text1"/>
          <w:szCs w:val="16"/>
        </w:rPr>
      </w:pPr>
      <w:r w:rsidRPr="00781112">
        <w:rPr>
          <w:rFonts w:cs="Arial"/>
          <w:color w:val="000000" w:themeColor="text1"/>
          <w:szCs w:val="16"/>
        </w:rPr>
        <w:t>Describe the results of the calculations and compare the results to the target.</w:t>
      </w:r>
    </w:p>
    <w:p w14:paraId="19F07E42" w14:textId="35DC1378" w:rsidR="005322B8" w:rsidRPr="00781112" w:rsidRDefault="005322B8" w:rsidP="00BB7BC9">
      <w:pPr>
        <w:rPr>
          <w:rFonts w:cs="Arial"/>
          <w:color w:val="000000" w:themeColor="text1"/>
          <w:szCs w:val="16"/>
        </w:rPr>
      </w:pPr>
      <w:r w:rsidRPr="00781112">
        <w:rPr>
          <w:rFonts w:cs="Arial"/>
          <w:color w:val="000000" w:themeColor="text1"/>
          <w:szCs w:val="16"/>
        </w:rPr>
        <w:t>If the data reported in this indicator are not the same as the State’s data reported under IDEA section 618, explain.</w:t>
      </w:r>
    </w:p>
    <w:bookmarkEnd w:id="37"/>
    <w:p w14:paraId="1489816D" w14:textId="2F10D57A" w:rsidR="008D3484" w:rsidRPr="00781112" w:rsidRDefault="00C96236" w:rsidP="008645AD">
      <w:pPr>
        <w:pStyle w:val="Heading2"/>
      </w:pPr>
      <w:r w:rsidRPr="00781112">
        <w:t>6</w:t>
      </w:r>
      <w:r w:rsidR="00C91B94" w:rsidRPr="00781112">
        <w:t xml:space="preserve"> </w:t>
      </w:r>
      <w:r w:rsidRPr="00781112">
        <w:t xml:space="preserve">- </w:t>
      </w:r>
      <w:r w:rsidR="008D3484" w:rsidRPr="00781112">
        <w:t>Indicator Data</w:t>
      </w:r>
    </w:p>
    <w:p w14:paraId="625E607A" w14:textId="77777777" w:rsidR="0091098C" w:rsidRPr="00781112" w:rsidRDefault="0091098C" w:rsidP="004369B2">
      <w:pPr>
        <w:rPr>
          <w:color w:val="000000" w:themeColor="text1"/>
        </w:rPr>
      </w:pPr>
      <w:r w:rsidRPr="00781112">
        <w:rPr>
          <w:b/>
          <w:color w:val="000000" w:themeColor="text1"/>
        </w:rPr>
        <w:t>Not Applicable</w:t>
      </w:r>
    </w:p>
    <w:p w14:paraId="5333465D" w14:textId="3F1EC485" w:rsidR="004B75EC" w:rsidRPr="00781112" w:rsidRDefault="003229FA">
      <w:pPr>
        <w:rPr>
          <w:b/>
          <w:color w:val="000000" w:themeColor="text1"/>
        </w:rPr>
      </w:pPr>
      <w:r w:rsidRPr="00781112">
        <w:rPr>
          <w:b/>
          <w:color w:val="000000" w:themeColor="text1"/>
        </w:rPr>
        <w:t xml:space="preserve">Select yes if this indicator is not applicable. </w:t>
      </w:r>
    </w:p>
    <w:p w14:paraId="2FEE6491" w14:textId="58E763AD" w:rsidR="00043AC9" w:rsidRPr="00781112" w:rsidRDefault="00043AC9" w:rsidP="004369B2">
      <w:pPr>
        <w:rPr>
          <w:rFonts w:cs="Arial"/>
          <w:color w:val="000000" w:themeColor="text1"/>
          <w:szCs w:val="16"/>
        </w:rPr>
      </w:pPr>
      <w:r w:rsidRPr="00781112">
        <w:rPr>
          <w:rFonts w:cs="Arial"/>
          <w:color w:val="000000" w:themeColor="text1"/>
          <w:szCs w:val="16"/>
        </w:rPr>
        <w:t>NO</w:t>
      </w:r>
    </w:p>
    <w:p w14:paraId="1E57959E" w14:textId="77777777" w:rsidR="00AE3B11" w:rsidRPr="00781112" w:rsidRDefault="00AE3B11" w:rsidP="002441FF">
      <w:pPr>
        <w:rPr>
          <w:color w:val="000000" w:themeColor="text1"/>
        </w:rPr>
      </w:pPr>
    </w:p>
    <w:p w14:paraId="2DFC3658" w14:textId="63E75FBF" w:rsidR="006309D0" w:rsidRPr="00781112" w:rsidRDefault="006309D0" w:rsidP="006309D0">
      <w:pPr>
        <w:rPr>
          <w:b/>
          <w:color w:val="000000" w:themeColor="text1"/>
        </w:rPr>
      </w:pPr>
      <w:r w:rsidRPr="00781112">
        <w:rPr>
          <w:b/>
          <w:color w:val="000000" w:themeColor="text1"/>
        </w:rPr>
        <w:t>Historical Data (Inclusive) – 6A, 6B, 6C</w:t>
      </w:r>
    </w:p>
    <w:tbl>
      <w:tblPr>
        <w:tblW w:w="452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B06HISTDATA"/>
      </w:tblPr>
      <w:tblGrid>
        <w:gridCol w:w="625"/>
        <w:gridCol w:w="1036"/>
        <w:gridCol w:w="1618"/>
        <w:gridCol w:w="1619"/>
        <w:gridCol w:w="1618"/>
        <w:gridCol w:w="1619"/>
        <w:gridCol w:w="1619"/>
      </w:tblGrid>
      <w:tr w:rsidR="001F2C34" w:rsidRPr="00781112" w14:paraId="10B8D4E0" w14:textId="65C4ABC5" w:rsidTr="005F5FE9">
        <w:trPr>
          <w:trHeight w:val="485"/>
        </w:trPr>
        <w:tc>
          <w:tcPr>
            <w:tcW w:w="625" w:type="dxa"/>
            <w:tcBorders>
              <w:top w:val="single" w:sz="4" w:space="0" w:color="auto"/>
              <w:left w:val="single" w:sz="4" w:space="0" w:color="auto"/>
              <w:bottom w:val="single" w:sz="4" w:space="0" w:color="auto"/>
              <w:right w:val="single" w:sz="4" w:space="0" w:color="auto"/>
            </w:tcBorders>
            <w:shd w:val="clear" w:color="auto" w:fill="auto"/>
          </w:tcPr>
          <w:p w14:paraId="2D5DFCFC" w14:textId="199152DC" w:rsidR="001F2C34" w:rsidRPr="00781112" w:rsidRDefault="001F2C34" w:rsidP="0011074D">
            <w:pPr>
              <w:spacing w:line="276" w:lineRule="auto"/>
              <w:jc w:val="center"/>
              <w:rPr>
                <w:rFonts w:cs="Arial"/>
                <w:b/>
                <w:color w:val="000000" w:themeColor="text1"/>
                <w:szCs w:val="16"/>
              </w:rPr>
            </w:pPr>
            <w:r w:rsidRPr="00781112">
              <w:rPr>
                <w:rFonts w:cs="Arial"/>
                <w:b/>
                <w:color w:val="000000" w:themeColor="text1"/>
                <w:szCs w:val="16"/>
              </w:rPr>
              <w:t>Part</w:t>
            </w:r>
          </w:p>
        </w:tc>
        <w:tc>
          <w:tcPr>
            <w:tcW w:w="1036" w:type="dxa"/>
            <w:tcBorders>
              <w:top w:val="single" w:sz="4" w:space="0" w:color="auto"/>
              <w:left w:val="single" w:sz="4" w:space="0" w:color="auto"/>
              <w:bottom w:val="single" w:sz="4" w:space="0" w:color="auto"/>
              <w:right w:val="single" w:sz="4" w:space="0" w:color="auto"/>
            </w:tcBorders>
            <w:shd w:val="clear" w:color="auto" w:fill="auto"/>
          </w:tcPr>
          <w:p w14:paraId="0195DB54" w14:textId="77777777" w:rsidR="001F2C34" w:rsidRPr="00781112" w:rsidRDefault="001F2C34" w:rsidP="0011074D">
            <w:pPr>
              <w:spacing w:line="276" w:lineRule="auto"/>
              <w:jc w:val="center"/>
              <w:rPr>
                <w:rFonts w:cs="Arial"/>
                <w:b/>
                <w:color w:val="000000" w:themeColor="text1"/>
                <w:szCs w:val="16"/>
              </w:rPr>
            </w:pPr>
            <w:r w:rsidRPr="00781112">
              <w:rPr>
                <w:rFonts w:cs="Arial"/>
                <w:b/>
                <w:color w:val="000000" w:themeColor="text1"/>
                <w:szCs w:val="16"/>
              </w:rPr>
              <w:t>FFY</w:t>
            </w:r>
          </w:p>
        </w:tc>
        <w:tc>
          <w:tcPr>
            <w:tcW w:w="1618" w:type="dxa"/>
            <w:tcBorders>
              <w:top w:val="single" w:sz="4" w:space="0" w:color="auto"/>
              <w:left w:val="single" w:sz="4" w:space="0" w:color="auto"/>
              <w:bottom w:val="single" w:sz="4" w:space="0" w:color="auto"/>
              <w:right w:val="single" w:sz="4" w:space="0" w:color="auto"/>
            </w:tcBorders>
            <w:shd w:val="clear" w:color="auto" w:fill="auto"/>
            <w:hideMark/>
          </w:tcPr>
          <w:p w14:paraId="6D0BD013" w14:textId="2E725702" w:rsidR="001F2C34" w:rsidRPr="00781112" w:rsidRDefault="001F2C34" w:rsidP="0011074D">
            <w:pPr>
              <w:spacing w:line="276" w:lineRule="auto"/>
              <w:jc w:val="center"/>
              <w:rPr>
                <w:rFonts w:cs="Arial"/>
                <w:b/>
                <w:color w:val="000000" w:themeColor="text1"/>
                <w:szCs w:val="16"/>
              </w:rPr>
            </w:pPr>
            <w:r w:rsidRPr="00781112">
              <w:rPr>
                <w:rFonts w:cs="Arial"/>
                <w:b/>
                <w:color w:val="000000" w:themeColor="text1"/>
                <w:szCs w:val="16"/>
              </w:rPr>
              <w:t>2017</w:t>
            </w:r>
          </w:p>
        </w:tc>
        <w:tc>
          <w:tcPr>
            <w:tcW w:w="1619" w:type="dxa"/>
            <w:tcBorders>
              <w:top w:val="single" w:sz="4" w:space="0" w:color="auto"/>
              <w:left w:val="single" w:sz="4" w:space="0" w:color="auto"/>
              <w:bottom w:val="single" w:sz="4" w:space="0" w:color="auto"/>
              <w:right w:val="single" w:sz="4" w:space="0" w:color="auto"/>
            </w:tcBorders>
            <w:shd w:val="clear" w:color="auto" w:fill="auto"/>
            <w:hideMark/>
          </w:tcPr>
          <w:p w14:paraId="793A4955" w14:textId="7857A3E8" w:rsidR="001F2C34" w:rsidRPr="00781112" w:rsidRDefault="001F2C34" w:rsidP="0011074D">
            <w:pPr>
              <w:spacing w:line="276" w:lineRule="auto"/>
              <w:jc w:val="center"/>
              <w:rPr>
                <w:rFonts w:cs="Arial"/>
                <w:b/>
                <w:color w:val="000000" w:themeColor="text1"/>
                <w:szCs w:val="16"/>
              </w:rPr>
            </w:pPr>
            <w:r w:rsidRPr="00781112">
              <w:rPr>
                <w:rFonts w:cs="Arial"/>
                <w:b/>
                <w:color w:val="000000" w:themeColor="text1"/>
                <w:szCs w:val="16"/>
              </w:rPr>
              <w:t>2018</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4C1C44EE" w14:textId="0FBA6B8E" w:rsidR="001F2C34" w:rsidRPr="00781112" w:rsidRDefault="001F2C34" w:rsidP="0011074D">
            <w:pPr>
              <w:spacing w:line="276" w:lineRule="auto"/>
              <w:jc w:val="center"/>
              <w:rPr>
                <w:rFonts w:cs="Arial"/>
                <w:b/>
                <w:color w:val="000000" w:themeColor="text1"/>
                <w:szCs w:val="16"/>
              </w:rPr>
            </w:pPr>
            <w:r w:rsidRPr="00781112">
              <w:rPr>
                <w:rFonts w:cs="Arial"/>
                <w:b/>
                <w:color w:val="000000" w:themeColor="text1"/>
                <w:szCs w:val="16"/>
              </w:rPr>
              <w:t>2019</w:t>
            </w:r>
          </w:p>
        </w:tc>
        <w:tc>
          <w:tcPr>
            <w:tcW w:w="1619" w:type="dxa"/>
            <w:tcBorders>
              <w:top w:val="single" w:sz="4" w:space="0" w:color="auto"/>
              <w:left w:val="single" w:sz="4" w:space="0" w:color="auto"/>
              <w:bottom w:val="single" w:sz="4" w:space="0" w:color="auto"/>
              <w:right w:val="single" w:sz="4" w:space="0" w:color="auto"/>
            </w:tcBorders>
            <w:shd w:val="clear" w:color="auto" w:fill="auto"/>
            <w:hideMark/>
          </w:tcPr>
          <w:p w14:paraId="738D2C75" w14:textId="09B12609" w:rsidR="001F2C34" w:rsidRPr="00781112" w:rsidRDefault="001F2C34" w:rsidP="0011074D">
            <w:pPr>
              <w:spacing w:line="276" w:lineRule="auto"/>
              <w:jc w:val="center"/>
              <w:rPr>
                <w:rFonts w:cs="Arial"/>
                <w:b/>
                <w:color w:val="000000" w:themeColor="text1"/>
                <w:szCs w:val="16"/>
              </w:rPr>
            </w:pPr>
            <w:r w:rsidRPr="00781112">
              <w:rPr>
                <w:rFonts w:cs="Arial"/>
                <w:b/>
                <w:color w:val="000000" w:themeColor="text1"/>
                <w:szCs w:val="16"/>
              </w:rPr>
              <w:t>2020</w:t>
            </w:r>
          </w:p>
        </w:tc>
        <w:tc>
          <w:tcPr>
            <w:tcW w:w="1619" w:type="dxa"/>
            <w:tcBorders>
              <w:top w:val="single" w:sz="4" w:space="0" w:color="auto"/>
              <w:left w:val="single" w:sz="4" w:space="0" w:color="auto"/>
              <w:bottom w:val="single" w:sz="4" w:space="0" w:color="auto"/>
              <w:right w:val="single" w:sz="4" w:space="0" w:color="auto"/>
            </w:tcBorders>
            <w:shd w:val="clear" w:color="auto" w:fill="auto"/>
            <w:hideMark/>
          </w:tcPr>
          <w:p w14:paraId="09EF8815" w14:textId="0E900FD9" w:rsidR="001F2C34" w:rsidRPr="00781112" w:rsidRDefault="001F2C34" w:rsidP="0011074D">
            <w:pPr>
              <w:spacing w:line="276" w:lineRule="auto"/>
              <w:jc w:val="center"/>
              <w:rPr>
                <w:rFonts w:cs="Arial"/>
                <w:b/>
                <w:color w:val="000000" w:themeColor="text1"/>
                <w:szCs w:val="16"/>
              </w:rPr>
            </w:pPr>
            <w:r w:rsidRPr="00781112">
              <w:rPr>
                <w:rFonts w:cs="Arial"/>
                <w:b/>
                <w:color w:val="000000" w:themeColor="text1"/>
                <w:szCs w:val="16"/>
              </w:rPr>
              <w:t>2021</w:t>
            </w:r>
          </w:p>
        </w:tc>
      </w:tr>
      <w:tr w:rsidR="001F2C34" w:rsidRPr="00781112" w14:paraId="12643853" w14:textId="714409A9" w:rsidTr="005F5FE9">
        <w:trPr>
          <w:trHeight w:val="357"/>
        </w:trPr>
        <w:tc>
          <w:tcPr>
            <w:tcW w:w="625" w:type="dxa"/>
            <w:tcBorders>
              <w:top w:val="single" w:sz="4" w:space="0" w:color="auto"/>
              <w:left w:val="single" w:sz="4" w:space="0" w:color="auto"/>
              <w:right w:val="single" w:sz="4" w:space="0" w:color="auto"/>
            </w:tcBorders>
            <w:shd w:val="clear" w:color="auto" w:fill="auto"/>
            <w:vAlign w:val="center"/>
          </w:tcPr>
          <w:p w14:paraId="1DCB50CC" w14:textId="77777777" w:rsidR="001F2C34" w:rsidRPr="00781112" w:rsidRDefault="001F2C34">
            <w:pPr>
              <w:spacing w:line="276" w:lineRule="auto"/>
              <w:jc w:val="center"/>
              <w:rPr>
                <w:rFonts w:cs="Arial"/>
                <w:b/>
                <w:bCs/>
                <w:color w:val="000000" w:themeColor="text1"/>
                <w:szCs w:val="16"/>
              </w:rPr>
            </w:pPr>
            <w:r w:rsidRPr="00781112">
              <w:rPr>
                <w:rFonts w:cs="Arial"/>
                <w:b/>
                <w:bCs/>
                <w:color w:val="000000" w:themeColor="text1"/>
                <w:szCs w:val="16"/>
              </w:rPr>
              <w:t>A</w:t>
            </w:r>
          </w:p>
        </w:tc>
        <w:tc>
          <w:tcPr>
            <w:tcW w:w="10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078A73" w14:textId="4E273194" w:rsidR="001F2C34" w:rsidRPr="00781112" w:rsidRDefault="001F2C34" w:rsidP="00BA3DBE">
            <w:pPr>
              <w:spacing w:line="276" w:lineRule="auto"/>
              <w:jc w:val="center"/>
              <w:rPr>
                <w:rFonts w:cs="Arial"/>
                <w:color w:val="000000" w:themeColor="text1"/>
                <w:szCs w:val="16"/>
              </w:rPr>
            </w:pPr>
            <w:r w:rsidRPr="00781112">
              <w:rPr>
                <w:rFonts w:cs="Arial"/>
                <w:color w:val="000000" w:themeColor="text1"/>
                <w:szCs w:val="16"/>
              </w:rPr>
              <w:t>Target &gt;=</w:t>
            </w:r>
          </w:p>
        </w:tc>
        <w:tc>
          <w:tcPr>
            <w:tcW w:w="1618" w:type="dxa"/>
            <w:tcBorders>
              <w:top w:val="single" w:sz="4" w:space="0" w:color="auto"/>
              <w:left w:val="single" w:sz="4" w:space="0" w:color="auto"/>
              <w:bottom w:val="single" w:sz="4" w:space="0" w:color="auto"/>
              <w:right w:val="single" w:sz="4" w:space="0" w:color="auto"/>
            </w:tcBorders>
            <w:shd w:val="clear" w:color="auto" w:fill="auto"/>
            <w:vAlign w:val="center"/>
          </w:tcPr>
          <w:p w14:paraId="5D572D5A" w14:textId="187A2156" w:rsidR="001F2C34" w:rsidRPr="00781112" w:rsidRDefault="001F2C34" w:rsidP="00A018D4">
            <w:pPr>
              <w:jc w:val="center"/>
              <w:rPr>
                <w:rFonts w:cs="Arial"/>
                <w:color w:val="000000" w:themeColor="text1"/>
                <w:szCs w:val="16"/>
              </w:rPr>
            </w:pPr>
            <w:r w:rsidRPr="00781112">
              <w:rPr>
                <w:rFonts w:cs="Arial"/>
                <w:color w:val="000000" w:themeColor="text1"/>
                <w:szCs w:val="16"/>
              </w:rPr>
              <w:t>86.00%</w:t>
            </w: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14:paraId="7473ABC9" w14:textId="69DF669C" w:rsidR="001F2C34" w:rsidRPr="00781112" w:rsidRDefault="001F2C34" w:rsidP="00A018D4">
            <w:pPr>
              <w:jc w:val="center"/>
              <w:rPr>
                <w:rFonts w:cs="Arial"/>
                <w:color w:val="000000" w:themeColor="text1"/>
                <w:szCs w:val="16"/>
              </w:rPr>
            </w:pPr>
            <w:r w:rsidRPr="00781112">
              <w:rPr>
                <w:rFonts w:cs="Arial"/>
                <w:color w:val="000000" w:themeColor="text1"/>
                <w:szCs w:val="16"/>
              </w:rPr>
              <w:t>86.25%</w:t>
            </w:r>
          </w:p>
        </w:tc>
        <w:tc>
          <w:tcPr>
            <w:tcW w:w="1618" w:type="dxa"/>
            <w:tcBorders>
              <w:top w:val="single" w:sz="4" w:space="0" w:color="auto"/>
              <w:left w:val="single" w:sz="4" w:space="0" w:color="auto"/>
              <w:bottom w:val="single" w:sz="4" w:space="0" w:color="auto"/>
              <w:right w:val="single" w:sz="4" w:space="0" w:color="auto"/>
            </w:tcBorders>
            <w:shd w:val="clear" w:color="auto" w:fill="auto"/>
            <w:vAlign w:val="center"/>
          </w:tcPr>
          <w:p w14:paraId="149232E9" w14:textId="6EBFCFBD" w:rsidR="001F2C34" w:rsidRPr="00781112" w:rsidRDefault="001F2C34" w:rsidP="00A018D4">
            <w:pPr>
              <w:jc w:val="center"/>
              <w:rPr>
                <w:rFonts w:cs="Arial"/>
                <w:color w:val="000000" w:themeColor="text1"/>
                <w:szCs w:val="16"/>
              </w:rPr>
            </w:pPr>
            <w:r w:rsidRPr="00781112">
              <w:rPr>
                <w:rFonts w:cs="Arial"/>
                <w:color w:val="000000" w:themeColor="text1"/>
                <w:szCs w:val="16"/>
              </w:rPr>
              <w:t>86.80%</w:t>
            </w: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14:paraId="47B7D5E8" w14:textId="6AF11356" w:rsidR="001F2C34" w:rsidRPr="00781112" w:rsidRDefault="001F2C34" w:rsidP="00A018D4">
            <w:pPr>
              <w:jc w:val="center"/>
              <w:rPr>
                <w:rFonts w:cs="Arial"/>
                <w:color w:val="000000" w:themeColor="text1"/>
                <w:szCs w:val="16"/>
              </w:rPr>
            </w:pPr>
            <w:r w:rsidRPr="00781112">
              <w:rPr>
                <w:rFonts w:cs="Arial"/>
                <w:color w:val="000000" w:themeColor="text1"/>
                <w:szCs w:val="16"/>
              </w:rPr>
              <w:t>91.92%</w:t>
            </w: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14:paraId="72960723" w14:textId="6EE6EB41" w:rsidR="001F2C34" w:rsidRPr="00781112" w:rsidRDefault="001F2C34" w:rsidP="00A018D4">
            <w:pPr>
              <w:jc w:val="center"/>
              <w:rPr>
                <w:rFonts w:cs="Arial"/>
                <w:color w:val="000000" w:themeColor="text1"/>
                <w:szCs w:val="16"/>
              </w:rPr>
            </w:pPr>
            <w:r w:rsidRPr="00781112">
              <w:rPr>
                <w:rFonts w:cs="Arial"/>
                <w:color w:val="000000" w:themeColor="text1"/>
                <w:szCs w:val="16"/>
              </w:rPr>
              <w:t>91.92%</w:t>
            </w:r>
          </w:p>
        </w:tc>
      </w:tr>
      <w:tr w:rsidR="001F2C34" w:rsidRPr="00781112" w14:paraId="24AB409F" w14:textId="3963C8DA" w:rsidTr="005F5FE9">
        <w:trPr>
          <w:trHeight w:val="85"/>
        </w:trPr>
        <w:tc>
          <w:tcPr>
            <w:tcW w:w="625" w:type="dxa"/>
            <w:tcBorders>
              <w:left w:val="single" w:sz="4" w:space="0" w:color="auto"/>
              <w:right w:val="single" w:sz="4" w:space="0" w:color="auto"/>
            </w:tcBorders>
            <w:shd w:val="clear" w:color="auto" w:fill="auto"/>
            <w:vAlign w:val="center"/>
          </w:tcPr>
          <w:p w14:paraId="29D181B3" w14:textId="5F8E2E42" w:rsidR="001F2C34" w:rsidRPr="00781112" w:rsidRDefault="001F2C34" w:rsidP="004369B2">
            <w:pPr>
              <w:spacing w:line="276" w:lineRule="auto"/>
              <w:jc w:val="center"/>
              <w:rPr>
                <w:rFonts w:cs="Arial"/>
                <w:b/>
                <w:bCs/>
                <w:color w:val="000000" w:themeColor="text1"/>
                <w:szCs w:val="16"/>
              </w:rPr>
            </w:pPr>
            <w:r w:rsidRPr="00781112">
              <w:rPr>
                <w:rFonts w:cs="Arial"/>
                <w:b/>
                <w:bCs/>
                <w:color w:val="000000" w:themeColor="text1"/>
                <w:szCs w:val="16"/>
              </w:rPr>
              <w:t>A</w:t>
            </w:r>
          </w:p>
        </w:tc>
        <w:tc>
          <w:tcPr>
            <w:tcW w:w="10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FAFC6E" w14:textId="77777777" w:rsidR="001F2C34" w:rsidRPr="00781112" w:rsidRDefault="001F2C34" w:rsidP="00BA3DBE">
            <w:pPr>
              <w:spacing w:line="276" w:lineRule="auto"/>
              <w:jc w:val="center"/>
              <w:rPr>
                <w:rFonts w:cs="Arial"/>
                <w:color w:val="000000" w:themeColor="text1"/>
                <w:szCs w:val="16"/>
              </w:rPr>
            </w:pPr>
            <w:r w:rsidRPr="00781112">
              <w:rPr>
                <w:rFonts w:cs="Arial"/>
                <w:color w:val="000000" w:themeColor="text1"/>
                <w:szCs w:val="16"/>
              </w:rPr>
              <w:t>Data</w:t>
            </w:r>
          </w:p>
        </w:tc>
        <w:tc>
          <w:tcPr>
            <w:tcW w:w="1618" w:type="dxa"/>
            <w:tcBorders>
              <w:top w:val="single" w:sz="4" w:space="0" w:color="auto"/>
              <w:left w:val="single" w:sz="4" w:space="0" w:color="auto"/>
              <w:bottom w:val="single" w:sz="4" w:space="0" w:color="auto"/>
              <w:right w:val="single" w:sz="4" w:space="0" w:color="auto"/>
            </w:tcBorders>
            <w:shd w:val="clear" w:color="auto" w:fill="auto"/>
            <w:vAlign w:val="center"/>
          </w:tcPr>
          <w:p w14:paraId="4CB2CE2B" w14:textId="24BBB7A6" w:rsidR="001F2C34" w:rsidRPr="00781112" w:rsidRDefault="001F2C34" w:rsidP="00A018D4">
            <w:pPr>
              <w:jc w:val="center"/>
              <w:rPr>
                <w:rFonts w:cs="Arial"/>
                <w:color w:val="000000" w:themeColor="text1"/>
                <w:szCs w:val="16"/>
              </w:rPr>
            </w:pPr>
            <w:r w:rsidRPr="00781112">
              <w:rPr>
                <w:rFonts w:cs="Arial"/>
                <w:color w:val="000000" w:themeColor="text1"/>
                <w:szCs w:val="16"/>
              </w:rPr>
              <w:t>87.36%</w:t>
            </w: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14:paraId="029C2908" w14:textId="5081117A" w:rsidR="001F2C34" w:rsidRPr="00781112" w:rsidRDefault="001F2C34" w:rsidP="00A018D4">
            <w:pPr>
              <w:jc w:val="center"/>
              <w:rPr>
                <w:rFonts w:cs="Arial"/>
                <w:color w:val="000000" w:themeColor="text1"/>
                <w:szCs w:val="16"/>
              </w:rPr>
            </w:pPr>
            <w:r w:rsidRPr="00781112">
              <w:rPr>
                <w:rFonts w:cs="Arial"/>
                <w:color w:val="000000" w:themeColor="text1"/>
                <w:szCs w:val="16"/>
              </w:rPr>
              <w:t>86.79%</w:t>
            </w:r>
          </w:p>
        </w:tc>
        <w:tc>
          <w:tcPr>
            <w:tcW w:w="1618" w:type="dxa"/>
            <w:tcBorders>
              <w:top w:val="single" w:sz="4" w:space="0" w:color="auto"/>
              <w:left w:val="single" w:sz="4" w:space="0" w:color="auto"/>
              <w:bottom w:val="single" w:sz="4" w:space="0" w:color="auto"/>
              <w:right w:val="single" w:sz="4" w:space="0" w:color="auto"/>
            </w:tcBorders>
            <w:shd w:val="clear" w:color="auto" w:fill="auto"/>
            <w:vAlign w:val="center"/>
          </w:tcPr>
          <w:p w14:paraId="3BDED07A" w14:textId="02885BAD" w:rsidR="001F2C34" w:rsidRPr="00781112" w:rsidRDefault="001F2C34" w:rsidP="00A018D4">
            <w:pPr>
              <w:jc w:val="center"/>
              <w:rPr>
                <w:rFonts w:cs="Arial"/>
                <w:color w:val="000000" w:themeColor="text1"/>
                <w:szCs w:val="16"/>
              </w:rPr>
            </w:pPr>
            <w:r w:rsidRPr="00781112">
              <w:rPr>
                <w:rFonts w:cs="Arial"/>
                <w:color w:val="000000" w:themeColor="text1"/>
                <w:szCs w:val="16"/>
              </w:rPr>
              <w:t>87.41%</w:t>
            </w: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14:paraId="6DF0B77B" w14:textId="4431B3F8" w:rsidR="001F2C34" w:rsidRPr="00781112" w:rsidRDefault="001F2C34" w:rsidP="00A018D4">
            <w:pPr>
              <w:jc w:val="center"/>
              <w:rPr>
                <w:rFonts w:cs="Arial"/>
                <w:color w:val="000000" w:themeColor="text1"/>
                <w:szCs w:val="16"/>
              </w:rPr>
            </w:pPr>
            <w:r w:rsidRPr="00781112">
              <w:rPr>
                <w:rFonts w:cs="Arial"/>
                <w:color w:val="000000" w:themeColor="text1"/>
                <w:szCs w:val="16"/>
              </w:rPr>
              <w:t>91.92%</w:t>
            </w: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14:paraId="46BBCE63" w14:textId="41D20CCF" w:rsidR="001F2C34" w:rsidRPr="00781112" w:rsidRDefault="001F2C34" w:rsidP="00A018D4">
            <w:pPr>
              <w:jc w:val="center"/>
              <w:rPr>
                <w:rFonts w:cs="Arial"/>
                <w:color w:val="000000" w:themeColor="text1"/>
                <w:szCs w:val="16"/>
              </w:rPr>
            </w:pPr>
            <w:r w:rsidRPr="00781112">
              <w:rPr>
                <w:rFonts w:cs="Arial"/>
                <w:color w:val="000000" w:themeColor="text1"/>
                <w:szCs w:val="16"/>
              </w:rPr>
              <w:t>92.00%</w:t>
            </w:r>
          </w:p>
        </w:tc>
      </w:tr>
      <w:tr w:rsidR="001F2C34" w:rsidRPr="00781112" w14:paraId="734556E7" w14:textId="7880148D" w:rsidTr="005F5FE9">
        <w:trPr>
          <w:trHeight w:val="357"/>
        </w:trPr>
        <w:tc>
          <w:tcPr>
            <w:tcW w:w="625" w:type="dxa"/>
            <w:tcBorders>
              <w:top w:val="single" w:sz="4" w:space="0" w:color="auto"/>
              <w:left w:val="single" w:sz="4" w:space="0" w:color="auto"/>
              <w:right w:val="single" w:sz="4" w:space="0" w:color="auto"/>
            </w:tcBorders>
            <w:shd w:val="clear" w:color="auto" w:fill="auto"/>
            <w:vAlign w:val="center"/>
          </w:tcPr>
          <w:p w14:paraId="58DAD373" w14:textId="77777777" w:rsidR="001F2C34" w:rsidRPr="00781112" w:rsidRDefault="001F2C34">
            <w:pPr>
              <w:spacing w:line="276" w:lineRule="auto"/>
              <w:jc w:val="center"/>
              <w:rPr>
                <w:rFonts w:cs="Arial"/>
                <w:b/>
                <w:bCs/>
                <w:color w:val="000000" w:themeColor="text1"/>
                <w:szCs w:val="16"/>
              </w:rPr>
            </w:pPr>
            <w:r w:rsidRPr="00781112">
              <w:rPr>
                <w:rFonts w:cs="Arial"/>
                <w:b/>
                <w:bCs/>
                <w:color w:val="000000" w:themeColor="text1"/>
                <w:szCs w:val="16"/>
              </w:rPr>
              <w:t>B</w:t>
            </w:r>
          </w:p>
        </w:tc>
        <w:tc>
          <w:tcPr>
            <w:tcW w:w="10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0B70F3" w14:textId="4BE0D72F" w:rsidR="001F2C34" w:rsidRPr="00781112" w:rsidRDefault="001F2C34" w:rsidP="00BA3DBE">
            <w:pPr>
              <w:spacing w:line="276" w:lineRule="auto"/>
              <w:jc w:val="center"/>
              <w:rPr>
                <w:rFonts w:cs="Arial"/>
                <w:color w:val="000000" w:themeColor="text1"/>
                <w:szCs w:val="16"/>
              </w:rPr>
            </w:pPr>
            <w:r w:rsidRPr="00781112">
              <w:rPr>
                <w:rFonts w:cs="Arial"/>
                <w:color w:val="000000" w:themeColor="text1"/>
                <w:szCs w:val="16"/>
              </w:rPr>
              <w:t>Target &lt;=</w:t>
            </w:r>
          </w:p>
        </w:tc>
        <w:tc>
          <w:tcPr>
            <w:tcW w:w="1618" w:type="dxa"/>
            <w:tcBorders>
              <w:top w:val="single" w:sz="4" w:space="0" w:color="auto"/>
              <w:left w:val="single" w:sz="4" w:space="0" w:color="auto"/>
              <w:bottom w:val="single" w:sz="4" w:space="0" w:color="auto"/>
              <w:right w:val="single" w:sz="4" w:space="0" w:color="auto"/>
            </w:tcBorders>
            <w:shd w:val="clear" w:color="auto" w:fill="auto"/>
            <w:vAlign w:val="center"/>
          </w:tcPr>
          <w:p w14:paraId="2AF8D8D8" w14:textId="73E1A0AF" w:rsidR="001F2C34" w:rsidRPr="00781112" w:rsidRDefault="001F2C34" w:rsidP="00A018D4">
            <w:pPr>
              <w:jc w:val="center"/>
              <w:rPr>
                <w:rFonts w:cs="Arial"/>
                <w:color w:val="000000" w:themeColor="text1"/>
                <w:szCs w:val="16"/>
              </w:rPr>
            </w:pPr>
            <w:r w:rsidRPr="00781112">
              <w:rPr>
                <w:rFonts w:cs="Arial"/>
                <w:color w:val="000000" w:themeColor="text1"/>
                <w:szCs w:val="16"/>
              </w:rPr>
              <w:t>6.20%</w:t>
            </w: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14:paraId="27A3A3A6" w14:textId="38FA47E9" w:rsidR="001F2C34" w:rsidRPr="00781112" w:rsidRDefault="001F2C34" w:rsidP="00A018D4">
            <w:pPr>
              <w:jc w:val="center"/>
              <w:rPr>
                <w:rFonts w:cs="Arial"/>
                <w:color w:val="000000" w:themeColor="text1"/>
                <w:szCs w:val="16"/>
              </w:rPr>
            </w:pPr>
            <w:r w:rsidRPr="00781112">
              <w:rPr>
                <w:rFonts w:cs="Arial"/>
                <w:color w:val="000000" w:themeColor="text1"/>
                <w:szCs w:val="16"/>
              </w:rPr>
              <w:t>6.10%</w:t>
            </w:r>
          </w:p>
        </w:tc>
        <w:tc>
          <w:tcPr>
            <w:tcW w:w="1618" w:type="dxa"/>
            <w:tcBorders>
              <w:top w:val="single" w:sz="4" w:space="0" w:color="auto"/>
              <w:left w:val="single" w:sz="4" w:space="0" w:color="auto"/>
              <w:bottom w:val="single" w:sz="4" w:space="0" w:color="auto"/>
              <w:right w:val="single" w:sz="4" w:space="0" w:color="auto"/>
            </w:tcBorders>
            <w:shd w:val="clear" w:color="auto" w:fill="auto"/>
            <w:vAlign w:val="center"/>
          </w:tcPr>
          <w:p w14:paraId="4BC9CE3A" w14:textId="269EBDC7" w:rsidR="001F2C34" w:rsidRPr="00781112" w:rsidRDefault="001F2C34" w:rsidP="00A018D4">
            <w:pPr>
              <w:jc w:val="center"/>
              <w:rPr>
                <w:rFonts w:cs="Arial"/>
                <w:color w:val="000000" w:themeColor="text1"/>
                <w:szCs w:val="16"/>
              </w:rPr>
            </w:pPr>
            <w:r w:rsidRPr="00781112">
              <w:rPr>
                <w:rFonts w:cs="Arial"/>
                <w:color w:val="000000" w:themeColor="text1"/>
                <w:szCs w:val="16"/>
              </w:rPr>
              <w:t>3.80%</w:t>
            </w: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14:paraId="17F96662" w14:textId="3E673D09" w:rsidR="001F2C34" w:rsidRPr="00781112" w:rsidRDefault="001F2C34">
            <w:pPr>
              <w:jc w:val="center"/>
              <w:rPr>
                <w:color w:val="000000" w:themeColor="text1"/>
              </w:rPr>
            </w:pPr>
            <w:r w:rsidRPr="00781112">
              <w:rPr>
                <w:color w:val="000000" w:themeColor="text1"/>
              </w:rPr>
              <w:t>3.37%</w:t>
            </w: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14:paraId="55D972E0" w14:textId="0A302924" w:rsidR="001F2C34" w:rsidRPr="00781112" w:rsidRDefault="001F2C34" w:rsidP="00A018D4">
            <w:pPr>
              <w:jc w:val="center"/>
              <w:rPr>
                <w:rFonts w:cs="Arial"/>
                <w:color w:val="000000" w:themeColor="text1"/>
                <w:szCs w:val="16"/>
              </w:rPr>
            </w:pPr>
            <w:r w:rsidRPr="00781112">
              <w:rPr>
                <w:rFonts w:cs="Arial"/>
                <w:color w:val="000000" w:themeColor="text1"/>
                <w:szCs w:val="16"/>
              </w:rPr>
              <w:t>3.37%</w:t>
            </w:r>
          </w:p>
        </w:tc>
      </w:tr>
      <w:tr w:rsidR="001F2C34" w:rsidRPr="00781112" w14:paraId="3B42BE2A" w14:textId="601B062F" w:rsidTr="005F5FE9">
        <w:trPr>
          <w:trHeight w:val="85"/>
        </w:trPr>
        <w:tc>
          <w:tcPr>
            <w:tcW w:w="625" w:type="dxa"/>
            <w:tcBorders>
              <w:left w:val="single" w:sz="4" w:space="0" w:color="auto"/>
              <w:right w:val="single" w:sz="4" w:space="0" w:color="auto"/>
            </w:tcBorders>
            <w:shd w:val="clear" w:color="auto" w:fill="auto"/>
            <w:vAlign w:val="center"/>
          </w:tcPr>
          <w:p w14:paraId="4623D633" w14:textId="276C317C" w:rsidR="001F2C34" w:rsidRPr="00781112" w:rsidRDefault="001F2C34" w:rsidP="004369B2">
            <w:pPr>
              <w:spacing w:line="276" w:lineRule="auto"/>
              <w:jc w:val="center"/>
              <w:rPr>
                <w:rFonts w:cs="Arial"/>
                <w:b/>
                <w:bCs/>
                <w:color w:val="000000" w:themeColor="text1"/>
                <w:szCs w:val="16"/>
              </w:rPr>
            </w:pPr>
            <w:r w:rsidRPr="00781112">
              <w:rPr>
                <w:rFonts w:cs="Arial"/>
                <w:b/>
                <w:bCs/>
                <w:color w:val="000000" w:themeColor="text1"/>
                <w:szCs w:val="16"/>
              </w:rPr>
              <w:t>B</w:t>
            </w:r>
          </w:p>
        </w:tc>
        <w:tc>
          <w:tcPr>
            <w:tcW w:w="10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E596DA" w14:textId="77777777" w:rsidR="001F2C34" w:rsidRPr="00781112" w:rsidRDefault="001F2C34" w:rsidP="00BA3DBE">
            <w:pPr>
              <w:spacing w:line="276" w:lineRule="auto"/>
              <w:jc w:val="center"/>
              <w:rPr>
                <w:rFonts w:cs="Arial"/>
                <w:color w:val="000000" w:themeColor="text1"/>
                <w:szCs w:val="16"/>
              </w:rPr>
            </w:pPr>
            <w:r w:rsidRPr="00781112">
              <w:rPr>
                <w:rFonts w:cs="Arial"/>
                <w:color w:val="000000" w:themeColor="text1"/>
                <w:szCs w:val="16"/>
              </w:rPr>
              <w:t>Data</w:t>
            </w:r>
          </w:p>
        </w:tc>
        <w:tc>
          <w:tcPr>
            <w:tcW w:w="1618" w:type="dxa"/>
            <w:tcBorders>
              <w:top w:val="single" w:sz="4" w:space="0" w:color="auto"/>
              <w:left w:val="single" w:sz="4" w:space="0" w:color="auto"/>
              <w:bottom w:val="single" w:sz="4" w:space="0" w:color="auto"/>
              <w:right w:val="single" w:sz="4" w:space="0" w:color="auto"/>
            </w:tcBorders>
            <w:shd w:val="clear" w:color="auto" w:fill="auto"/>
            <w:vAlign w:val="center"/>
          </w:tcPr>
          <w:p w14:paraId="15D90031" w14:textId="3012CDE0" w:rsidR="001F2C34" w:rsidRPr="00781112" w:rsidRDefault="001F2C34" w:rsidP="00A018D4">
            <w:pPr>
              <w:jc w:val="center"/>
              <w:rPr>
                <w:rFonts w:cs="Arial"/>
                <w:color w:val="000000" w:themeColor="text1"/>
                <w:szCs w:val="16"/>
              </w:rPr>
            </w:pPr>
            <w:r w:rsidRPr="00781112">
              <w:rPr>
                <w:rFonts w:cs="Arial"/>
                <w:color w:val="000000" w:themeColor="text1"/>
                <w:szCs w:val="16"/>
              </w:rPr>
              <w:t>3.91%</w:t>
            </w: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14:paraId="40E906DB" w14:textId="5C70E2DD" w:rsidR="001F2C34" w:rsidRPr="00781112" w:rsidRDefault="001F2C34" w:rsidP="00A018D4">
            <w:pPr>
              <w:jc w:val="center"/>
              <w:rPr>
                <w:rFonts w:cs="Arial"/>
                <w:color w:val="000000" w:themeColor="text1"/>
                <w:szCs w:val="16"/>
              </w:rPr>
            </w:pPr>
            <w:r w:rsidRPr="00781112">
              <w:rPr>
                <w:rFonts w:cs="Arial"/>
                <w:color w:val="000000" w:themeColor="text1"/>
                <w:szCs w:val="16"/>
              </w:rPr>
              <w:t>3.77%</w:t>
            </w:r>
          </w:p>
        </w:tc>
        <w:tc>
          <w:tcPr>
            <w:tcW w:w="1618" w:type="dxa"/>
            <w:tcBorders>
              <w:top w:val="single" w:sz="4" w:space="0" w:color="auto"/>
              <w:left w:val="single" w:sz="4" w:space="0" w:color="auto"/>
              <w:bottom w:val="single" w:sz="4" w:space="0" w:color="auto"/>
              <w:right w:val="single" w:sz="4" w:space="0" w:color="auto"/>
            </w:tcBorders>
            <w:shd w:val="clear" w:color="auto" w:fill="auto"/>
            <w:vAlign w:val="center"/>
          </w:tcPr>
          <w:p w14:paraId="46B8DC18" w14:textId="71BC25FA" w:rsidR="001F2C34" w:rsidRPr="00781112" w:rsidRDefault="001F2C34" w:rsidP="00A018D4">
            <w:pPr>
              <w:jc w:val="center"/>
              <w:rPr>
                <w:rFonts w:cs="Arial"/>
                <w:color w:val="000000" w:themeColor="text1"/>
                <w:szCs w:val="16"/>
              </w:rPr>
            </w:pPr>
            <w:r w:rsidRPr="00781112">
              <w:rPr>
                <w:rFonts w:cs="Arial"/>
                <w:color w:val="000000" w:themeColor="text1"/>
                <w:szCs w:val="16"/>
              </w:rPr>
              <w:t>3.19%</w:t>
            </w: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14:paraId="3CE06B12" w14:textId="5A09E506" w:rsidR="001F2C34" w:rsidRPr="00781112" w:rsidRDefault="001F2C34" w:rsidP="00A018D4">
            <w:pPr>
              <w:jc w:val="center"/>
              <w:rPr>
                <w:rFonts w:cs="Arial"/>
                <w:color w:val="000000" w:themeColor="text1"/>
                <w:szCs w:val="16"/>
              </w:rPr>
            </w:pPr>
            <w:r w:rsidRPr="00781112">
              <w:rPr>
                <w:rFonts w:cs="Arial"/>
                <w:color w:val="000000" w:themeColor="text1"/>
                <w:szCs w:val="16"/>
              </w:rPr>
              <w:t>3.37%</w:t>
            </w: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14:paraId="08787007" w14:textId="48A40519" w:rsidR="001F2C34" w:rsidRPr="00781112" w:rsidRDefault="001F2C34" w:rsidP="00A018D4">
            <w:pPr>
              <w:jc w:val="center"/>
              <w:rPr>
                <w:rFonts w:cs="Arial"/>
                <w:color w:val="000000" w:themeColor="text1"/>
                <w:szCs w:val="16"/>
              </w:rPr>
            </w:pPr>
            <w:r w:rsidRPr="00781112">
              <w:rPr>
                <w:rFonts w:cs="Arial"/>
                <w:color w:val="000000" w:themeColor="text1"/>
                <w:szCs w:val="16"/>
              </w:rPr>
              <w:t>2.77%</w:t>
            </w:r>
          </w:p>
        </w:tc>
      </w:tr>
      <w:tr w:rsidR="001B1B03" w:rsidRPr="00781112" w14:paraId="44E5410D" w14:textId="77777777" w:rsidTr="005F5FE9">
        <w:trPr>
          <w:trHeight w:val="85"/>
        </w:trPr>
        <w:tc>
          <w:tcPr>
            <w:tcW w:w="625" w:type="dxa"/>
            <w:tcBorders>
              <w:left w:val="single" w:sz="4" w:space="0" w:color="auto"/>
              <w:right w:val="single" w:sz="4" w:space="0" w:color="auto"/>
            </w:tcBorders>
            <w:shd w:val="clear" w:color="auto" w:fill="auto"/>
            <w:vAlign w:val="center"/>
          </w:tcPr>
          <w:p w14:paraId="0EB03788" w14:textId="1AE2298F" w:rsidR="001B1B03" w:rsidRPr="00781112" w:rsidRDefault="001B1B03" w:rsidP="001B1B03">
            <w:pPr>
              <w:spacing w:line="276" w:lineRule="auto"/>
              <w:jc w:val="center"/>
              <w:rPr>
                <w:rFonts w:cs="Arial"/>
                <w:b/>
                <w:bCs/>
                <w:color w:val="000000" w:themeColor="text1"/>
                <w:szCs w:val="16"/>
              </w:rPr>
            </w:pPr>
            <w:r>
              <w:rPr>
                <w:rFonts w:cs="Arial"/>
                <w:b/>
                <w:bCs/>
                <w:color w:val="000000" w:themeColor="text1"/>
                <w:szCs w:val="16"/>
              </w:rPr>
              <w:t>C</w:t>
            </w:r>
          </w:p>
        </w:tc>
        <w:tc>
          <w:tcPr>
            <w:tcW w:w="1036" w:type="dxa"/>
            <w:tcBorders>
              <w:top w:val="single" w:sz="4" w:space="0" w:color="auto"/>
              <w:left w:val="single" w:sz="4" w:space="0" w:color="auto"/>
              <w:bottom w:val="single" w:sz="4" w:space="0" w:color="auto"/>
              <w:right w:val="single" w:sz="4" w:space="0" w:color="auto"/>
            </w:tcBorders>
            <w:shd w:val="clear" w:color="auto" w:fill="auto"/>
            <w:vAlign w:val="center"/>
          </w:tcPr>
          <w:p w14:paraId="194F252A" w14:textId="3C17C94E" w:rsidR="001B1B03" w:rsidRPr="00781112" w:rsidRDefault="001B1B03" w:rsidP="00BA3DBE">
            <w:pPr>
              <w:spacing w:line="276" w:lineRule="auto"/>
              <w:jc w:val="center"/>
              <w:rPr>
                <w:rFonts w:cs="Arial"/>
                <w:color w:val="000000" w:themeColor="text1"/>
                <w:szCs w:val="16"/>
              </w:rPr>
            </w:pPr>
            <w:r w:rsidRPr="00781112">
              <w:rPr>
                <w:rFonts w:cs="Arial"/>
                <w:color w:val="000000" w:themeColor="text1"/>
                <w:szCs w:val="16"/>
              </w:rPr>
              <w:t>Target &lt;=</w:t>
            </w:r>
          </w:p>
        </w:tc>
        <w:tc>
          <w:tcPr>
            <w:tcW w:w="1618" w:type="dxa"/>
            <w:tcBorders>
              <w:top w:val="single" w:sz="4" w:space="0" w:color="auto"/>
              <w:left w:val="single" w:sz="4" w:space="0" w:color="auto"/>
              <w:bottom w:val="single" w:sz="4" w:space="0" w:color="auto"/>
              <w:right w:val="single" w:sz="4" w:space="0" w:color="auto"/>
            </w:tcBorders>
            <w:shd w:val="clear" w:color="auto" w:fill="auto"/>
            <w:vAlign w:val="center"/>
          </w:tcPr>
          <w:p w14:paraId="0C517E0C" w14:textId="514D705D" w:rsidR="001B1B03" w:rsidRPr="00781112" w:rsidRDefault="001B1B03" w:rsidP="001B1B03">
            <w:pPr>
              <w:jc w:val="center"/>
              <w:rPr>
                <w:rFonts w:cs="Arial"/>
                <w:color w:val="000000" w:themeColor="text1"/>
                <w:szCs w:val="16"/>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14:paraId="2D5D5845" w14:textId="1753D905" w:rsidR="001B1B03" w:rsidRPr="00781112" w:rsidRDefault="001B1B03" w:rsidP="001B1B03">
            <w:pPr>
              <w:jc w:val="center"/>
              <w:rPr>
                <w:rFonts w:cs="Arial"/>
                <w:color w:val="000000" w:themeColor="text1"/>
                <w:szCs w:val="16"/>
              </w:rPr>
            </w:pPr>
          </w:p>
        </w:tc>
        <w:tc>
          <w:tcPr>
            <w:tcW w:w="1618" w:type="dxa"/>
            <w:tcBorders>
              <w:top w:val="single" w:sz="4" w:space="0" w:color="auto"/>
              <w:left w:val="single" w:sz="4" w:space="0" w:color="auto"/>
              <w:bottom w:val="single" w:sz="4" w:space="0" w:color="auto"/>
              <w:right w:val="single" w:sz="4" w:space="0" w:color="auto"/>
            </w:tcBorders>
            <w:shd w:val="clear" w:color="auto" w:fill="auto"/>
            <w:vAlign w:val="center"/>
          </w:tcPr>
          <w:p w14:paraId="71101499" w14:textId="5B7307FE" w:rsidR="001B1B03" w:rsidRPr="00781112" w:rsidRDefault="001B1B03" w:rsidP="001B1B03">
            <w:pPr>
              <w:jc w:val="center"/>
              <w:rPr>
                <w:rFonts w:cs="Arial"/>
                <w:color w:val="000000" w:themeColor="text1"/>
                <w:szCs w:val="16"/>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14:paraId="10F32101" w14:textId="67E5358E" w:rsidR="001B1B03" w:rsidRPr="00781112" w:rsidRDefault="001B1B03" w:rsidP="001B1B03">
            <w:pPr>
              <w:jc w:val="center"/>
              <w:rPr>
                <w:rFonts w:cs="Arial"/>
                <w:color w:val="000000" w:themeColor="text1"/>
                <w:szCs w:val="16"/>
              </w:rPr>
            </w:pPr>
            <w:r w:rsidRPr="00781112">
              <w:rPr>
                <w:color w:val="000000" w:themeColor="text1"/>
              </w:rPr>
              <w:t>0.23%</w:t>
            </w: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14:paraId="5A45DABC" w14:textId="0D50AB3D" w:rsidR="001B1B03" w:rsidRPr="00781112" w:rsidRDefault="001B1B03" w:rsidP="001B1B03">
            <w:pPr>
              <w:jc w:val="center"/>
              <w:rPr>
                <w:rFonts w:cs="Arial"/>
                <w:color w:val="000000" w:themeColor="text1"/>
                <w:szCs w:val="16"/>
              </w:rPr>
            </w:pPr>
            <w:r w:rsidRPr="00781112">
              <w:rPr>
                <w:rFonts w:cs="Arial"/>
                <w:color w:val="000000" w:themeColor="text1"/>
                <w:szCs w:val="16"/>
              </w:rPr>
              <w:t>0.23%</w:t>
            </w:r>
          </w:p>
        </w:tc>
      </w:tr>
      <w:tr w:rsidR="001B1B03" w:rsidRPr="00781112" w14:paraId="66A9CDF0" w14:textId="77777777" w:rsidTr="005F5FE9">
        <w:trPr>
          <w:trHeight w:val="85"/>
        </w:trPr>
        <w:tc>
          <w:tcPr>
            <w:tcW w:w="625" w:type="dxa"/>
            <w:tcBorders>
              <w:left w:val="single" w:sz="4" w:space="0" w:color="auto"/>
              <w:right w:val="single" w:sz="4" w:space="0" w:color="auto"/>
            </w:tcBorders>
            <w:shd w:val="clear" w:color="auto" w:fill="auto"/>
            <w:vAlign w:val="center"/>
          </w:tcPr>
          <w:p w14:paraId="080D6AF5" w14:textId="1EBCBFA2" w:rsidR="001B1B03" w:rsidRPr="00781112" w:rsidRDefault="001B1B03" w:rsidP="001B1B03">
            <w:pPr>
              <w:spacing w:line="276" w:lineRule="auto"/>
              <w:jc w:val="center"/>
              <w:rPr>
                <w:rFonts w:cs="Arial"/>
                <w:b/>
                <w:bCs/>
                <w:color w:val="000000" w:themeColor="text1"/>
                <w:szCs w:val="16"/>
              </w:rPr>
            </w:pPr>
            <w:r>
              <w:rPr>
                <w:rFonts w:cs="Arial"/>
                <w:b/>
                <w:bCs/>
                <w:color w:val="000000" w:themeColor="text1"/>
                <w:szCs w:val="16"/>
              </w:rPr>
              <w:t>C</w:t>
            </w:r>
          </w:p>
        </w:tc>
        <w:tc>
          <w:tcPr>
            <w:tcW w:w="1036" w:type="dxa"/>
            <w:tcBorders>
              <w:top w:val="single" w:sz="4" w:space="0" w:color="auto"/>
              <w:left w:val="single" w:sz="4" w:space="0" w:color="auto"/>
              <w:bottom w:val="single" w:sz="4" w:space="0" w:color="auto"/>
              <w:right w:val="single" w:sz="4" w:space="0" w:color="auto"/>
            </w:tcBorders>
            <w:shd w:val="clear" w:color="auto" w:fill="auto"/>
            <w:vAlign w:val="center"/>
          </w:tcPr>
          <w:p w14:paraId="05CCEB5C" w14:textId="1BE94F5B" w:rsidR="001B1B03" w:rsidRPr="00781112" w:rsidRDefault="001B1B03" w:rsidP="00BA3DBE">
            <w:pPr>
              <w:spacing w:line="276" w:lineRule="auto"/>
              <w:jc w:val="center"/>
              <w:rPr>
                <w:rFonts w:cs="Arial"/>
                <w:color w:val="000000" w:themeColor="text1"/>
                <w:szCs w:val="16"/>
              </w:rPr>
            </w:pPr>
            <w:r w:rsidRPr="00781112">
              <w:rPr>
                <w:rFonts w:cs="Arial"/>
                <w:color w:val="000000" w:themeColor="text1"/>
                <w:szCs w:val="16"/>
              </w:rPr>
              <w:t>Data</w:t>
            </w:r>
          </w:p>
        </w:tc>
        <w:tc>
          <w:tcPr>
            <w:tcW w:w="1618" w:type="dxa"/>
            <w:tcBorders>
              <w:top w:val="single" w:sz="4" w:space="0" w:color="auto"/>
              <w:left w:val="single" w:sz="4" w:space="0" w:color="auto"/>
              <w:bottom w:val="single" w:sz="4" w:space="0" w:color="auto"/>
              <w:right w:val="single" w:sz="4" w:space="0" w:color="auto"/>
            </w:tcBorders>
            <w:shd w:val="clear" w:color="auto" w:fill="auto"/>
            <w:vAlign w:val="center"/>
          </w:tcPr>
          <w:p w14:paraId="216DDE4C" w14:textId="34636400" w:rsidR="001B1B03" w:rsidRPr="00781112" w:rsidRDefault="001B1B03" w:rsidP="001B1B03">
            <w:pPr>
              <w:jc w:val="center"/>
              <w:rPr>
                <w:rFonts w:cs="Arial"/>
                <w:color w:val="000000" w:themeColor="text1"/>
                <w:szCs w:val="16"/>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14:paraId="0EF5D417" w14:textId="3D38DFCB" w:rsidR="001B1B03" w:rsidRPr="00781112" w:rsidRDefault="001B1B03" w:rsidP="001B1B03">
            <w:pPr>
              <w:jc w:val="center"/>
              <w:rPr>
                <w:rFonts w:cs="Arial"/>
                <w:color w:val="000000" w:themeColor="text1"/>
                <w:szCs w:val="16"/>
              </w:rPr>
            </w:pPr>
          </w:p>
        </w:tc>
        <w:tc>
          <w:tcPr>
            <w:tcW w:w="1618" w:type="dxa"/>
            <w:tcBorders>
              <w:top w:val="single" w:sz="4" w:space="0" w:color="auto"/>
              <w:left w:val="single" w:sz="4" w:space="0" w:color="auto"/>
              <w:bottom w:val="single" w:sz="4" w:space="0" w:color="auto"/>
              <w:right w:val="single" w:sz="4" w:space="0" w:color="auto"/>
            </w:tcBorders>
            <w:shd w:val="clear" w:color="auto" w:fill="auto"/>
            <w:vAlign w:val="center"/>
          </w:tcPr>
          <w:p w14:paraId="07D63EF7" w14:textId="70B517E1" w:rsidR="001B1B03" w:rsidRPr="00781112" w:rsidRDefault="001B1B03" w:rsidP="001B1B03">
            <w:pPr>
              <w:jc w:val="center"/>
              <w:rPr>
                <w:rFonts w:cs="Arial"/>
                <w:color w:val="000000" w:themeColor="text1"/>
                <w:szCs w:val="16"/>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14:paraId="413A3D95" w14:textId="4990597A" w:rsidR="001B1B03" w:rsidRPr="00781112" w:rsidRDefault="001B1B03" w:rsidP="001B1B03">
            <w:pPr>
              <w:jc w:val="center"/>
              <w:rPr>
                <w:rFonts w:cs="Arial"/>
                <w:color w:val="000000" w:themeColor="text1"/>
                <w:szCs w:val="16"/>
              </w:rPr>
            </w:pPr>
            <w:r w:rsidRPr="00781112">
              <w:rPr>
                <w:rFonts w:cs="Arial"/>
                <w:color w:val="000000" w:themeColor="text1"/>
                <w:szCs w:val="16"/>
              </w:rPr>
              <w:t>0.23%</w:t>
            </w: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14:paraId="72594B47" w14:textId="75BCBF55" w:rsidR="001B1B03" w:rsidRPr="00781112" w:rsidRDefault="001B1B03" w:rsidP="001B1B03">
            <w:pPr>
              <w:jc w:val="center"/>
              <w:rPr>
                <w:rFonts w:cs="Arial"/>
                <w:color w:val="000000" w:themeColor="text1"/>
                <w:szCs w:val="16"/>
              </w:rPr>
            </w:pPr>
            <w:r w:rsidRPr="00781112">
              <w:rPr>
                <w:rFonts w:cs="Arial"/>
                <w:color w:val="000000" w:themeColor="text1"/>
                <w:szCs w:val="16"/>
              </w:rPr>
              <w:t>0.18%</w:t>
            </w:r>
          </w:p>
        </w:tc>
      </w:tr>
    </w:tbl>
    <w:p w14:paraId="057E33A3" w14:textId="77777777" w:rsidR="00AE3B11" w:rsidRDefault="00AE3B11" w:rsidP="004369B2">
      <w:pPr>
        <w:rPr>
          <w:color w:val="000000" w:themeColor="text1"/>
        </w:rPr>
      </w:pPr>
    </w:p>
    <w:p w14:paraId="6FE45EEF" w14:textId="77777777" w:rsidR="00AE3B11" w:rsidRPr="00651552" w:rsidRDefault="00AE3B11" w:rsidP="0059735F">
      <w:pPr>
        <w:rPr>
          <w:bCs/>
          <w:color w:val="000000" w:themeColor="text1"/>
        </w:rPr>
      </w:pPr>
    </w:p>
    <w:p w14:paraId="34B0E047" w14:textId="080D5172" w:rsidR="0059735F" w:rsidRPr="00781112" w:rsidRDefault="0059735F" w:rsidP="0059735F">
      <w:pPr>
        <w:rPr>
          <w:b/>
          <w:color w:val="000000" w:themeColor="text1"/>
        </w:rPr>
      </w:pPr>
      <w:r w:rsidRPr="00781112">
        <w:rPr>
          <w:b/>
          <w:color w:val="000000" w:themeColor="text1"/>
        </w:rPr>
        <w:t xml:space="preserve">Targets: Description of Stakeholder Input </w:t>
      </w:r>
    </w:p>
    <w:p w14:paraId="137AAC0F" w14:textId="77777777" w:rsidR="0059735F" w:rsidRPr="00781112" w:rsidRDefault="0059735F" w:rsidP="0059735F">
      <w:pPr>
        <w:rPr>
          <w:rFonts w:cs="Arial"/>
          <w:color w:val="000000" w:themeColor="text1"/>
          <w:szCs w:val="16"/>
        </w:rPr>
      </w:pPr>
      <w:r w:rsidRPr="00781112">
        <w:rPr>
          <w:rFonts w:cs="Arial"/>
          <w:color w:val="000000" w:themeColor="text1"/>
          <w:szCs w:val="16"/>
        </w:rPr>
        <w:t>CDE Special Education Preschool team held meetings with six AUs to inform and discuss FAPE and LRE in the context of Universal Preschool and to request input on local systems' continuum of services in preschool and the impact of Universal Preschool on special education placements. The team also conducts monthly meetings with special education directors and preschool administrators to review policy and placement decisions and to provide support to limit segregated placements where they exist. The team accessed LRE resources provided by ECTA to guide discussions with preschool administrators, child find coordinators and other preschool state leaders to request input on qualitative data related to preschool programs.</w:t>
      </w:r>
      <w:r w:rsidRPr="00781112">
        <w:rPr>
          <w:rFonts w:cs="Arial"/>
          <w:color w:val="000000" w:themeColor="text1"/>
          <w:szCs w:val="16"/>
        </w:rPr>
        <w:br/>
      </w:r>
      <w:r w:rsidRPr="00781112">
        <w:rPr>
          <w:rFonts w:cs="Arial"/>
          <w:color w:val="000000" w:themeColor="text1"/>
          <w:szCs w:val="16"/>
        </w:rPr>
        <w:br/>
        <w:t>CDE presented, discussed, and solicited feedback on the SPP/APR Indicators with our Colorado Special Education Advisory Committee (CSEAC).</w:t>
      </w:r>
      <w:r w:rsidRPr="00781112">
        <w:rPr>
          <w:rFonts w:cs="Arial"/>
          <w:color w:val="000000" w:themeColor="text1"/>
          <w:szCs w:val="16"/>
        </w:rPr>
        <w:br/>
      </w:r>
      <w:r w:rsidRPr="00781112">
        <w:rPr>
          <w:rFonts w:cs="Arial"/>
          <w:color w:val="000000" w:themeColor="text1"/>
          <w:szCs w:val="16"/>
        </w:rPr>
        <w:br/>
        <w:t>For FFY 2020, the following mechanisms were used to gather broad stakeholder input:</w:t>
      </w:r>
      <w:r w:rsidRPr="00781112">
        <w:rPr>
          <w:rFonts w:cs="Arial"/>
          <w:color w:val="000000" w:themeColor="text1"/>
          <w:szCs w:val="16"/>
        </w:rPr>
        <w:br/>
      </w:r>
      <w:r w:rsidRPr="00781112">
        <w:rPr>
          <w:rFonts w:cs="Arial"/>
          <w:color w:val="000000" w:themeColor="text1"/>
          <w:szCs w:val="16"/>
        </w:rPr>
        <w:br/>
        <w:t>Identified CDE internal stakeholders and content experts for each indicator:</w:t>
      </w:r>
      <w:r w:rsidRPr="00781112">
        <w:rPr>
          <w:rFonts w:cs="Arial"/>
          <w:color w:val="000000" w:themeColor="text1"/>
          <w:szCs w:val="16"/>
        </w:rPr>
        <w:br/>
      </w:r>
      <w:r w:rsidRPr="00781112">
        <w:rPr>
          <w:rFonts w:cs="Arial"/>
          <w:color w:val="000000" w:themeColor="text1"/>
          <w:szCs w:val="16"/>
        </w:rPr>
        <w:lastRenderedPageBreak/>
        <w:t>1. Scheduled meetings for each CDE internal stakeholder indicator team.</w:t>
      </w:r>
      <w:r w:rsidRPr="00781112">
        <w:rPr>
          <w:rFonts w:cs="Arial"/>
          <w:color w:val="000000" w:themeColor="text1"/>
          <w:szCs w:val="16"/>
        </w:rPr>
        <w:br/>
        <w:t>2. Met with each CDE stakeholder team, explain rules and parameters, Colorado history of indicator, past and current improvement strategies, facilitate discussion, and solicit feedback and develop options for each of the SPP/APR targets.</w:t>
      </w:r>
      <w:r w:rsidRPr="00781112">
        <w:rPr>
          <w:rFonts w:cs="Arial"/>
          <w:color w:val="000000" w:themeColor="text1"/>
          <w:szCs w:val="16"/>
        </w:rPr>
        <w:br/>
        <w:t>3. Met with each CDE stakeholder team to facilitate discussion and come to consensus on targets and improvement strategies to present to the external stakeholder groups.</w:t>
      </w:r>
      <w:r w:rsidRPr="00781112">
        <w:rPr>
          <w:rFonts w:cs="Arial"/>
          <w:color w:val="000000" w:themeColor="text1"/>
          <w:szCs w:val="16"/>
        </w:rPr>
        <w:br/>
        <w:t xml:space="preserve">4. Requested and collected improvement strategies for each indicator from each CDE internal stakeholder team. </w:t>
      </w:r>
      <w:r w:rsidRPr="00781112">
        <w:rPr>
          <w:rFonts w:cs="Arial"/>
          <w:color w:val="000000" w:themeColor="text1"/>
          <w:szCs w:val="16"/>
        </w:rPr>
        <w:br/>
      </w:r>
      <w:r w:rsidRPr="00781112">
        <w:rPr>
          <w:rFonts w:cs="Arial"/>
          <w:color w:val="000000" w:themeColor="text1"/>
          <w:szCs w:val="16"/>
        </w:rPr>
        <w:br/>
        <w:t>Built a survey to collect evidence and information from external stakeholder groups and the public to gain feedback on current SPP/APR indicators to collect the following data:</w:t>
      </w:r>
      <w:r w:rsidRPr="00781112">
        <w:rPr>
          <w:rFonts w:cs="Arial"/>
          <w:color w:val="000000" w:themeColor="text1"/>
          <w:szCs w:val="16"/>
        </w:rPr>
        <w:br/>
        <w:t xml:space="preserve">1. Are targets too high, too low, </w:t>
      </w:r>
      <w:proofErr w:type="gramStart"/>
      <w:r w:rsidRPr="00781112">
        <w:rPr>
          <w:rFonts w:cs="Arial"/>
          <w:color w:val="000000" w:themeColor="text1"/>
          <w:szCs w:val="16"/>
        </w:rPr>
        <w:t>just</w:t>
      </w:r>
      <w:proofErr w:type="gramEnd"/>
      <w:r w:rsidRPr="00781112">
        <w:rPr>
          <w:rFonts w:cs="Arial"/>
          <w:color w:val="000000" w:themeColor="text1"/>
          <w:szCs w:val="16"/>
        </w:rPr>
        <w:t xml:space="preserve"> right?</w:t>
      </w:r>
      <w:r w:rsidRPr="00781112">
        <w:rPr>
          <w:rFonts w:cs="Arial"/>
          <w:color w:val="000000" w:themeColor="text1"/>
          <w:szCs w:val="16"/>
        </w:rPr>
        <w:br/>
        <w:t>2. If the proposed improvement strategies are reasonably calculated to help Colorado reach the proposed targets?</w:t>
      </w:r>
      <w:r w:rsidRPr="00781112">
        <w:rPr>
          <w:rFonts w:cs="Arial"/>
          <w:color w:val="000000" w:themeColor="text1"/>
          <w:szCs w:val="16"/>
        </w:rPr>
        <w:br/>
        <w:t>3. Is the proposed choice of demographic category to be analyzed for representation an appropriate selection?</w:t>
      </w:r>
      <w:r w:rsidRPr="00781112">
        <w:rPr>
          <w:rFonts w:cs="Arial"/>
          <w:color w:val="000000" w:themeColor="text1"/>
          <w:szCs w:val="16"/>
        </w:rPr>
        <w:br/>
      </w:r>
      <w:r w:rsidRPr="00781112">
        <w:rPr>
          <w:rFonts w:cs="Arial"/>
          <w:color w:val="000000" w:themeColor="text1"/>
          <w:szCs w:val="16"/>
        </w:rPr>
        <w:br/>
        <w:t>Built a web page to include:</w:t>
      </w:r>
      <w:r w:rsidRPr="00781112">
        <w:rPr>
          <w:rFonts w:cs="Arial"/>
          <w:color w:val="000000" w:themeColor="text1"/>
          <w:szCs w:val="16"/>
        </w:rPr>
        <w:br/>
        <w:t>1. basic information regarding the SPP/APR and the 6-year target resetting process.</w:t>
      </w:r>
      <w:r w:rsidRPr="00781112">
        <w:rPr>
          <w:rFonts w:cs="Arial"/>
          <w:color w:val="000000" w:themeColor="text1"/>
          <w:szCs w:val="16"/>
        </w:rPr>
        <w:br/>
        <w:t>2. asyncronys access to a series of webinars explaining each of the SPP/APR indicators, proposed targets, and improvement strategies.</w:t>
      </w:r>
      <w:r w:rsidRPr="00781112">
        <w:rPr>
          <w:rFonts w:cs="Arial"/>
          <w:color w:val="000000" w:themeColor="text1"/>
          <w:szCs w:val="16"/>
        </w:rPr>
        <w:br/>
        <w:t>3. a link to an indicator survey to gather information from the public during the comment period. This survey was designed to solicit the following information: (a) Are the proposed targets too high, too low, or appropriate? (b) Are the proposed improvement strategies reasonably calculated to help Colorado reach the proposed targets? (c) Is the proposed demographic group to be analyzed for representation an appropriate selection?</w:t>
      </w:r>
      <w:r w:rsidRPr="00781112">
        <w:rPr>
          <w:rFonts w:cs="Arial"/>
          <w:color w:val="000000" w:themeColor="text1"/>
          <w:szCs w:val="16"/>
        </w:rPr>
        <w:br/>
      </w:r>
      <w:r w:rsidRPr="00781112">
        <w:rPr>
          <w:rFonts w:cs="Arial"/>
          <w:color w:val="000000" w:themeColor="text1"/>
          <w:szCs w:val="16"/>
        </w:rPr>
        <w:br/>
        <w:t>Presented and requested input on agreed on targets and improvement strategies to the following indicator specific advisory councils: Preschool School Special Education Advisory Committee (PSSEAC), and the Secondary Transition Task Force Advisory Committee. Review and incorporate feedback into the final draft of the new targets and share proposed version with ESSU Executive Director for approval.</w:t>
      </w:r>
      <w:r w:rsidRPr="00781112">
        <w:rPr>
          <w:rFonts w:cs="Arial"/>
          <w:color w:val="000000" w:themeColor="text1"/>
          <w:szCs w:val="16"/>
        </w:rPr>
        <w:br/>
        <w:t>Presented proposed targets and gathered additional feedback to the following State advisory groups and advocacy groups: Colorado Special Education Advisory Committee (CSEAC) and Parent Partnerships for Equity Advisory Committee, The Arc of Colorado, PEAK Parent Center, and Disability Law Colorado.</w:t>
      </w:r>
      <w:r w:rsidRPr="00781112">
        <w:rPr>
          <w:rFonts w:cs="Arial"/>
          <w:color w:val="000000" w:themeColor="text1"/>
          <w:szCs w:val="16"/>
        </w:rPr>
        <w:br/>
        <w:t>Presented proposed targets for all indicators to Colorado LEA Special Education Directors.</w:t>
      </w:r>
      <w:r w:rsidRPr="00781112">
        <w:rPr>
          <w:rFonts w:cs="Arial"/>
          <w:color w:val="000000" w:themeColor="text1"/>
          <w:szCs w:val="16"/>
        </w:rPr>
        <w:br/>
        <w:t>Held a 2-month public comment period to solicit public comments through a broad CDE-wide communication plan made up of a dedicated webpage with short videos and surveys for each indicator, CDE Facebook page, CDE Twitter Account, a CDE webpage news story, CDE’s Weekly Newsletter, and notifications to our parent advocacy agencies.</w:t>
      </w:r>
      <w:r w:rsidRPr="00781112">
        <w:rPr>
          <w:rFonts w:cs="Arial"/>
          <w:color w:val="000000" w:themeColor="text1"/>
          <w:szCs w:val="16"/>
        </w:rPr>
        <w:br/>
        <w:t xml:space="preserve"> </w:t>
      </w:r>
      <w:r w:rsidRPr="00781112">
        <w:rPr>
          <w:rFonts w:cs="Arial"/>
          <w:color w:val="000000" w:themeColor="text1"/>
          <w:szCs w:val="16"/>
        </w:rPr>
        <w:br/>
        <w:t>Reviewed and considered public comments received through the indicator survey mechanism, finalize all targets with ESSU Executive Director, and published targets on CDE webpage.</w:t>
      </w:r>
    </w:p>
    <w:p w14:paraId="0B88D679" w14:textId="77777777" w:rsidR="0059735F" w:rsidRPr="00781112" w:rsidRDefault="0059735F" w:rsidP="004369B2">
      <w:pPr>
        <w:rPr>
          <w:color w:val="000000" w:themeColor="text1"/>
        </w:rPr>
      </w:pPr>
    </w:p>
    <w:p w14:paraId="5CC249BC" w14:textId="12B8F79F" w:rsidR="00AA04BD" w:rsidRPr="00781112" w:rsidRDefault="00AA04BD" w:rsidP="004369B2">
      <w:pPr>
        <w:rPr>
          <w:b/>
          <w:color w:val="000000" w:themeColor="text1"/>
        </w:rPr>
      </w:pPr>
      <w:r w:rsidRPr="00781112">
        <w:rPr>
          <w:b/>
          <w:color w:val="000000" w:themeColor="text1"/>
        </w:rPr>
        <w:t>Targets</w:t>
      </w:r>
    </w:p>
    <w:p w14:paraId="1C259A9C" w14:textId="233315C1" w:rsidR="001C2B29" w:rsidRPr="001C443D" w:rsidRDefault="007F67C7" w:rsidP="001C443D">
      <w:pPr>
        <w:rPr>
          <w:b/>
          <w:bCs/>
        </w:rPr>
      </w:pPr>
      <w:r w:rsidRPr="001C443D">
        <w:rPr>
          <w:b/>
          <w:bCs/>
        </w:rPr>
        <w:t xml:space="preserve">Please select if the State wants to set </w:t>
      </w:r>
      <w:proofErr w:type="gramStart"/>
      <w:r w:rsidRPr="001C443D">
        <w:rPr>
          <w:b/>
          <w:bCs/>
        </w:rPr>
        <w:t>baseline</w:t>
      </w:r>
      <w:proofErr w:type="gramEnd"/>
      <w:r w:rsidRPr="001C443D">
        <w:rPr>
          <w:b/>
          <w:bCs/>
        </w:rPr>
        <w:t xml:space="preserve"> and targets based on individual age ranges (i.e. separate baseline and targets for each age), or inclusive of all children ages 3, 4, and 5. </w:t>
      </w:r>
    </w:p>
    <w:p w14:paraId="0237921B" w14:textId="17150ECF" w:rsidR="00794672" w:rsidRPr="00781112" w:rsidRDefault="00794672" w:rsidP="00794672">
      <w:pPr>
        <w:rPr>
          <w:color w:val="000000" w:themeColor="text1"/>
        </w:rPr>
      </w:pPr>
      <w:r w:rsidRPr="00781112">
        <w:rPr>
          <w:rFonts w:cs="Arial"/>
          <w:color w:val="000000" w:themeColor="text1"/>
          <w:szCs w:val="16"/>
        </w:rPr>
        <w:t>Inclusive Targets</w:t>
      </w:r>
    </w:p>
    <w:p w14:paraId="647A8A68" w14:textId="7712D124" w:rsidR="00794672" w:rsidRPr="001C443D" w:rsidRDefault="00E20E93" w:rsidP="001C443D">
      <w:pPr>
        <w:rPr>
          <w:b/>
          <w:bCs/>
        </w:rPr>
      </w:pPr>
      <w:r w:rsidRPr="001C443D">
        <w:rPr>
          <w:b/>
          <w:bCs/>
        </w:rPr>
        <w:t>Please select if the State wants to use target ranges for 6C.</w:t>
      </w:r>
    </w:p>
    <w:p w14:paraId="4C1CAE3E" w14:textId="29D1D533" w:rsidR="00794672" w:rsidRDefault="00794672" w:rsidP="00794672">
      <w:pPr>
        <w:rPr>
          <w:rFonts w:cs="Arial"/>
          <w:color w:val="000000" w:themeColor="text1"/>
          <w:szCs w:val="16"/>
        </w:rPr>
      </w:pPr>
      <w:r w:rsidRPr="00781112">
        <w:rPr>
          <w:rFonts w:cs="Arial"/>
          <w:color w:val="000000" w:themeColor="text1"/>
          <w:szCs w:val="16"/>
        </w:rPr>
        <w:t>Target Range not used</w:t>
      </w:r>
    </w:p>
    <w:p w14:paraId="5C7F1365" w14:textId="570192EE" w:rsidR="0073461B" w:rsidRDefault="0073461B" w:rsidP="0073461B">
      <w:pPr>
        <w:pStyle w:val="Subhed"/>
        <w:rPr>
          <w:b w:val="0"/>
          <w:bCs/>
          <w:color w:val="C00000"/>
        </w:rPr>
      </w:pPr>
    </w:p>
    <w:p w14:paraId="770D6443" w14:textId="39B3F3FD" w:rsidR="004D796B" w:rsidRPr="00781112" w:rsidRDefault="004D796B" w:rsidP="004369B2">
      <w:pPr>
        <w:rPr>
          <w:color w:val="000000" w:themeColor="text1"/>
        </w:rPr>
      </w:pPr>
    </w:p>
    <w:p w14:paraId="7D77C5FC" w14:textId="77777777" w:rsidR="008C34A2" w:rsidRPr="0075451F" w:rsidRDefault="008C34A2" w:rsidP="008C34A2">
      <w:pPr>
        <w:pStyle w:val="Subhed"/>
        <w:rPr>
          <w:b w:val="0"/>
        </w:rPr>
      </w:pPr>
      <w:r>
        <w:t>Baselines for Inclusive Targets option (A, B, C)</w:t>
      </w:r>
    </w:p>
    <w:tbl>
      <w:tblPr>
        <w:tblW w:w="25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B06BASELINEDATAINCL"/>
      </w:tblPr>
      <w:tblGrid>
        <w:gridCol w:w="1436"/>
        <w:gridCol w:w="2025"/>
        <w:gridCol w:w="2025"/>
      </w:tblGrid>
      <w:tr w:rsidR="008C34A2" w:rsidRPr="00781112" w14:paraId="76A746DF" w14:textId="77777777" w:rsidTr="00DF5DC9">
        <w:trPr>
          <w:trHeight w:val="485"/>
          <w:tblHeader/>
        </w:trPr>
        <w:tc>
          <w:tcPr>
            <w:tcW w:w="1436" w:type="dxa"/>
            <w:tcBorders>
              <w:top w:val="single" w:sz="4" w:space="0" w:color="auto"/>
              <w:left w:val="single" w:sz="4" w:space="0" w:color="auto"/>
              <w:bottom w:val="single" w:sz="4" w:space="0" w:color="auto"/>
              <w:right w:val="single" w:sz="4" w:space="0" w:color="auto"/>
            </w:tcBorders>
            <w:shd w:val="clear" w:color="auto" w:fill="auto"/>
          </w:tcPr>
          <w:p w14:paraId="76F354AC" w14:textId="77777777" w:rsidR="008C34A2" w:rsidRPr="00781112" w:rsidRDefault="008C34A2" w:rsidP="00DF5DC9">
            <w:pPr>
              <w:spacing w:line="276" w:lineRule="auto"/>
              <w:jc w:val="center"/>
              <w:rPr>
                <w:rFonts w:cs="Arial"/>
                <w:b/>
                <w:color w:val="000000" w:themeColor="text1"/>
                <w:szCs w:val="16"/>
              </w:rPr>
            </w:pPr>
            <w:r w:rsidRPr="00781112">
              <w:rPr>
                <w:rFonts w:cs="Arial"/>
                <w:b/>
                <w:color w:val="000000" w:themeColor="text1"/>
                <w:szCs w:val="16"/>
              </w:rPr>
              <w:t>Part</w:t>
            </w:r>
          </w:p>
        </w:tc>
        <w:tc>
          <w:tcPr>
            <w:tcW w:w="2025" w:type="dxa"/>
            <w:tcBorders>
              <w:top w:val="single" w:sz="4" w:space="0" w:color="auto"/>
              <w:left w:val="single" w:sz="4" w:space="0" w:color="auto"/>
              <w:bottom w:val="single" w:sz="4" w:space="0" w:color="auto"/>
              <w:right w:val="single" w:sz="4" w:space="0" w:color="auto"/>
            </w:tcBorders>
            <w:shd w:val="clear" w:color="auto" w:fill="auto"/>
          </w:tcPr>
          <w:p w14:paraId="70043BB3" w14:textId="77777777" w:rsidR="008C34A2" w:rsidRPr="00781112" w:rsidRDefault="008C34A2" w:rsidP="00DF5DC9">
            <w:pPr>
              <w:spacing w:line="276" w:lineRule="auto"/>
              <w:jc w:val="center"/>
              <w:rPr>
                <w:rFonts w:cs="Arial"/>
                <w:b/>
                <w:color w:val="000000" w:themeColor="text1"/>
                <w:szCs w:val="16"/>
              </w:rPr>
            </w:pPr>
            <w:proofErr w:type="gramStart"/>
            <w:r w:rsidRPr="00781112">
              <w:rPr>
                <w:rFonts w:cs="Arial"/>
                <w:b/>
                <w:color w:val="000000" w:themeColor="text1"/>
                <w:szCs w:val="16"/>
              </w:rPr>
              <w:t>Baseline  Year</w:t>
            </w:r>
            <w:proofErr w:type="gramEnd"/>
          </w:p>
        </w:tc>
        <w:tc>
          <w:tcPr>
            <w:tcW w:w="2025" w:type="dxa"/>
            <w:tcBorders>
              <w:top w:val="single" w:sz="4" w:space="0" w:color="auto"/>
              <w:left w:val="single" w:sz="4" w:space="0" w:color="auto"/>
              <w:bottom w:val="single" w:sz="4" w:space="0" w:color="auto"/>
              <w:right w:val="single" w:sz="4" w:space="0" w:color="auto"/>
            </w:tcBorders>
          </w:tcPr>
          <w:p w14:paraId="6D732D8C" w14:textId="77777777" w:rsidR="008C34A2" w:rsidRPr="00781112" w:rsidRDefault="008C34A2" w:rsidP="00DF5DC9">
            <w:pPr>
              <w:spacing w:line="276" w:lineRule="auto"/>
              <w:jc w:val="center"/>
              <w:rPr>
                <w:rFonts w:cs="Arial"/>
                <w:b/>
                <w:color w:val="000000" w:themeColor="text1"/>
                <w:szCs w:val="16"/>
              </w:rPr>
            </w:pPr>
            <w:r w:rsidRPr="00781112">
              <w:rPr>
                <w:rFonts w:cs="Arial"/>
                <w:b/>
                <w:color w:val="000000" w:themeColor="text1"/>
                <w:szCs w:val="16"/>
              </w:rPr>
              <w:t>Baseline Data</w:t>
            </w:r>
          </w:p>
        </w:tc>
      </w:tr>
      <w:tr w:rsidR="008C34A2" w:rsidRPr="00781112" w14:paraId="3EC108E9" w14:textId="77777777" w:rsidTr="00DF5DC9">
        <w:trPr>
          <w:trHeight w:val="357"/>
        </w:trPr>
        <w:tc>
          <w:tcPr>
            <w:tcW w:w="1436" w:type="dxa"/>
            <w:tcBorders>
              <w:top w:val="single" w:sz="4" w:space="0" w:color="auto"/>
              <w:left w:val="single" w:sz="4" w:space="0" w:color="auto"/>
              <w:right w:val="single" w:sz="4" w:space="0" w:color="auto"/>
            </w:tcBorders>
            <w:shd w:val="clear" w:color="auto" w:fill="auto"/>
            <w:vAlign w:val="center"/>
          </w:tcPr>
          <w:p w14:paraId="0A56D253" w14:textId="77777777" w:rsidR="008C34A2" w:rsidRPr="00781112" w:rsidRDefault="008C34A2" w:rsidP="00DF5DC9">
            <w:pPr>
              <w:spacing w:line="276" w:lineRule="auto"/>
              <w:jc w:val="center"/>
              <w:rPr>
                <w:rFonts w:cs="Arial"/>
                <w:b/>
                <w:bCs/>
                <w:color w:val="000000" w:themeColor="text1"/>
                <w:szCs w:val="16"/>
              </w:rPr>
            </w:pPr>
            <w:r w:rsidRPr="00781112">
              <w:rPr>
                <w:rFonts w:cs="Arial"/>
                <w:b/>
                <w:bCs/>
                <w:color w:val="000000" w:themeColor="text1"/>
                <w:szCs w:val="16"/>
              </w:rPr>
              <w:t>A</w:t>
            </w:r>
          </w:p>
        </w:tc>
        <w:tc>
          <w:tcPr>
            <w:tcW w:w="2025" w:type="dxa"/>
            <w:tcBorders>
              <w:top w:val="single" w:sz="4" w:space="0" w:color="auto"/>
              <w:left w:val="single" w:sz="4" w:space="0" w:color="auto"/>
              <w:right w:val="single" w:sz="4" w:space="0" w:color="auto"/>
            </w:tcBorders>
            <w:shd w:val="clear" w:color="auto" w:fill="auto"/>
          </w:tcPr>
          <w:p w14:paraId="3FCF70A0" w14:textId="77777777" w:rsidR="008C34A2" w:rsidRPr="00781112" w:rsidRDefault="008C34A2" w:rsidP="00DF5DC9">
            <w:pPr>
              <w:jc w:val="center"/>
              <w:rPr>
                <w:rFonts w:cs="Arial"/>
                <w:color w:val="000000" w:themeColor="text1"/>
                <w:szCs w:val="16"/>
              </w:rPr>
            </w:pPr>
            <w:r w:rsidRPr="00781112">
              <w:rPr>
                <w:rFonts w:cs="Arial"/>
                <w:color w:val="000000" w:themeColor="text1"/>
                <w:szCs w:val="16"/>
              </w:rPr>
              <w:t>2020</w:t>
            </w:r>
          </w:p>
        </w:tc>
        <w:tc>
          <w:tcPr>
            <w:tcW w:w="2025" w:type="dxa"/>
            <w:tcBorders>
              <w:top w:val="single" w:sz="4" w:space="0" w:color="auto"/>
              <w:left w:val="single" w:sz="4" w:space="0" w:color="auto"/>
              <w:right w:val="single" w:sz="4" w:space="0" w:color="auto"/>
            </w:tcBorders>
          </w:tcPr>
          <w:p w14:paraId="142085FD" w14:textId="77777777" w:rsidR="008C34A2" w:rsidRPr="00781112" w:rsidRDefault="008C34A2" w:rsidP="00DF5DC9">
            <w:pPr>
              <w:jc w:val="center"/>
              <w:rPr>
                <w:rFonts w:cs="Arial"/>
                <w:color w:val="000000" w:themeColor="text1"/>
                <w:szCs w:val="16"/>
              </w:rPr>
            </w:pPr>
            <w:r w:rsidRPr="00781112">
              <w:rPr>
                <w:rFonts w:cs="Arial"/>
                <w:color w:val="000000" w:themeColor="text1"/>
                <w:szCs w:val="16"/>
              </w:rPr>
              <w:t>91.92%</w:t>
            </w:r>
          </w:p>
        </w:tc>
      </w:tr>
      <w:tr w:rsidR="008C34A2" w:rsidRPr="00781112" w14:paraId="6C0A9325" w14:textId="77777777" w:rsidTr="00DF5DC9">
        <w:trPr>
          <w:trHeight w:val="357"/>
        </w:trPr>
        <w:tc>
          <w:tcPr>
            <w:tcW w:w="1436" w:type="dxa"/>
            <w:tcBorders>
              <w:top w:val="single" w:sz="4" w:space="0" w:color="auto"/>
              <w:left w:val="single" w:sz="4" w:space="0" w:color="auto"/>
              <w:right w:val="single" w:sz="4" w:space="0" w:color="auto"/>
            </w:tcBorders>
            <w:shd w:val="clear" w:color="auto" w:fill="auto"/>
            <w:vAlign w:val="center"/>
          </w:tcPr>
          <w:p w14:paraId="0E7FAFDC" w14:textId="77777777" w:rsidR="008C34A2" w:rsidRPr="00781112" w:rsidRDefault="008C34A2" w:rsidP="00DF5DC9">
            <w:pPr>
              <w:spacing w:line="276" w:lineRule="auto"/>
              <w:jc w:val="center"/>
              <w:rPr>
                <w:rFonts w:cs="Arial"/>
                <w:b/>
                <w:bCs/>
                <w:color w:val="000000" w:themeColor="text1"/>
                <w:szCs w:val="16"/>
              </w:rPr>
            </w:pPr>
            <w:r w:rsidRPr="00781112">
              <w:rPr>
                <w:rFonts w:cs="Arial"/>
                <w:b/>
                <w:bCs/>
                <w:color w:val="000000" w:themeColor="text1"/>
                <w:szCs w:val="16"/>
              </w:rPr>
              <w:t>B</w:t>
            </w:r>
          </w:p>
        </w:tc>
        <w:tc>
          <w:tcPr>
            <w:tcW w:w="2025" w:type="dxa"/>
            <w:tcBorders>
              <w:top w:val="single" w:sz="4" w:space="0" w:color="auto"/>
              <w:left w:val="single" w:sz="4" w:space="0" w:color="auto"/>
              <w:right w:val="single" w:sz="4" w:space="0" w:color="auto"/>
            </w:tcBorders>
            <w:shd w:val="clear" w:color="auto" w:fill="auto"/>
          </w:tcPr>
          <w:p w14:paraId="538A3CE6" w14:textId="77777777" w:rsidR="008C34A2" w:rsidRPr="00781112" w:rsidRDefault="008C34A2" w:rsidP="00DF5DC9">
            <w:pPr>
              <w:jc w:val="center"/>
              <w:rPr>
                <w:rFonts w:cs="Arial"/>
                <w:color w:val="000000" w:themeColor="text1"/>
                <w:szCs w:val="16"/>
              </w:rPr>
            </w:pPr>
            <w:r w:rsidRPr="00781112">
              <w:rPr>
                <w:rFonts w:cs="Arial"/>
                <w:color w:val="000000" w:themeColor="text1"/>
                <w:szCs w:val="16"/>
              </w:rPr>
              <w:t>2020</w:t>
            </w:r>
          </w:p>
        </w:tc>
        <w:tc>
          <w:tcPr>
            <w:tcW w:w="2025" w:type="dxa"/>
            <w:tcBorders>
              <w:top w:val="single" w:sz="4" w:space="0" w:color="auto"/>
              <w:left w:val="single" w:sz="4" w:space="0" w:color="auto"/>
              <w:right w:val="single" w:sz="4" w:space="0" w:color="auto"/>
            </w:tcBorders>
          </w:tcPr>
          <w:p w14:paraId="794F234F" w14:textId="77777777" w:rsidR="008C34A2" w:rsidRPr="00781112" w:rsidRDefault="008C34A2" w:rsidP="00DF5DC9">
            <w:pPr>
              <w:jc w:val="center"/>
              <w:rPr>
                <w:rFonts w:cs="Arial"/>
                <w:color w:val="000000" w:themeColor="text1"/>
                <w:szCs w:val="16"/>
              </w:rPr>
            </w:pPr>
            <w:r w:rsidRPr="00781112">
              <w:rPr>
                <w:rFonts w:cs="Arial"/>
                <w:color w:val="000000" w:themeColor="text1"/>
                <w:szCs w:val="16"/>
              </w:rPr>
              <w:t>3.37%</w:t>
            </w:r>
          </w:p>
        </w:tc>
      </w:tr>
      <w:tr w:rsidR="008C34A2" w:rsidRPr="00781112" w14:paraId="2DFA9728" w14:textId="77777777" w:rsidTr="00DF5DC9">
        <w:trPr>
          <w:trHeight w:val="85"/>
        </w:trPr>
        <w:tc>
          <w:tcPr>
            <w:tcW w:w="1436" w:type="dxa"/>
            <w:tcBorders>
              <w:left w:val="single" w:sz="4" w:space="0" w:color="auto"/>
              <w:right w:val="single" w:sz="4" w:space="0" w:color="auto"/>
            </w:tcBorders>
            <w:shd w:val="clear" w:color="auto" w:fill="auto"/>
            <w:vAlign w:val="center"/>
          </w:tcPr>
          <w:p w14:paraId="6CBBDF9C" w14:textId="77777777" w:rsidR="008C34A2" w:rsidRPr="00781112" w:rsidRDefault="008C34A2" w:rsidP="00DF5DC9">
            <w:pPr>
              <w:spacing w:line="276" w:lineRule="auto"/>
              <w:jc w:val="center"/>
              <w:rPr>
                <w:rFonts w:cs="Arial"/>
                <w:b/>
                <w:bCs/>
                <w:color w:val="000000" w:themeColor="text1"/>
                <w:szCs w:val="16"/>
              </w:rPr>
            </w:pPr>
            <w:r w:rsidRPr="00781112">
              <w:rPr>
                <w:rFonts w:cs="Arial"/>
                <w:b/>
                <w:bCs/>
                <w:color w:val="000000" w:themeColor="text1"/>
                <w:szCs w:val="16"/>
              </w:rPr>
              <w:t>C</w:t>
            </w:r>
          </w:p>
        </w:tc>
        <w:tc>
          <w:tcPr>
            <w:tcW w:w="2025" w:type="dxa"/>
            <w:tcBorders>
              <w:left w:val="single" w:sz="4" w:space="0" w:color="auto"/>
              <w:right w:val="single" w:sz="4" w:space="0" w:color="auto"/>
            </w:tcBorders>
            <w:shd w:val="clear" w:color="auto" w:fill="auto"/>
          </w:tcPr>
          <w:p w14:paraId="7E7E5689" w14:textId="77777777" w:rsidR="008C34A2" w:rsidRPr="00781112" w:rsidRDefault="008C34A2" w:rsidP="00DF5DC9">
            <w:pPr>
              <w:jc w:val="center"/>
              <w:rPr>
                <w:rFonts w:cs="Arial"/>
                <w:color w:val="000000" w:themeColor="text1"/>
                <w:szCs w:val="16"/>
              </w:rPr>
            </w:pPr>
            <w:r w:rsidRPr="00781112">
              <w:rPr>
                <w:rFonts w:cs="Arial"/>
                <w:color w:val="000000" w:themeColor="text1"/>
                <w:szCs w:val="16"/>
              </w:rPr>
              <w:t>2020</w:t>
            </w:r>
          </w:p>
        </w:tc>
        <w:tc>
          <w:tcPr>
            <w:tcW w:w="2025" w:type="dxa"/>
            <w:tcBorders>
              <w:left w:val="single" w:sz="4" w:space="0" w:color="auto"/>
              <w:right w:val="single" w:sz="4" w:space="0" w:color="auto"/>
            </w:tcBorders>
          </w:tcPr>
          <w:p w14:paraId="4FCAB124" w14:textId="77777777" w:rsidR="008C34A2" w:rsidRPr="00781112" w:rsidRDefault="008C34A2" w:rsidP="00DF5DC9">
            <w:pPr>
              <w:jc w:val="center"/>
              <w:rPr>
                <w:rFonts w:cs="Arial"/>
                <w:color w:val="000000" w:themeColor="text1"/>
                <w:szCs w:val="16"/>
              </w:rPr>
            </w:pPr>
            <w:r w:rsidRPr="00781112">
              <w:rPr>
                <w:rFonts w:cs="Arial"/>
                <w:color w:val="000000" w:themeColor="text1"/>
                <w:szCs w:val="16"/>
              </w:rPr>
              <w:t>0.23%</w:t>
            </w:r>
          </w:p>
        </w:tc>
      </w:tr>
    </w:tbl>
    <w:p w14:paraId="3CB9A2A8" w14:textId="77777777" w:rsidR="008C34A2" w:rsidRPr="00992ACE" w:rsidRDefault="008C34A2" w:rsidP="00992ACE">
      <w:pPr>
        <w:rPr>
          <w:rFonts w:cs="Arial"/>
          <w:color w:val="000000" w:themeColor="text1"/>
          <w:szCs w:val="16"/>
        </w:rPr>
      </w:pPr>
    </w:p>
    <w:p w14:paraId="47A40AAD" w14:textId="088A53BD" w:rsidR="0059735F" w:rsidRPr="00781112" w:rsidRDefault="0059735F" w:rsidP="0059735F">
      <w:pPr>
        <w:rPr>
          <w:b/>
          <w:bCs/>
          <w:color w:val="000000" w:themeColor="text1"/>
        </w:rPr>
      </w:pPr>
      <w:r w:rsidRPr="00781112">
        <w:rPr>
          <w:b/>
          <w:bCs/>
        </w:rPr>
        <w:t>Inclusive Targets – 6A, 6B</w:t>
      </w:r>
    </w:p>
    <w:tbl>
      <w:tblPr>
        <w:tblW w:w="34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B06ABTARGETSINCL"/>
      </w:tblPr>
      <w:tblGrid>
        <w:gridCol w:w="1078"/>
        <w:gridCol w:w="1617"/>
        <w:gridCol w:w="1617"/>
        <w:gridCol w:w="1622"/>
        <w:gridCol w:w="1617"/>
      </w:tblGrid>
      <w:tr w:rsidR="00B67FCE" w:rsidRPr="00781112" w14:paraId="502A05CF" w14:textId="31F34C5E" w:rsidTr="00845B9B">
        <w:trPr>
          <w:trHeight w:val="297"/>
        </w:trPr>
        <w:tc>
          <w:tcPr>
            <w:tcW w:w="713" w:type="pct"/>
            <w:tcBorders>
              <w:bottom w:val="single" w:sz="4" w:space="0" w:color="auto"/>
            </w:tcBorders>
            <w:shd w:val="clear" w:color="auto" w:fill="auto"/>
          </w:tcPr>
          <w:p w14:paraId="24938C30" w14:textId="77777777" w:rsidR="00B67FCE" w:rsidRPr="00781112" w:rsidRDefault="00B67FCE" w:rsidP="00D62058">
            <w:pPr>
              <w:jc w:val="center"/>
              <w:rPr>
                <w:b/>
                <w:color w:val="000000" w:themeColor="text1"/>
              </w:rPr>
            </w:pPr>
            <w:r w:rsidRPr="00781112">
              <w:rPr>
                <w:b/>
                <w:color w:val="000000" w:themeColor="text1"/>
              </w:rPr>
              <w:t>FFY</w:t>
            </w:r>
          </w:p>
        </w:tc>
        <w:tc>
          <w:tcPr>
            <w:tcW w:w="1071" w:type="pct"/>
            <w:shd w:val="clear" w:color="auto" w:fill="auto"/>
          </w:tcPr>
          <w:p w14:paraId="4B75D90A" w14:textId="04FBCB48" w:rsidR="00B67FCE" w:rsidRPr="00781112" w:rsidRDefault="00B67FCE" w:rsidP="00D62058">
            <w:pPr>
              <w:jc w:val="center"/>
              <w:rPr>
                <w:b/>
                <w:color w:val="000000" w:themeColor="text1"/>
              </w:rPr>
            </w:pPr>
            <w:r w:rsidRPr="00781112">
              <w:rPr>
                <w:b/>
                <w:color w:val="000000" w:themeColor="text1"/>
              </w:rPr>
              <w:t>2022</w:t>
            </w:r>
          </w:p>
        </w:tc>
        <w:tc>
          <w:tcPr>
            <w:tcW w:w="1071" w:type="pct"/>
          </w:tcPr>
          <w:p w14:paraId="5DC58FF5" w14:textId="7CBB0832" w:rsidR="00B67FCE" w:rsidRPr="00781112" w:rsidRDefault="00B67FCE" w:rsidP="00360DD6">
            <w:pPr>
              <w:jc w:val="center"/>
              <w:rPr>
                <w:b/>
                <w:color w:val="000000" w:themeColor="text1"/>
              </w:rPr>
            </w:pPr>
            <w:r w:rsidRPr="00781112">
              <w:rPr>
                <w:b/>
                <w:color w:val="000000" w:themeColor="text1"/>
              </w:rPr>
              <w:t>2023</w:t>
            </w:r>
          </w:p>
        </w:tc>
        <w:tc>
          <w:tcPr>
            <w:tcW w:w="1074" w:type="pct"/>
          </w:tcPr>
          <w:p w14:paraId="7F3093B9" w14:textId="2E366C4A" w:rsidR="00B67FCE" w:rsidRPr="00781112" w:rsidRDefault="00B67FCE" w:rsidP="00360DD6">
            <w:pPr>
              <w:jc w:val="center"/>
              <w:rPr>
                <w:b/>
                <w:color w:val="000000" w:themeColor="text1"/>
              </w:rPr>
            </w:pPr>
            <w:r w:rsidRPr="00781112">
              <w:rPr>
                <w:b/>
                <w:color w:val="000000" w:themeColor="text1"/>
              </w:rPr>
              <w:t>2024</w:t>
            </w:r>
          </w:p>
        </w:tc>
        <w:tc>
          <w:tcPr>
            <w:tcW w:w="1072" w:type="pct"/>
          </w:tcPr>
          <w:p w14:paraId="05A02BBA" w14:textId="78E50BC0" w:rsidR="00B67FCE" w:rsidRPr="00781112" w:rsidRDefault="00B67FCE" w:rsidP="00360DD6">
            <w:pPr>
              <w:jc w:val="center"/>
              <w:rPr>
                <w:b/>
                <w:color w:val="000000" w:themeColor="text1"/>
              </w:rPr>
            </w:pPr>
            <w:r w:rsidRPr="00781112">
              <w:rPr>
                <w:b/>
                <w:color w:val="000000" w:themeColor="text1"/>
              </w:rPr>
              <w:t>2025</w:t>
            </w:r>
          </w:p>
        </w:tc>
      </w:tr>
      <w:tr w:rsidR="00B67FCE" w:rsidRPr="00781112" w14:paraId="19DCE246" w14:textId="1AEE89BD" w:rsidTr="00845B9B">
        <w:trPr>
          <w:trHeight w:val="303"/>
        </w:trPr>
        <w:tc>
          <w:tcPr>
            <w:tcW w:w="713" w:type="pct"/>
            <w:shd w:val="clear" w:color="auto" w:fill="auto"/>
            <w:vAlign w:val="center"/>
          </w:tcPr>
          <w:p w14:paraId="772DAD56" w14:textId="1540F97B" w:rsidR="00B67FCE" w:rsidRPr="00781112" w:rsidRDefault="00B67FCE" w:rsidP="00BA3DBE">
            <w:pPr>
              <w:jc w:val="center"/>
              <w:rPr>
                <w:rFonts w:cs="Arial"/>
                <w:color w:val="000000" w:themeColor="text1"/>
                <w:szCs w:val="16"/>
              </w:rPr>
            </w:pPr>
            <w:r w:rsidRPr="00781112">
              <w:rPr>
                <w:rFonts w:cs="Arial"/>
                <w:color w:val="000000" w:themeColor="text1"/>
                <w:szCs w:val="16"/>
              </w:rPr>
              <w:t>Target A &gt;=</w:t>
            </w:r>
          </w:p>
        </w:tc>
        <w:tc>
          <w:tcPr>
            <w:tcW w:w="1071" w:type="pct"/>
            <w:shd w:val="clear" w:color="auto" w:fill="auto"/>
            <w:vAlign w:val="center"/>
          </w:tcPr>
          <w:p w14:paraId="2E5FC5F6" w14:textId="4C6B8E64" w:rsidR="00B67FCE" w:rsidRPr="00781112" w:rsidRDefault="00B67FCE" w:rsidP="00D62058">
            <w:pPr>
              <w:jc w:val="center"/>
              <w:rPr>
                <w:rFonts w:cs="Arial"/>
                <w:color w:val="000000" w:themeColor="text1"/>
                <w:szCs w:val="16"/>
              </w:rPr>
            </w:pPr>
            <w:r w:rsidRPr="00781112">
              <w:rPr>
                <w:rFonts w:cs="Arial"/>
                <w:color w:val="000000" w:themeColor="text1"/>
                <w:szCs w:val="16"/>
              </w:rPr>
              <w:t>91.92%</w:t>
            </w:r>
          </w:p>
        </w:tc>
        <w:tc>
          <w:tcPr>
            <w:tcW w:w="1071" w:type="pct"/>
          </w:tcPr>
          <w:p w14:paraId="4C26EA28" w14:textId="691A218F" w:rsidR="00B67FCE" w:rsidRPr="00781112" w:rsidRDefault="00B67FCE" w:rsidP="00360DD6">
            <w:pPr>
              <w:jc w:val="center"/>
              <w:rPr>
                <w:rFonts w:cs="Arial"/>
                <w:color w:val="000000" w:themeColor="text1"/>
                <w:szCs w:val="16"/>
              </w:rPr>
            </w:pPr>
            <w:r w:rsidRPr="00781112">
              <w:rPr>
                <w:rFonts w:cs="Arial"/>
                <w:color w:val="000000" w:themeColor="text1"/>
                <w:szCs w:val="16"/>
              </w:rPr>
              <w:t>91.92%</w:t>
            </w:r>
          </w:p>
        </w:tc>
        <w:tc>
          <w:tcPr>
            <w:tcW w:w="1074" w:type="pct"/>
          </w:tcPr>
          <w:p w14:paraId="0BF1D9D9" w14:textId="482D9F05" w:rsidR="00B67FCE" w:rsidRPr="00781112" w:rsidRDefault="00B67FCE" w:rsidP="00360DD6">
            <w:pPr>
              <w:jc w:val="center"/>
              <w:rPr>
                <w:rFonts w:cs="Arial"/>
                <w:color w:val="000000" w:themeColor="text1"/>
                <w:szCs w:val="16"/>
              </w:rPr>
            </w:pPr>
            <w:r w:rsidRPr="00781112">
              <w:rPr>
                <w:rFonts w:cs="Arial"/>
                <w:color w:val="000000" w:themeColor="text1"/>
                <w:szCs w:val="16"/>
              </w:rPr>
              <w:t>91.92%</w:t>
            </w:r>
          </w:p>
        </w:tc>
        <w:tc>
          <w:tcPr>
            <w:tcW w:w="1072" w:type="pct"/>
          </w:tcPr>
          <w:p w14:paraId="583F2116" w14:textId="7106D36C" w:rsidR="00B67FCE" w:rsidRPr="00781112" w:rsidRDefault="00B67FCE" w:rsidP="00360DD6">
            <w:pPr>
              <w:jc w:val="center"/>
              <w:rPr>
                <w:rFonts w:cs="Arial"/>
                <w:color w:val="000000" w:themeColor="text1"/>
                <w:szCs w:val="16"/>
              </w:rPr>
            </w:pPr>
            <w:r w:rsidRPr="00781112">
              <w:rPr>
                <w:rFonts w:cs="Arial"/>
                <w:color w:val="000000" w:themeColor="text1"/>
                <w:szCs w:val="16"/>
              </w:rPr>
              <w:t>92.00%</w:t>
            </w:r>
          </w:p>
        </w:tc>
      </w:tr>
      <w:tr w:rsidR="00B67FCE" w:rsidRPr="00781112" w14:paraId="3AA5E8F7" w14:textId="085D0F95" w:rsidTr="00845B9B">
        <w:trPr>
          <w:trHeight w:val="303"/>
        </w:trPr>
        <w:tc>
          <w:tcPr>
            <w:tcW w:w="713" w:type="pct"/>
            <w:shd w:val="clear" w:color="auto" w:fill="auto"/>
            <w:vAlign w:val="center"/>
          </w:tcPr>
          <w:p w14:paraId="49E152B3" w14:textId="4DC08CD2" w:rsidR="00B67FCE" w:rsidRPr="00781112" w:rsidRDefault="00B67FCE" w:rsidP="00BA3DBE">
            <w:pPr>
              <w:jc w:val="center"/>
              <w:rPr>
                <w:rFonts w:cs="Arial"/>
                <w:color w:val="000000" w:themeColor="text1"/>
                <w:szCs w:val="16"/>
              </w:rPr>
            </w:pPr>
            <w:r w:rsidRPr="00781112">
              <w:rPr>
                <w:rFonts w:cs="Arial"/>
                <w:color w:val="000000" w:themeColor="text1"/>
                <w:szCs w:val="16"/>
              </w:rPr>
              <w:t>Target B &lt;=</w:t>
            </w:r>
          </w:p>
        </w:tc>
        <w:tc>
          <w:tcPr>
            <w:tcW w:w="1071" w:type="pct"/>
            <w:shd w:val="clear" w:color="auto" w:fill="auto"/>
            <w:vAlign w:val="center"/>
          </w:tcPr>
          <w:p w14:paraId="642E6A80" w14:textId="7A6AF652" w:rsidR="00B67FCE" w:rsidRPr="00781112" w:rsidRDefault="00B67FCE" w:rsidP="00D62058">
            <w:pPr>
              <w:jc w:val="center"/>
              <w:rPr>
                <w:rFonts w:cs="Arial"/>
                <w:color w:val="000000" w:themeColor="text1"/>
                <w:szCs w:val="16"/>
              </w:rPr>
            </w:pPr>
            <w:r w:rsidRPr="00781112">
              <w:rPr>
                <w:rFonts w:cs="Arial"/>
                <w:color w:val="000000" w:themeColor="text1"/>
                <w:szCs w:val="16"/>
              </w:rPr>
              <w:t>3.37%</w:t>
            </w:r>
          </w:p>
        </w:tc>
        <w:tc>
          <w:tcPr>
            <w:tcW w:w="1071" w:type="pct"/>
          </w:tcPr>
          <w:p w14:paraId="752B6B9E" w14:textId="3979D870" w:rsidR="00B67FCE" w:rsidRPr="00781112" w:rsidRDefault="00B67FCE" w:rsidP="00360DD6">
            <w:pPr>
              <w:jc w:val="center"/>
              <w:rPr>
                <w:rFonts w:cs="Arial"/>
                <w:color w:val="000000" w:themeColor="text1"/>
                <w:szCs w:val="16"/>
              </w:rPr>
            </w:pPr>
            <w:r w:rsidRPr="00781112">
              <w:rPr>
                <w:rFonts w:cs="Arial"/>
                <w:color w:val="000000" w:themeColor="text1"/>
                <w:szCs w:val="16"/>
              </w:rPr>
              <w:t>3.37%</w:t>
            </w:r>
          </w:p>
        </w:tc>
        <w:tc>
          <w:tcPr>
            <w:tcW w:w="1074" w:type="pct"/>
          </w:tcPr>
          <w:p w14:paraId="1DCC77D9" w14:textId="4B30FDBE" w:rsidR="00B67FCE" w:rsidRPr="00781112" w:rsidRDefault="00B67FCE" w:rsidP="00360DD6">
            <w:pPr>
              <w:jc w:val="center"/>
              <w:rPr>
                <w:rFonts w:cs="Arial"/>
                <w:color w:val="000000" w:themeColor="text1"/>
                <w:szCs w:val="16"/>
              </w:rPr>
            </w:pPr>
            <w:r w:rsidRPr="00781112">
              <w:rPr>
                <w:rFonts w:cs="Arial"/>
                <w:color w:val="000000" w:themeColor="text1"/>
                <w:szCs w:val="16"/>
              </w:rPr>
              <w:t>3.37%</w:t>
            </w:r>
          </w:p>
        </w:tc>
        <w:tc>
          <w:tcPr>
            <w:tcW w:w="1072" w:type="pct"/>
          </w:tcPr>
          <w:p w14:paraId="481E8597" w14:textId="10A83577" w:rsidR="00B67FCE" w:rsidRPr="00781112" w:rsidRDefault="00B67FCE" w:rsidP="00360DD6">
            <w:pPr>
              <w:jc w:val="center"/>
              <w:rPr>
                <w:rFonts w:cs="Arial"/>
                <w:color w:val="000000" w:themeColor="text1"/>
                <w:szCs w:val="16"/>
              </w:rPr>
            </w:pPr>
            <w:r w:rsidRPr="00781112">
              <w:rPr>
                <w:rFonts w:cs="Arial"/>
                <w:color w:val="000000" w:themeColor="text1"/>
                <w:szCs w:val="16"/>
              </w:rPr>
              <w:t>3.30%</w:t>
            </w:r>
          </w:p>
        </w:tc>
      </w:tr>
    </w:tbl>
    <w:p w14:paraId="27170CED" w14:textId="772C81FC" w:rsidR="00E428BD" w:rsidRDefault="00E428BD" w:rsidP="004369B2">
      <w:pPr>
        <w:rPr>
          <w:color w:val="000000" w:themeColor="text1"/>
        </w:rPr>
      </w:pPr>
      <w:bookmarkStart w:id="38" w:name="_Toc382082378"/>
      <w:bookmarkStart w:id="39" w:name="_Toc392159302"/>
    </w:p>
    <w:p w14:paraId="38AC4E98" w14:textId="77777777" w:rsidR="0040181B" w:rsidRPr="00781112" w:rsidRDefault="0040181B" w:rsidP="0040181B">
      <w:pPr>
        <w:rPr>
          <w:b/>
          <w:bCs/>
          <w:color w:val="000000" w:themeColor="text1"/>
        </w:rPr>
      </w:pPr>
      <w:r w:rsidRPr="00781112">
        <w:rPr>
          <w:b/>
          <w:bCs/>
        </w:rPr>
        <w:t>Inclusive Targets – 6C</w:t>
      </w:r>
    </w:p>
    <w:tbl>
      <w:tblPr>
        <w:tblW w:w="34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B06CTARGETSINCL"/>
      </w:tblPr>
      <w:tblGrid>
        <w:gridCol w:w="1078"/>
        <w:gridCol w:w="1617"/>
        <w:gridCol w:w="1617"/>
        <w:gridCol w:w="1622"/>
        <w:gridCol w:w="1617"/>
      </w:tblGrid>
      <w:tr w:rsidR="00B67FCE" w:rsidRPr="00781112" w14:paraId="6B43903F" w14:textId="77777777" w:rsidTr="00845B9B">
        <w:trPr>
          <w:trHeight w:val="297"/>
        </w:trPr>
        <w:tc>
          <w:tcPr>
            <w:tcW w:w="713" w:type="pct"/>
            <w:tcBorders>
              <w:bottom w:val="single" w:sz="4" w:space="0" w:color="auto"/>
            </w:tcBorders>
            <w:shd w:val="clear" w:color="auto" w:fill="auto"/>
          </w:tcPr>
          <w:p w14:paraId="454FDD0F" w14:textId="77777777" w:rsidR="00B67FCE" w:rsidRPr="00781112" w:rsidRDefault="00B67FCE" w:rsidP="00992ACE">
            <w:pPr>
              <w:jc w:val="center"/>
              <w:rPr>
                <w:b/>
                <w:color w:val="000000" w:themeColor="text1"/>
              </w:rPr>
            </w:pPr>
            <w:r w:rsidRPr="00781112">
              <w:rPr>
                <w:b/>
                <w:color w:val="000000" w:themeColor="text1"/>
              </w:rPr>
              <w:t>FFY</w:t>
            </w:r>
          </w:p>
        </w:tc>
        <w:tc>
          <w:tcPr>
            <w:tcW w:w="1071" w:type="pct"/>
            <w:shd w:val="clear" w:color="auto" w:fill="auto"/>
          </w:tcPr>
          <w:p w14:paraId="23E06477" w14:textId="77777777" w:rsidR="00B67FCE" w:rsidRPr="00781112" w:rsidRDefault="00B67FCE" w:rsidP="00992ACE">
            <w:pPr>
              <w:jc w:val="center"/>
              <w:rPr>
                <w:b/>
                <w:color w:val="000000" w:themeColor="text1"/>
              </w:rPr>
            </w:pPr>
            <w:r w:rsidRPr="00781112">
              <w:rPr>
                <w:b/>
                <w:color w:val="000000" w:themeColor="text1"/>
              </w:rPr>
              <w:t>2022</w:t>
            </w:r>
          </w:p>
        </w:tc>
        <w:tc>
          <w:tcPr>
            <w:tcW w:w="1071" w:type="pct"/>
          </w:tcPr>
          <w:p w14:paraId="727ADECD" w14:textId="77777777" w:rsidR="00B67FCE" w:rsidRPr="00781112" w:rsidRDefault="00B67FCE" w:rsidP="00992ACE">
            <w:pPr>
              <w:jc w:val="center"/>
              <w:rPr>
                <w:b/>
                <w:color w:val="000000" w:themeColor="text1"/>
              </w:rPr>
            </w:pPr>
            <w:r w:rsidRPr="00781112">
              <w:rPr>
                <w:b/>
                <w:color w:val="000000" w:themeColor="text1"/>
              </w:rPr>
              <w:t>2023</w:t>
            </w:r>
          </w:p>
        </w:tc>
        <w:tc>
          <w:tcPr>
            <w:tcW w:w="1074" w:type="pct"/>
          </w:tcPr>
          <w:p w14:paraId="6EC259CD" w14:textId="77777777" w:rsidR="00B67FCE" w:rsidRPr="00781112" w:rsidRDefault="00B67FCE" w:rsidP="00992ACE">
            <w:pPr>
              <w:jc w:val="center"/>
              <w:rPr>
                <w:b/>
                <w:color w:val="000000" w:themeColor="text1"/>
              </w:rPr>
            </w:pPr>
            <w:r w:rsidRPr="00781112">
              <w:rPr>
                <w:b/>
                <w:color w:val="000000" w:themeColor="text1"/>
              </w:rPr>
              <w:t>2024</w:t>
            </w:r>
          </w:p>
        </w:tc>
        <w:tc>
          <w:tcPr>
            <w:tcW w:w="1072" w:type="pct"/>
          </w:tcPr>
          <w:p w14:paraId="30FC0D14" w14:textId="77777777" w:rsidR="00B67FCE" w:rsidRPr="00781112" w:rsidRDefault="00B67FCE" w:rsidP="00992ACE">
            <w:pPr>
              <w:jc w:val="center"/>
              <w:rPr>
                <w:b/>
                <w:color w:val="000000" w:themeColor="text1"/>
              </w:rPr>
            </w:pPr>
            <w:r w:rsidRPr="00781112">
              <w:rPr>
                <w:b/>
                <w:color w:val="000000" w:themeColor="text1"/>
              </w:rPr>
              <w:t>2025</w:t>
            </w:r>
          </w:p>
        </w:tc>
      </w:tr>
      <w:tr w:rsidR="00B67FCE" w:rsidRPr="00781112" w14:paraId="38A2A2D3" w14:textId="77777777" w:rsidTr="00845B9B">
        <w:trPr>
          <w:trHeight w:val="303"/>
        </w:trPr>
        <w:tc>
          <w:tcPr>
            <w:tcW w:w="713" w:type="pct"/>
            <w:shd w:val="clear" w:color="auto" w:fill="auto"/>
            <w:vAlign w:val="center"/>
          </w:tcPr>
          <w:p w14:paraId="1A01A931" w14:textId="77777777" w:rsidR="00B67FCE" w:rsidRPr="00781112" w:rsidRDefault="00B67FCE" w:rsidP="00BA3DBE">
            <w:pPr>
              <w:jc w:val="center"/>
              <w:rPr>
                <w:rFonts w:cs="Arial"/>
                <w:color w:val="000000" w:themeColor="text1"/>
                <w:szCs w:val="16"/>
              </w:rPr>
            </w:pPr>
            <w:r w:rsidRPr="00781112">
              <w:rPr>
                <w:rFonts w:cs="Arial"/>
                <w:color w:val="000000" w:themeColor="text1"/>
                <w:szCs w:val="16"/>
              </w:rPr>
              <w:t>Target C &lt;=</w:t>
            </w:r>
          </w:p>
        </w:tc>
        <w:tc>
          <w:tcPr>
            <w:tcW w:w="1071" w:type="pct"/>
            <w:shd w:val="clear" w:color="auto" w:fill="auto"/>
            <w:vAlign w:val="center"/>
          </w:tcPr>
          <w:p w14:paraId="4CC46A48" w14:textId="77777777" w:rsidR="00B67FCE" w:rsidRPr="00781112" w:rsidRDefault="00B67FCE" w:rsidP="00992ACE">
            <w:pPr>
              <w:jc w:val="center"/>
              <w:rPr>
                <w:rFonts w:cs="Arial"/>
                <w:color w:val="000000" w:themeColor="text1"/>
                <w:szCs w:val="16"/>
              </w:rPr>
            </w:pPr>
            <w:r w:rsidRPr="00781112">
              <w:rPr>
                <w:rFonts w:cs="Arial"/>
                <w:color w:val="000000" w:themeColor="text1"/>
                <w:szCs w:val="16"/>
              </w:rPr>
              <w:t>0.23%</w:t>
            </w:r>
          </w:p>
        </w:tc>
        <w:tc>
          <w:tcPr>
            <w:tcW w:w="1071" w:type="pct"/>
          </w:tcPr>
          <w:p w14:paraId="262E2FD0" w14:textId="77777777" w:rsidR="00B67FCE" w:rsidRPr="00781112" w:rsidRDefault="00B67FCE" w:rsidP="00992ACE">
            <w:pPr>
              <w:jc w:val="center"/>
              <w:rPr>
                <w:rFonts w:cs="Arial"/>
                <w:color w:val="000000" w:themeColor="text1"/>
                <w:szCs w:val="16"/>
              </w:rPr>
            </w:pPr>
            <w:r w:rsidRPr="00781112">
              <w:rPr>
                <w:rFonts w:cs="Arial"/>
                <w:color w:val="000000" w:themeColor="text1"/>
                <w:szCs w:val="16"/>
              </w:rPr>
              <w:t>0.23%</w:t>
            </w:r>
          </w:p>
        </w:tc>
        <w:tc>
          <w:tcPr>
            <w:tcW w:w="1074" w:type="pct"/>
          </w:tcPr>
          <w:p w14:paraId="54ED085E" w14:textId="77777777" w:rsidR="00B67FCE" w:rsidRPr="00781112" w:rsidRDefault="00B67FCE" w:rsidP="00992ACE">
            <w:pPr>
              <w:jc w:val="center"/>
              <w:rPr>
                <w:rFonts w:cs="Arial"/>
                <w:color w:val="000000" w:themeColor="text1"/>
                <w:szCs w:val="16"/>
              </w:rPr>
            </w:pPr>
            <w:r w:rsidRPr="00781112">
              <w:rPr>
                <w:rFonts w:cs="Arial"/>
                <w:color w:val="000000" w:themeColor="text1"/>
                <w:szCs w:val="16"/>
              </w:rPr>
              <w:t>0.23%</w:t>
            </w:r>
          </w:p>
        </w:tc>
        <w:tc>
          <w:tcPr>
            <w:tcW w:w="1072" w:type="pct"/>
          </w:tcPr>
          <w:p w14:paraId="2466D4C4" w14:textId="77777777" w:rsidR="00B67FCE" w:rsidRPr="00781112" w:rsidRDefault="00B67FCE" w:rsidP="00992ACE">
            <w:pPr>
              <w:jc w:val="center"/>
              <w:rPr>
                <w:rFonts w:cs="Arial"/>
                <w:color w:val="000000" w:themeColor="text1"/>
                <w:szCs w:val="16"/>
              </w:rPr>
            </w:pPr>
            <w:r w:rsidRPr="00781112">
              <w:rPr>
                <w:rFonts w:cs="Arial"/>
                <w:color w:val="000000" w:themeColor="text1"/>
                <w:szCs w:val="16"/>
              </w:rPr>
              <w:t>0.22%</w:t>
            </w:r>
          </w:p>
        </w:tc>
      </w:tr>
    </w:tbl>
    <w:p w14:paraId="6F4455E5" w14:textId="77777777" w:rsidR="0040181B" w:rsidRPr="00781112" w:rsidRDefault="0040181B" w:rsidP="0040181B">
      <w:pPr>
        <w:rPr>
          <w:color w:val="000000" w:themeColor="text1"/>
        </w:rPr>
      </w:pPr>
    </w:p>
    <w:p w14:paraId="50508AD8" w14:textId="0C71BBD3" w:rsidR="008751D3" w:rsidRPr="00781112" w:rsidRDefault="008751D3" w:rsidP="004369B2">
      <w:pPr>
        <w:rPr>
          <w:b/>
          <w:color w:val="000000" w:themeColor="text1"/>
        </w:rPr>
      </w:pPr>
      <w:r w:rsidRPr="00781112">
        <w:rPr>
          <w:b/>
          <w:color w:val="000000" w:themeColor="text1"/>
        </w:rPr>
        <w:t>Prepopulated Data</w:t>
      </w:r>
    </w:p>
    <w:p w14:paraId="4FE8FE34" w14:textId="77777777" w:rsidR="004F4564" w:rsidRPr="00781112" w:rsidRDefault="004F4564" w:rsidP="004F4564">
      <w:pPr>
        <w:rPr>
          <w:rFonts w:cs="Arial"/>
          <w:b/>
          <w:color w:val="000000" w:themeColor="text1"/>
          <w:szCs w:val="16"/>
        </w:rPr>
      </w:pPr>
      <w:r w:rsidRPr="00781112">
        <w:rPr>
          <w:rFonts w:cs="Arial"/>
          <w:b/>
          <w:color w:val="000000" w:themeColor="text1"/>
          <w:szCs w:val="16"/>
        </w:rPr>
        <w:t xml:space="preserve">Data Source:  </w:t>
      </w:r>
    </w:p>
    <w:p w14:paraId="386CE8B6" w14:textId="365EFD16" w:rsidR="004F4564" w:rsidRPr="00781112" w:rsidRDefault="004F4564" w:rsidP="004F4564">
      <w:pPr>
        <w:rPr>
          <w:rFonts w:cs="Arial"/>
          <w:color w:val="000000" w:themeColor="text1"/>
          <w:szCs w:val="16"/>
        </w:rPr>
      </w:pPr>
      <w:r w:rsidRPr="00781112">
        <w:rPr>
          <w:rFonts w:cs="Arial"/>
          <w:color w:val="000000" w:themeColor="text1"/>
          <w:szCs w:val="16"/>
        </w:rPr>
        <w:t>SY 2022-23 Child Count/Educational Environment Data Groups (EDFacts file spec FS089; Data group 613)</w:t>
      </w:r>
    </w:p>
    <w:p w14:paraId="4528541A" w14:textId="77777777" w:rsidR="004F4564" w:rsidRPr="00781112" w:rsidRDefault="004F4564" w:rsidP="004F4564">
      <w:pPr>
        <w:rPr>
          <w:rFonts w:cs="Arial"/>
          <w:b/>
          <w:color w:val="000000" w:themeColor="text1"/>
          <w:szCs w:val="16"/>
        </w:rPr>
      </w:pPr>
      <w:r w:rsidRPr="00781112">
        <w:rPr>
          <w:rFonts w:cs="Arial"/>
          <w:b/>
          <w:color w:val="000000" w:themeColor="text1"/>
          <w:szCs w:val="16"/>
        </w:rPr>
        <w:t xml:space="preserve">Date: </w:t>
      </w:r>
    </w:p>
    <w:p w14:paraId="372F35F3" w14:textId="3C0B439F" w:rsidR="004F4564" w:rsidRPr="00781112" w:rsidRDefault="004F4564" w:rsidP="004F4564">
      <w:pPr>
        <w:rPr>
          <w:rFonts w:cs="Arial"/>
          <w:color w:val="000000" w:themeColor="text1"/>
          <w:szCs w:val="16"/>
        </w:rPr>
      </w:pPr>
      <w:r w:rsidRPr="00781112">
        <w:rPr>
          <w:rFonts w:cs="Arial"/>
          <w:color w:val="000000" w:themeColor="text1"/>
          <w:szCs w:val="16"/>
        </w:rPr>
        <w:t>08/30/2023</w:t>
      </w:r>
    </w:p>
    <w:p w14:paraId="023F428E" w14:textId="77777777" w:rsidR="004F4564" w:rsidRPr="00781112" w:rsidRDefault="004F4564" w:rsidP="004369B2">
      <w:pPr>
        <w:rPr>
          <w:color w:val="000000" w:themeColor="text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Caption w:val="B06PREPOPDATA"/>
      </w:tblPr>
      <w:tblGrid>
        <w:gridCol w:w="3348"/>
        <w:gridCol w:w="1862"/>
        <w:gridCol w:w="1862"/>
        <w:gridCol w:w="1862"/>
        <w:gridCol w:w="1856"/>
      </w:tblGrid>
      <w:tr w:rsidR="00E25159" w:rsidRPr="00781112" w14:paraId="08E6335C" w14:textId="3E29B965" w:rsidTr="00360DD6">
        <w:trPr>
          <w:cantSplit/>
          <w:tblHeader/>
        </w:trPr>
        <w:tc>
          <w:tcPr>
            <w:tcW w:w="1551" w:type="pct"/>
            <w:shd w:val="clear" w:color="auto" w:fill="auto"/>
          </w:tcPr>
          <w:p w14:paraId="47ECA16E" w14:textId="77777777" w:rsidR="00E25159" w:rsidRPr="00781112" w:rsidRDefault="00E25159" w:rsidP="009C613A">
            <w:pPr>
              <w:spacing w:after="0"/>
              <w:jc w:val="center"/>
              <w:rPr>
                <w:rFonts w:cs="Arial"/>
                <w:b/>
                <w:color w:val="000000" w:themeColor="text1"/>
                <w:szCs w:val="16"/>
              </w:rPr>
            </w:pPr>
            <w:r w:rsidRPr="00781112">
              <w:rPr>
                <w:rFonts w:cs="Arial"/>
                <w:b/>
                <w:color w:val="000000" w:themeColor="text1"/>
                <w:szCs w:val="16"/>
              </w:rPr>
              <w:t>Description</w:t>
            </w:r>
          </w:p>
        </w:tc>
        <w:tc>
          <w:tcPr>
            <w:tcW w:w="863" w:type="pct"/>
          </w:tcPr>
          <w:p w14:paraId="06AF5DE5" w14:textId="64A96718" w:rsidR="00E25159" w:rsidRPr="00781112" w:rsidRDefault="002E763A" w:rsidP="009C613A">
            <w:pPr>
              <w:spacing w:after="0"/>
              <w:jc w:val="center"/>
              <w:rPr>
                <w:rFonts w:cs="Arial"/>
                <w:b/>
                <w:color w:val="000000" w:themeColor="text1"/>
                <w:szCs w:val="16"/>
              </w:rPr>
            </w:pPr>
            <w:r w:rsidRPr="00781112">
              <w:rPr>
                <w:rFonts w:cs="Arial"/>
                <w:b/>
                <w:color w:val="000000" w:themeColor="text1"/>
                <w:szCs w:val="16"/>
              </w:rPr>
              <w:t>3</w:t>
            </w:r>
          </w:p>
        </w:tc>
        <w:tc>
          <w:tcPr>
            <w:tcW w:w="863" w:type="pct"/>
          </w:tcPr>
          <w:p w14:paraId="43D1389C" w14:textId="51E4E6FF" w:rsidR="00E25159" w:rsidRPr="00781112" w:rsidRDefault="002E763A" w:rsidP="009C613A">
            <w:pPr>
              <w:spacing w:after="0"/>
              <w:jc w:val="center"/>
              <w:rPr>
                <w:rFonts w:cs="Arial"/>
                <w:b/>
                <w:color w:val="000000" w:themeColor="text1"/>
                <w:szCs w:val="16"/>
              </w:rPr>
            </w:pPr>
            <w:r w:rsidRPr="00781112">
              <w:rPr>
                <w:rFonts w:cs="Arial"/>
                <w:b/>
                <w:color w:val="000000" w:themeColor="text1"/>
                <w:szCs w:val="16"/>
              </w:rPr>
              <w:t>4</w:t>
            </w:r>
          </w:p>
        </w:tc>
        <w:tc>
          <w:tcPr>
            <w:tcW w:w="863" w:type="pct"/>
            <w:shd w:val="clear" w:color="auto" w:fill="auto"/>
          </w:tcPr>
          <w:p w14:paraId="5BF9C35D" w14:textId="53AE3D4B" w:rsidR="00E25159" w:rsidRPr="00781112" w:rsidRDefault="002E763A" w:rsidP="009C613A">
            <w:pPr>
              <w:spacing w:after="0"/>
              <w:jc w:val="center"/>
              <w:rPr>
                <w:rFonts w:cs="Arial"/>
                <w:b/>
                <w:color w:val="000000" w:themeColor="text1"/>
                <w:szCs w:val="16"/>
              </w:rPr>
            </w:pPr>
            <w:r w:rsidRPr="00781112">
              <w:rPr>
                <w:rFonts w:cs="Arial"/>
                <w:b/>
                <w:color w:val="000000" w:themeColor="text1"/>
                <w:szCs w:val="16"/>
              </w:rPr>
              <w:t>5</w:t>
            </w:r>
          </w:p>
        </w:tc>
        <w:tc>
          <w:tcPr>
            <w:tcW w:w="860" w:type="pct"/>
          </w:tcPr>
          <w:p w14:paraId="61BA1D5F" w14:textId="4D953D5F" w:rsidR="00E25159" w:rsidRPr="00781112" w:rsidRDefault="00BB48E9" w:rsidP="009C613A">
            <w:pPr>
              <w:spacing w:after="0"/>
              <w:jc w:val="center"/>
              <w:rPr>
                <w:rFonts w:cs="Arial"/>
                <w:b/>
                <w:color w:val="000000" w:themeColor="text1"/>
                <w:szCs w:val="16"/>
              </w:rPr>
            </w:pPr>
            <w:r w:rsidRPr="00781112">
              <w:rPr>
                <w:rFonts w:cs="Arial"/>
                <w:b/>
                <w:szCs w:val="16"/>
              </w:rPr>
              <w:t>3 through 5 - Total</w:t>
            </w:r>
          </w:p>
        </w:tc>
      </w:tr>
      <w:tr w:rsidR="00DC09CA" w:rsidRPr="00781112" w14:paraId="4FFA6181" w14:textId="716A2CB6" w:rsidTr="00360DD6">
        <w:trPr>
          <w:cantSplit/>
        </w:trPr>
        <w:tc>
          <w:tcPr>
            <w:tcW w:w="1551" w:type="pct"/>
            <w:shd w:val="clear" w:color="auto" w:fill="auto"/>
            <w:vAlign w:val="bottom"/>
          </w:tcPr>
          <w:p w14:paraId="0C7ED212" w14:textId="5E72519E" w:rsidR="00DC09CA" w:rsidRPr="00781112" w:rsidRDefault="00DC09CA" w:rsidP="00DC09CA">
            <w:pPr>
              <w:rPr>
                <w:rFonts w:cs="Arial"/>
                <w:color w:val="000000" w:themeColor="text1"/>
                <w:szCs w:val="16"/>
              </w:rPr>
            </w:pPr>
            <w:r w:rsidRPr="00781112">
              <w:rPr>
                <w:rFonts w:cs="Arial"/>
                <w:color w:val="000000" w:themeColor="text1"/>
                <w:szCs w:val="16"/>
              </w:rPr>
              <w:t>Total number of children with IEPs</w:t>
            </w:r>
          </w:p>
        </w:tc>
        <w:tc>
          <w:tcPr>
            <w:tcW w:w="863" w:type="pct"/>
            <w:vAlign w:val="bottom"/>
          </w:tcPr>
          <w:p w14:paraId="20DD7859" w14:textId="2613E52D" w:rsidR="00DC09CA" w:rsidRPr="00781112" w:rsidRDefault="00DC09CA" w:rsidP="00DC09CA">
            <w:pPr>
              <w:jc w:val="center"/>
              <w:rPr>
                <w:rFonts w:cs="Arial"/>
                <w:color w:val="000000" w:themeColor="text1"/>
                <w:szCs w:val="16"/>
              </w:rPr>
            </w:pPr>
            <w:r w:rsidRPr="00781112">
              <w:rPr>
                <w:rFonts w:cs="Arial"/>
                <w:color w:val="000000" w:themeColor="text1"/>
                <w:szCs w:val="16"/>
              </w:rPr>
              <w:t>3,393</w:t>
            </w:r>
          </w:p>
        </w:tc>
        <w:tc>
          <w:tcPr>
            <w:tcW w:w="863" w:type="pct"/>
          </w:tcPr>
          <w:p w14:paraId="05D687A1" w14:textId="615962C4" w:rsidR="00DC09CA" w:rsidRPr="00781112" w:rsidRDefault="00DC09CA" w:rsidP="00DC09CA">
            <w:pPr>
              <w:jc w:val="center"/>
              <w:rPr>
                <w:rFonts w:cs="Arial"/>
                <w:color w:val="000000" w:themeColor="text1"/>
                <w:szCs w:val="16"/>
              </w:rPr>
            </w:pPr>
            <w:r w:rsidRPr="00781112">
              <w:rPr>
                <w:rFonts w:cs="Arial"/>
                <w:color w:val="000000" w:themeColor="text1"/>
                <w:szCs w:val="16"/>
              </w:rPr>
              <w:t>4,650</w:t>
            </w:r>
          </w:p>
        </w:tc>
        <w:tc>
          <w:tcPr>
            <w:tcW w:w="863" w:type="pct"/>
            <w:shd w:val="clear" w:color="auto" w:fill="auto"/>
          </w:tcPr>
          <w:p w14:paraId="784DA572" w14:textId="619FE690" w:rsidR="00DC09CA" w:rsidRPr="00781112" w:rsidRDefault="00DC09CA" w:rsidP="00DC09CA">
            <w:pPr>
              <w:jc w:val="center"/>
              <w:rPr>
                <w:rFonts w:cs="Arial"/>
                <w:color w:val="000000" w:themeColor="text1"/>
                <w:szCs w:val="16"/>
              </w:rPr>
            </w:pPr>
            <w:r w:rsidRPr="00781112">
              <w:rPr>
                <w:rFonts w:cs="Arial"/>
                <w:color w:val="000000" w:themeColor="text1"/>
                <w:szCs w:val="16"/>
              </w:rPr>
              <w:t>1,065</w:t>
            </w:r>
          </w:p>
        </w:tc>
        <w:tc>
          <w:tcPr>
            <w:tcW w:w="860" w:type="pct"/>
            <w:vAlign w:val="bottom"/>
          </w:tcPr>
          <w:p w14:paraId="11422879" w14:textId="0ABA0049" w:rsidR="00DC09CA" w:rsidRPr="00781112" w:rsidRDefault="00DC09CA" w:rsidP="00DC09CA">
            <w:pPr>
              <w:jc w:val="center"/>
              <w:rPr>
                <w:rFonts w:cs="Arial"/>
                <w:color w:val="000000" w:themeColor="text1"/>
                <w:szCs w:val="16"/>
              </w:rPr>
            </w:pPr>
            <w:r w:rsidRPr="00781112">
              <w:rPr>
                <w:rFonts w:cs="Arial"/>
                <w:color w:val="000000" w:themeColor="text1"/>
                <w:szCs w:val="16"/>
              </w:rPr>
              <w:t>9,108</w:t>
            </w:r>
          </w:p>
        </w:tc>
      </w:tr>
      <w:tr w:rsidR="00AA6D68" w:rsidRPr="00781112" w14:paraId="60B80599" w14:textId="5C935507" w:rsidTr="00360DD6">
        <w:trPr>
          <w:cantSplit/>
        </w:trPr>
        <w:tc>
          <w:tcPr>
            <w:tcW w:w="1551" w:type="pct"/>
            <w:shd w:val="clear" w:color="auto" w:fill="auto"/>
            <w:vAlign w:val="bottom"/>
          </w:tcPr>
          <w:p w14:paraId="143C4F1B" w14:textId="07512ED2" w:rsidR="00AA6D68" w:rsidRPr="00781112" w:rsidRDefault="00AA6D68" w:rsidP="00AA6D68">
            <w:pPr>
              <w:rPr>
                <w:rFonts w:cs="Arial"/>
                <w:color w:val="000000" w:themeColor="text1"/>
                <w:szCs w:val="16"/>
              </w:rPr>
            </w:pPr>
            <w:r w:rsidRPr="00781112">
              <w:rPr>
                <w:rFonts w:cs="Arial"/>
                <w:color w:val="000000" w:themeColor="text1"/>
                <w:szCs w:val="16"/>
              </w:rPr>
              <w:t xml:space="preserve">a1. Number of children attending a regular early childhood program and receiving </w:t>
            </w:r>
            <w:proofErr w:type="gramStart"/>
            <w:r w:rsidRPr="00781112">
              <w:rPr>
                <w:rFonts w:cs="Arial"/>
                <w:color w:val="000000" w:themeColor="text1"/>
                <w:szCs w:val="16"/>
              </w:rPr>
              <w:t>the majority of</w:t>
            </w:r>
            <w:proofErr w:type="gramEnd"/>
            <w:r w:rsidRPr="00781112">
              <w:rPr>
                <w:rFonts w:cs="Arial"/>
                <w:color w:val="000000" w:themeColor="text1"/>
                <w:szCs w:val="16"/>
              </w:rPr>
              <w:t xml:space="preserve"> special education and related services in the regular early childhood program</w:t>
            </w:r>
          </w:p>
        </w:tc>
        <w:tc>
          <w:tcPr>
            <w:tcW w:w="863" w:type="pct"/>
            <w:vAlign w:val="bottom"/>
          </w:tcPr>
          <w:p w14:paraId="659D2B47" w14:textId="4A180B03" w:rsidR="00AA6D68" w:rsidRPr="00781112" w:rsidRDefault="00AA6D68" w:rsidP="00AA6D68">
            <w:pPr>
              <w:jc w:val="center"/>
              <w:rPr>
                <w:rFonts w:cs="Arial"/>
                <w:color w:val="000000" w:themeColor="text1"/>
                <w:szCs w:val="16"/>
              </w:rPr>
            </w:pPr>
            <w:r w:rsidRPr="00781112">
              <w:rPr>
                <w:rFonts w:cs="Arial"/>
                <w:color w:val="000000" w:themeColor="text1"/>
                <w:szCs w:val="16"/>
              </w:rPr>
              <w:t>3,157</w:t>
            </w:r>
          </w:p>
        </w:tc>
        <w:tc>
          <w:tcPr>
            <w:tcW w:w="863" w:type="pct"/>
            <w:vAlign w:val="bottom"/>
          </w:tcPr>
          <w:p w14:paraId="2D2F33A9" w14:textId="09F0EE8B" w:rsidR="00AA6D68" w:rsidRPr="00781112" w:rsidRDefault="00AA6D68" w:rsidP="00AA6D68">
            <w:pPr>
              <w:jc w:val="center"/>
              <w:rPr>
                <w:rFonts w:cs="Arial"/>
                <w:color w:val="000000" w:themeColor="text1"/>
                <w:szCs w:val="16"/>
              </w:rPr>
            </w:pPr>
            <w:r w:rsidRPr="00781112">
              <w:rPr>
                <w:rFonts w:cs="Arial"/>
                <w:color w:val="000000" w:themeColor="text1"/>
                <w:szCs w:val="16"/>
              </w:rPr>
              <w:t>4,284</w:t>
            </w:r>
          </w:p>
        </w:tc>
        <w:tc>
          <w:tcPr>
            <w:tcW w:w="863" w:type="pct"/>
            <w:shd w:val="clear" w:color="auto" w:fill="auto"/>
            <w:vAlign w:val="bottom"/>
          </w:tcPr>
          <w:p w14:paraId="68B37A39" w14:textId="60285701" w:rsidR="00AA6D68" w:rsidRPr="00781112" w:rsidRDefault="00AA6D68" w:rsidP="00AA6D68">
            <w:pPr>
              <w:jc w:val="center"/>
              <w:rPr>
                <w:rFonts w:cs="Arial"/>
                <w:color w:val="000000" w:themeColor="text1"/>
                <w:szCs w:val="16"/>
              </w:rPr>
            </w:pPr>
            <w:r w:rsidRPr="00781112">
              <w:rPr>
                <w:rFonts w:cs="Arial"/>
                <w:color w:val="000000" w:themeColor="text1"/>
                <w:szCs w:val="16"/>
              </w:rPr>
              <w:t>968</w:t>
            </w:r>
          </w:p>
        </w:tc>
        <w:tc>
          <w:tcPr>
            <w:tcW w:w="860" w:type="pct"/>
            <w:vAlign w:val="bottom"/>
          </w:tcPr>
          <w:p w14:paraId="1B31D3BF" w14:textId="343E52C8" w:rsidR="00AA6D68" w:rsidRPr="00781112" w:rsidRDefault="00AA6D68" w:rsidP="00AA6D68">
            <w:pPr>
              <w:jc w:val="center"/>
              <w:rPr>
                <w:rFonts w:cs="Arial"/>
                <w:color w:val="000000" w:themeColor="text1"/>
                <w:szCs w:val="16"/>
              </w:rPr>
            </w:pPr>
            <w:r w:rsidRPr="00781112">
              <w:rPr>
                <w:rFonts w:cs="Arial"/>
                <w:color w:val="000000" w:themeColor="text1"/>
                <w:szCs w:val="16"/>
              </w:rPr>
              <w:t>8,409</w:t>
            </w:r>
          </w:p>
        </w:tc>
      </w:tr>
      <w:tr w:rsidR="00AA6D68" w:rsidRPr="00781112" w14:paraId="582B62E7" w14:textId="4FE061F8" w:rsidTr="00360DD6">
        <w:trPr>
          <w:cantSplit/>
        </w:trPr>
        <w:tc>
          <w:tcPr>
            <w:tcW w:w="1551" w:type="pct"/>
            <w:shd w:val="clear" w:color="auto" w:fill="auto"/>
            <w:vAlign w:val="bottom"/>
          </w:tcPr>
          <w:p w14:paraId="446012AB" w14:textId="507DD720" w:rsidR="00AA6D68" w:rsidRPr="00781112" w:rsidRDefault="00AA6D68" w:rsidP="00AA6D68">
            <w:pPr>
              <w:rPr>
                <w:rFonts w:cs="Arial"/>
                <w:color w:val="000000" w:themeColor="text1"/>
                <w:szCs w:val="16"/>
              </w:rPr>
            </w:pPr>
            <w:r w:rsidRPr="00781112">
              <w:rPr>
                <w:rFonts w:cs="Arial"/>
                <w:color w:val="000000" w:themeColor="text1"/>
                <w:szCs w:val="16"/>
              </w:rPr>
              <w:t>b1. Number of children attending separate special education class</w:t>
            </w:r>
          </w:p>
        </w:tc>
        <w:tc>
          <w:tcPr>
            <w:tcW w:w="863" w:type="pct"/>
            <w:vAlign w:val="bottom"/>
          </w:tcPr>
          <w:p w14:paraId="5B37B0B3" w14:textId="176B3EE5" w:rsidR="00AA6D68" w:rsidRPr="00781112" w:rsidRDefault="00AA6D68" w:rsidP="00AA6D68">
            <w:pPr>
              <w:jc w:val="center"/>
              <w:rPr>
                <w:rFonts w:cs="Arial"/>
                <w:color w:val="000000" w:themeColor="text1"/>
                <w:szCs w:val="16"/>
              </w:rPr>
            </w:pPr>
            <w:r w:rsidRPr="00781112">
              <w:rPr>
                <w:rFonts w:cs="Arial"/>
                <w:color w:val="000000" w:themeColor="text1"/>
                <w:szCs w:val="16"/>
              </w:rPr>
              <w:t>73</w:t>
            </w:r>
          </w:p>
        </w:tc>
        <w:tc>
          <w:tcPr>
            <w:tcW w:w="863" w:type="pct"/>
            <w:vAlign w:val="bottom"/>
          </w:tcPr>
          <w:p w14:paraId="649C86D1" w14:textId="317BBD6C" w:rsidR="00AA6D68" w:rsidRPr="00781112" w:rsidRDefault="00AA6D68" w:rsidP="00AA6D68">
            <w:pPr>
              <w:jc w:val="center"/>
              <w:rPr>
                <w:rFonts w:cs="Arial"/>
                <w:color w:val="000000" w:themeColor="text1"/>
                <w:szCs w:val="16"/>
              </w:rPr>
            </w:pPr>
            <w:r w:rsidRPr="00781112">
              <w:rPr>
                <w:rFonts w:cs="Arial"/>
                <w:color w:val="000000" w:themeColor="text1"/>
                <w:szCs w:val="16"/>
              </w:rPr>
              <w:t>68</w:t>
            </w:r>
          </w:p>
        </w:tc>
        <w:tc>
          <w:tcPr>
            <w:tcW w:w="863" w:type="pct"/>
            <w:shd w:val="clear" w:color="auto" w:fill="auto"/>
            <w:vAlign w:val="bottom"/>
          </w:tcPr>
          <w:p w14:paraId="34B911BF" w14:textId="069E997C" w:rsidR="00AA6D68" w:rsidRPr="00781112" w:rsidRDefault="00AA6D68" w:rsidP="00AA6D68">
            <w:pPr>
              <w:jc w:val="center"/>
              <w:rPr>
                <w:rFonts w:cs="Arial"/>
                <w:color w:val="000000" w:themeColor="text1"/>
                <w:szCs w:val="16"/>
              </w:rPr>
            </w:pPr>
            <w:r w:rsidRPr="00781112">
              <w:rPr>
                <w:rFonts w:cs="Arial"/>
                <w:color w:val="000000" w:themeColor="text1"/>
                <w:szCs w:val="16"/>
              </w:rPr>
              <w:t>14</w:t>
            </w:r>
          </w:p>
        </w:tc>
        <w:tc>
          <w:tcPr>
            <w:tcW w:w="860" w:type="pct"/>
            <w:vAlign w:val="bottom"/>
          </w:tcPr>
          <w:p w14:paraId="6E1B5396" w14:textId="55FA87AA" w:rsidR="00AA6D68" w:rsidRPr="00781112" w:rsidRDefault="00AA6D68" w:rsidP="00AA6D68">
            <w:pPr>
              <w:jc w:val="center"/>
              <w:rPr>
                <w:rFonts w:cs="Arial"/>
                <w:color w:val="000000" w:themeColor="text1"/>
                <w:szCs w:val="16"/>
              </w:rPr>
            </w:pPr>
            <w:r w:rsidRPr="00781112">
              <w:rPr>
                <w:rFonts w:cs="Arial"/>
                <w:color w:val="000000" w:themeColor="text1"/>
                <w:szCs w:val="16"/>
              </w:rPr>
              <w:t>155</w:t>
            </w:r>
          </w:p>
        </w:tc>
      </w:tr>
      <w:tr w:rsidR="00AA6D68" w:rsidRPr="00781112" w14:paraId="5F08FCEF" w14:textId="35AA1AA1" w:rsidTr="00360DD6">
        <w:trPr>
          <w:cantSplit/>
        </w:trPr>
        <w:tc>
          <w:tcPr>
            <w:tcW w:w="1551" w:type="pct"/>
            <w:shd w:val="clear" w:color="auto" w:fill="auto"/>
            <w:vAlign w:val="bottom"/>
          </w:tcPr>
          <w:p w14:paraId="3C415E88" w14:textId="06B2C03E" w:rsidR="00AA6D68" w:rsidRPr="00781112" w:rsidRDefault="00AA6D68" w:rsidP="00AA6D68">
            <w:pPr>
              <w:rPr>
                <w:rFonts w:cs="Arial"/>
                <w:color w:val="000000" w:themeColor="text1"/>
                <w:szCs w:val="16"/>
              </w:rPr>
            </w:pPr>
            <w:r w:rsidRPr="00781112">
              <w:rPr>
                <w:rFonts w:cs="Arial"/>
                <w:color w:val="000000" w:themeColor="text1"/>
                <w:szCs w:val="16"/>
              </w:rPr>
              <w:t>b2. Number of children attending separate school</w:t>
            </w:r>
          </w:p>
        </w:tc>
        <w:tc>
          <w:tcPr>
            <w:tcW w:w="863" w:type="pct"/>
            <w:vAlign w:val="bottom"/>
          </w:tcPr>
          <w:p w14:paraId="0B0C493F" w14:textId="085891A4" w:rsidR="00AA6D68" w:rsidRPr="00781112" w:rsidRDefault="00AA6D68" w:rsidP="00AA6D68">
            <w:pPr>
              <w:jc w:val="center"/>
              <w:rPr>
                <w:rFonts w:cs="Arial"/>
                <w:color w:val="000000" w:themeColor="text1"/>
                <w:szCs w:val="16"/>
              </w:rPr>
            </w:pPr>
            <w:r w:rsidRPr="00781112">
              <w:rPr>
                <w:rFonts w:cs="Arial"/>
                <w:color w:val="000000" w:themeColor="text1"/>
                <w:szCs w:val="16"/>
              </w:rPr>
              <w:t>13</w:t>
            </w:r>
          </w:p>
        </w:tc>
        <w:tc>
          <w:tcPr>
            <w:tcW w:w="863" w:type="pct"/>
            <w:vAlign w:val="bottom"/>
          </w:tcPr>
          <w:p w14:paraId="7F83F331" w14:textId="1A8FD76D" w:rsidR="00AA6D68" w:rsidRPr="00781112" w:rsidRDefault="00AA6D68" w:rsidP="00AA6D68">
            <w:pPr>
              <w:jc w:val="center"/>
              <w:rPr>
                <w:rFonts w:cs="Arial"/>
                <w:color w:val="000000" w:themeColor="text1"/>
                <w:szCs w:val="16"/>
              </w:rPr>
            </w:pPr>
            <w:r w:rsidRPr="00781112">
              <w:rPr>
                <w:rFonts w:cs="Arial"/>
                <w:color w:val="000000" w:themeColor="text1"/>
                <w:szCs w:val="16"/>
              </w:rPr>
              <w:t>18</w:t>
            </w:r>
          </w:p>
        </w:tc>
        <w:tc>
          <w:tcPr>
            <w:tcW w:w="863" w:type="pct"/>
            <w:shd w:val="clear" w:color="auto" w:fill="auto"/>
            <w:vAlign w:val="bottom"/>
          </w:tcPr>
          <w:p w14:paraId="32D467B1" w14:textId="0D72CE8A" w:rsidR="00AA6D68" w:rsidRPr="00781112" w:rsidRDefault="00AA6D68" w:rsidP="00AA6D68">
            <w:pPr>
              <w:jc w:val="center"/>
              <w:rPr>
                <w:rFonts w:cs="Arial"/>
                <w:color w:val="000000" w:themeColor="text1"/>
                <w:szCs w:val="16"/>
              </w:rPr>
            </w:pPr>
            <w:r w:rsidRPr="00781112">
              <w:rPr>
                <w:rFonts w:cs="Arial"/>
                <w:color w:val="000000" w:themeColor="text1"/>
                <w:szCs w:val="16"/>
              </w:rPr>
              <w:t>4</w:t>
            </w:r>
          </w:p>
        </w:tc>
        <w:tc>
          <w:tcPr>
            <w:tcW w:w="860" w:type="pct"/>
            <w:vAlign w:val="bottom"/>
          </w:tcPr>
          <w:p w14:paraId="59CC5F97" w14:textId="073369C4" w:rsidR="00AA6D68" w:rsidRPr="00781112" w:rsidRDefault="00AA6D68" w:rsidP="00AA6D68">
            <w:pPr>
              <w:jc w:val="center"/>
              <w:rPr>
                <w:rFonts w:cs="Arial"/>
                <w:color w:val="000000" w:themeColor="text1"/>
                <w:szCs w:val="16"/>
              </w:rPr>
            </w:pPr>
            <w:r w:rsidRPr="00781112">
              <w:rPr>
                <w:rFonts w:cs="Arial"/>
                <w:color w:val="000000" w:themeColor="text1"/>
                <w:szCs w:val="16"/>
              </w:rPr>
              <w:t>35</w:t>
            </w:r>
          </w:p>
        </w:tc>
      </w:tr>
      <w:tr w:rsidR="00AA6D68" w:rsidRPr="00781112" w14:paraId="285801C1" w14:textId="545BB6C5" w:rsidTr="00360DD6">
        <w:trPr>
          <w:cantSplit/>
        </w:trPr>
        <w:tc>
          <w:tcPr>
            <w:tcW w:w="1551" w:type="pct"/>
            <w:shd w:val="clear" w:color="auto" w:fill="auto"/>
            <w:vAlign w:val="bottom"/>
          </w:tcPr>
          <w:p w14:paraId="4D90BA5B" w14:textId="1285C74B" w:rsidR="00AA6D68" w:rsidRPr="00781112" w:rsidRDefault="00AA6D68" w:rsidP="00AA6D68">
            <w:pPr>
              <w:rPr>
                <w:rFonts w:cs="Arial"/>
                <w:color w:val="000000" w:themeColor="text1"/>
                <w:szCs w:val="16"/>
              </w:rPr>
            </w:pPr>
            <w:r w:rsidRPr="00781112">
              <w:rPr>
                <w:rFonts w:cs="Arial"/>
                <w:color w:val="000000" w:themeColor="text1"/>
                <w:szCs w:val="16"/>
              </w:rPr>
              <w:t>b3. Number of children attending residential facility</w:t>
            </w:r>
          </w:p>
        </w:tc>
        <w:tc>
          <w:tcPr>
            <w:tcW w:w="863" w:type="pct"/>
            <w:vAlign w:val="bottom"/>
          </w:tcPr>
          <w:p w14:paraId="10FA71B8" w14:textId="48D7E7C4" w:rsidR="00AA6D68" w:rsidRPr="00781112" w:rsidRDefault="00AA6D68" w:rsidP="00AA6D68">
            <w:pPr>
              <w:jc w:val="center"/>
              <w:rPr>
                <w:rFonts w:cs="Arial"/>
                <w:color w:val="000000" w:themeColor="text1"/>
                <w:szCs w:val="16"/>
              </w:rPr>
            </w:pPr>
            <w:r w:rsidRPr="00781112">
              <w:rPr>
                <w:rFonts w:cs="Arial"/>
                <w:color w:val="000000" w:themeColor="text1"/>
                <w:szCs w:val="16"/>
              </w:rPr>
              <w:t>0</w:t>
            </w:r>
          </w:p>
        </w:tc>
        <w:tc>
          <w:tcPr>
            <w:tcW w:w="863" w:type="pct"/>
            <w:vAlign w:val="bottom"/>
          </w:tcPr>
          <w:p w14:paraId="3DF044A6" w14:textId="3BE72431" w:rsidR="00AA6D68" w:rsidRPr="00781112" w:rsidRDefault="00AA6D68" w:rsidP="00AA6D68">
            <w:pPr>
              <w:jc w:val="center"/>
              <w:rPr>
                <w:rFonts w:cs="Arial"/>
                <w:color w:val="000000" w:themeColor="text1"/>
                <w:szCs w:val="16"/>
              </w:rPr>
            </w:pPr>
            <w:r w:rsidRPr="00781112">
              <w:rPr>
                <w:rFonts w:cs="Arial"/>
                <w:color w:val="000000" w:themeColor="text1"/>
                <w:szCs w:val="16"/>
              </w:rPr>
              <w:t>0</w:t>
            </w:r>
          </w:p>
        </w:tc>
        <w:tc>
          <w:tcPr>
            <w:tcW w:w="863" w:type="pct"/>
            <w:shd w:val="clear" w:color="auto" w:fill="auto"/>
            <w:vAlign w:val="bottom"/>
          </w:tcPr>
          <w:p w14:paraId="444A24A0" w14:textId="086A4938" w:rsidR="00AA6D68" w:rsidRPr="00781112" w:rsidRDefault="00AA6D68" w:rsidP="00AA6D68">
            <w:pPr>
              <w:jc w:val="center"/>
              <w:rPr>
                <w:rFonts w:cs="Arial"/>
                <w:color w:val="000000" w:themeColor="text1"/>
                <w:szCs w:val="16"/>
              </w:rPr>
            </w:pPr>
            <w:r w:rsidRPr="00781112">
              <w:rPr>
                <w:rFonts w:cs="Arial"/>
                <w:color w:val="000000" w:themeColor="text1"/>
                <w:szCs w:val="16"/>
              </w:rPr>
              <w:t>0</w:t>
            </w:r>
          </w:p>
        </w:tc>
        <w:tc>
          <w:tcPr>
            <w:tcW w:w="860" w:type="pct"/>
            <w:vAlign w:val="bottom"/>
          </w:tcPr>
          <w:p w14:paraId="5D7F86B2" w14:textId="5A6D31FC" w:rsidR="00AA6D68" w:rsidRPr="00781112" w:rsidRDefault="00AA6D68" w:rsidP="00AA6D68">
            <w:pPr>
              <w:jc w:val="center"/>
              <w:rPr>
                <w:rFonts w:cs="Arial"/>
                <w:color w:val="000000" w:themeColor="text1"/>
                <w:szCs w:val="16"/>
              </w:rPr>
            </w:pPr>
            <w:r w:rsidRPr="00781112">
              <w:rPr>
                <w:rFonts w:cs="Arial"/>
                <w:color w:val="000000" w:themeColor="text1"/>
                <w:szCs w:val="16"/>
              </w:rPr>
              <w:t>0</w:t>
            </w:r>
          </w:p>
        </w:tc>
      </w:tr>
      <w:tr w:rsidR="00AA6D68" w:rsidRPr="00781112" w14:paraId="162FD575" w14:textId="77777777" w:rsidTr="00360DD6">
        <w:trPr>
          <w:cantSplit/>
        </w:trPr>
        <w:tc>
          <w:tcPr>
            <w:tcW w:w="1551" w:type="pct"/>
            <w:shd w:val="clear" w:color="auto" w:fill="auto"/>
          </w:tcPr>
          <w:p w14:paraId="469B81A7" w14:textId="048681D7" w:rsidR="00AA6D68" w:rsidRPr="00781112" w:rsidRDefault="00AA6D68" w:rsidP="00AA6D68">
            <w:pPr>
              <w:rPr>
                <w:rFonts w:cs="Arial"/>
                <w:color w:val="000000" w:themeColor="text1"/>
                <w:szCs w:val="16"/>
              </w:rPr>
            </w:pPr>
            <w:r w:rsidRPr="00781112">
              <w:rPr>
                <w:rFonts w:cs="Arial"/>
                <w:color w:val="000000"/>
                <w:szCs w:val="16"/>
              </w:rPr>
              <w:t>c1</w:t>
            </w:r>
            <w:r w:rsidRPr="00781112">
              <w:rPr>
                <w:rFonts w:cs="Arial"/>
                <w:b/>
                <w:bCs/>
                <w:color w:val="000000"/>
                <w:szCs w:val="16"/>
              </w:rPr>
              <w:t xml:space="preserve">. </w:t>
            </w:r>
            <w:r w:rsidRPr="00781112">
              <w:rPr>
                <w:rFonts w:cs="Arial"/>
                <w:color w:val="000000"/>
                <w:szCs w:val="16"/>
              </w:rPr>
              <w:t>Number</w:t>
            </w:r>
            <w:r w:rsidRPr="00781112">
              <w:rPr>
                <w:rFonts w:cs="Arial"/>
                <w:b/>
                <w:bCs/>
                <w:color w:val="000000"/>
                <w:szCs w:val="16"/>
              </w:rPr>
              <w:t xml:space="preserve"> </w:t>
            </w:r>
            <w:r w:rsidRPr="00781112">
              <w:rPr>
                <w:rFonts w:cs="Arial"/>
                <w:color w:val="000000"/>
                <w:szCs w:val="16"/>
              </w:rPr>
              <w:t xml:space="preserve">of children receiving </w:t>
            </w:r>
            <w:r w:rsidRPr="00781112">
              <w:rPr>
                <w:rFonts w:cs="Arial"/>
                <w:szCs w:val="16"/>
              </w:rPr>
              <w:t>special education and related services in the home</w:t>
            </w:r>
          </w:p>
        </w:tc>
        <w:tc>
          <w:tcPr>
            <w:tcW w:w="863" w:type="pct"/>
            <w:vAlign w:val="bottom"/>
          </w:tcPr>
          <w:p w14:paraId="56C9B5B7" w14:textId="065E27FB" w:rsidR="00AA6D68" w:rsidRPr="00781112" w:rsidRDefault="00AA6D68" w:rsidP="00AA6D68">
            <w:pPr>
              <w:jc w:val="center"/>
              <w:rPr>
                <w:rFonts w:cs="Arial"/>
                <w:color w:val="000000" w:themeColor="text1"/>
                <w:szCs w:val="16"/>
              </w:rPr>
            </w:pPr>
            <w:r w:rsidRPr="00781112">
              <w:rPr>
                <w:rFonts w:cs="Arial"/>
                <w:color w:val="000000" w:themeColor="text1"/>
                <w:szCs w:val="16"/>
              </w:rPr>
              <w:t>3</w:t>
            </w:r>
          </w:p>
        </w:tc>
        <w:tc>
          <w:tcPr>
            <w:tcW w:w="863" w:type="pct"/>
            <w:vAlign w:val="bottom"/>
          </w:tcPr>
          <w:p w14:paraId="134D035A" w14:textId="14186034" w:rsidR="00AA6D68" w:rsidRPr="00781112" w:rsidRDefault="00AA6D68" w:rsidP="00AA6D68">
            <w:pPr>
              <w:jc w:val="center"/>
              <w:rPr>
                <w:rFonts w:cs="Arial"/>
                <w:color w:val="000000" w:themeColor="text1"/>
                <w:szCs w:val="16"/>
              </w:rPr>
            </w:pPr>
            <w:r w:rsidRPr="00781112">
              <w:rPr>
                <w:rFonts w:cs="Arial"/>
                <w:color w:val="000000" w:themeColor="text1"/>
                <w:szCs w:val="16"/>
              </w:rPr>
              <w:t>4</w:t>
            </w:r>
          </w:p>
        </w:tc>
        <w:tc>
          <w:tcPr>
            <w:tcW w:w="863" w:type="pct"/>
            <w:shd w:val="clear" w:color="auto" w:fill="auto"/>
            <w:vAlign w:val="bottom"/>
          </w:tcPr>
          <w:p w14:paraId="0C864D52" w14:textId="38992EC2" w:rsidR="00AA6D68" w:rsidRPr="00781112" w:rsidDel="00E25159" w:rsidRDefault="00AA6D68" w:rsidP="00AA6D68">
            <w:pPr>
              <w:jc w:val="center"/>
              <w:rPr>
                <w:rFonts w:cs="Arial"/>
                <w:color w:val="000000" w:themeColor="text1"/>
                <w:szCs w:val="16"/>
              </w:rPr>
            </w:pPr>
            <w:r w:rsidRPr="00781112">
              <w:rPr>
                <w:rFonts w:cs="Arial"/>
                <w:color w:val="000000" w:themeColor="text1"/>
                <w:szCs w:val="16"/>
              </w:rPr>
              <w:t>1</w:t>
            </w:r>
          </w:p>
        </w:tc>
        <w:tc>
          <w:tcPr>
            <w:tcW w:w="860" w:type="pct"/>
            <w:vAlign w:val="bottom"/>
          </w:tcPr>
          <w:p w14:paraId="1750EA0E" w14:textId="2B34BC50" w:rsidR="00AA6D68" w:rsidRPr="00781112" w:rsidRDefault="00AA6D68" w:rsidP="00AA6D68">
            <w:pPr>
              <w:jc w:val="center"/>
              <w:rPr>
                <w:rFonts w:cs="Arial"/>
                <w:color w:val="000000" w:themeColor="text1"/>
                <w:szCs w:val="16"/>
              </w:rPr>
            </w:pPr>
            <w:r w:rsidRPr="00781112">
              <w:rPr>
                <w:rFonts w:cs="Arial"/>
                <w:color w:val="000000" w:themeColor="text1"/>
                <w:szCs w:val="16"/>
              </w:rPr>
              <w:t>8</w:t>
            </w:r>
          </w:p>
        </w:tc>
      </w:tr>
    </w:tbl>
    <w:p w14:paraId="68A2C8C5" w14:textId="4EBE62FD" w:rsidR="00AB2A39" w:rsidRPr="00781112" w:rsidRDefault="00AB2A39" w:rsidP="004369B2">
      <w:pPr>
        <w:rPr>
          <w:color w:val="000000" w:themeColor="text1"/>
        </w:rPr>
      </w:pPr>
    </w:p>
    <w:p w14:paraId="051F4366" w14:textId="77777777" w:rsidR="00C910BC" w:rsidRPr="00781112" w:rsidRDefault="00C910BC" w:rsidP="00C910BC">
      <w:pPr>
        <w:rPr>
          <w:b/>
          <w:color w:val="000000" w:themeColor="text1"/>
        </w:rPr>
      </w:pPr>
      <w:r w:rsidRPr="00781112">
        <w:rPr>
          <w:b/>
          <w:color w:val="000000" w:themeColor="text1"/>
        </w:rPr>
        <w:t>Select yes if the data reported in this indicator are not the same as the State’s data reported under section 618 of the IDEA.</w:t>
      </w:r>
    </w:p>
    <w:p w14:paraId="1B696537" w14:textId="29C6B4ED" w:rsidR="00C910BC" w:rsidRPr="00781112" w:rsidRDefault="00C910BC" w:rsidP="00C910BC">
      <w:pPr>
        <w:rPr>
          <w:color w:val="000000" w:themeColor="text1"/>
        </w:rPr>
      </w:pPr>
      <w:r w:rsidRPr="00781112">
        <w:rPr>
          <w:color w:val="000000" w:themeColor="text1"/>
        </w:rPr>
        <w:t>NO</w:t>
      </w:r>
    </w:p>
    <w:p w14:paraId="42C69847" w14:textId="2CAC8037" w:rsidR="002D5ED8" w:rsidRDefault="002D5ED8" w:rsidP="00D16730">
      <w:pPr>
        <w:rPr>
          <w:b/>
          <w:color w:val="000000" w:themeColor="text1"/>
        </w:rPr>
      </w:pPr>
    </w:p>
    <w:p w14:paraId="6C024B4D" w14:textId="77777777" w:rsidR="00D16730" w:rsidRPr="00781112" w:rsidRDefault="00D16730" w:rsidP="007D100A">
      <w:pPr>
        <w:rPr>
          <w:rFonts w:cs="Arial"/>
          <w:color w:val="000000" w:themeColor="text1"/>
          <w:szCs w:val="16"/>
        </w:rPr>
      </w:pPr>
    </w:p>
    <w:p w14:paraId="318E60C6" w14:textId="77777777" w:rsidR="007D100A" w:rsidRPr="00781112" w:rsidRDefault="007D100A" w:rsidP="004369B2">
      <w:pPr>
        <w:rPr>
          <w:b/>
          <w:color w:val="000000" w:themeColor="text1"/>
        </w:rPr>
      </w:pPr>
    </w:p>
    <w:p w14:paraId="0F42B2F6" w14:textId="3F5D228A" w:rsidR="00E60622" w:rsidRPr="00781112" w:rsidRDefault="0047313F" w:rsidP="004369B2">
      <w:pPr>
        <w:rPr>
          <w:b/>
          <w:bCs/>
          <w:color w:val="000000" w:themeColor="text1"/>
        </w:rPr>
      </w:pPr>
      <w:r>
        <w:rPr>
          <w:b/>
          <w:bCs/>
          <w:color w:val="000000" w:themeColor="text1"/>
        </w:rPr>
        <w:t xml:space="preserve">FFY 2022 SPP/APR Data - </w:t>
      </w:r>
      <w:r w:rsidR="00A6295C" w:rsidRPr="00781112">
        <w:rPr>
          <w:rFonts w:cs="Arial"/>
          <w:b/>
          <w:color w:val="000000" w:themeColor="text1"/>
          <w:szCs w:val="16"/>
        </w:rPr>
        <w:t>Aged 3 through 5</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B06AGE3TO5CFFYAPRDATA618"/>
      </w:tblPr>
      <w:tblGrid>
        <w:gridCol w:w="2964"/>
        <w:gridCol w:w="1118"/>
        <w:gridCol w:w="1118"/>
        <w:gridCol w:w="1118"/>
        <w:gridCol w:w="1118"/>
        <w:gridCol w:w="1118"/>
        <w:gridCol w:w="1118"/>
        <w:gridCol w:w="1118"/>
      </w:tblGrid>
      <w:tr w:rsidR="00CC1061" w:rsidRPr="00781112" w14:paraId="38300B51" w14:textId="77777777" w:rsidTr="007239EC">
        <w:trPr>
          <w:trHeight w:val="354"/>
          <w:tblHeader/>
        </w:trPr>
        <w:tc>
          <w:tcPr>
            <w:tcW w:w="1373" w:type="pct"/>
            <w:shd w:val="clear" w:color="auto" w:fill="auto"/>
            <w:vAlign w:val="bottom"/>
          </w:tcPr>
          <w:p w14:paraId="0F38A3C5" w14:textId="3D46820E" w:rsidR="00CC1061" w:rsidRPr="00781112" w:rsidRDefault="00CC1061" w:rsidP="00CC1061">
            <w:pPr>
              <w:jc w:val="center"/>
              <w:rPr>
                <w:rFonts w:cs="Arial"/>
                <w:b/>
                <w:color w:val="000000" w:themeColor="text1"/>
                <w:szCs w:val="16"/>
              </w:rPr>
            </w:pPr>
            <w:r w:rsidRPr="00781112">
              <w:rPr>
                <w:rFonts w:cs="Arial"/>
                <w:b/>
                <w:color w:val="000000" w:themeColor="text1"/>
                <w:szCs w:val="16"/>
              </w:rPr>
              <w:t>Preschool Environments</w:t>
            </w:r>
          </w:p>
        </w:tc>
        <w:tc>
          <w:tcPr>
            <w:tcW w:w="518" w:type="pct"/>
            <w:shd w:val="clear" w:color="auto" w:fill="auto"/>
            <w:vAlign w:val="bottom"/>
          </w:tcPr>
          <w:p w14:paraId="0AEF809B" w14:textId="4D8F18F7" w:rsidR="00CC1061" w:rsidRPr="00781112" w:rsidRDefault="00CC1061" w:rsidP="00CC1061">
            <w:pPr>
              <w:jc w:val="center"/>
              <w:rPr>
                <w:rFonts w:cs="Arial"/>
                <w:b/>
                <w:color w:val="000000" w:themeColor="text1"/>
                <w:szCs w:val="16"/>
              </w:rPr>
            </w:pPr>
            <w:r w:rsidRPr="00781112">
              <w:rPr>
                <w:rFonts w:cs="Arial"/>
                <w:b/>
                <w:color w:val="000000" w:themeColor="text1"/>
                <w:szCs w:val="16"/>
              </w:rPr>
              <w:t>Number of children with IEPs aged 3 through 5 served</w:t>
            </w:r>
          </w:p>
        </w:tc>
        <w:tc>
          <w:tcPr>
            <w:tcW w:w="518" w:type="pct"/>
            <w:shd w:val="clear" w:color="auto" w:fill="auto"/>
            <w:vAlign w:val="bottom"/>
          </w:tcPr>
          <w:p w14:paraId="21256B17" w14:textId="12840CBA" w:rsidR="00CC1061" w:rsidRPr="00781112" w:rsidRDefault="00CC1061" w:rsidP="00CC1061">
            <w:pPr>
              <w:jc w:val="center"/>
              <w:rPr>
                <w:rFonts w:cs="Arial"/>
                <w:b/>
                <w:color w:val="000000" w:themeColor="text1"/>
                <w:szCs w:val="16"/>
              </w:rPr>
            </w:pPr>
            <w:r w:rsidRPr="00781112">
              <w:rPr>
                <w:rFonts w:cs="Arial"/>
                <w:b/>
                <w:color w:val="000000" w:themeColor="text1"/>
                <w:szCs w:val="16"/>
              </w:rPr>
              <w:t>Total number of children with IEPs aged 3 through 5</w:t>
            </w:r>
          </w:p>
        </w:tc>
        <w:tc>
          <w:tcPr>
            <w:tcW w:w="518" w:type="pct"/>
            <w:shd w:val="clear" w:color="auto" w:fill="auto"/>
            <w:vAlign w:val="bottom"/>
          </w:tcPr>
          <w:p w14:paraId="338A0E59" w14:textId="7302E797" w:rsidR="00CC1061" w:rsidRPr="00781112" w:rsidRDefault="00CC1061" w:rsidP="00CC1061">
            <w:pPr>
              <w:jc w:val="center"/>
              <w:rPr>
                <w:rFonts w:cs="Arial"/>
                <w:b/>
                <w:color w:val="000000" w:themeColor="text1"/>
                <w:szCs w:val="16"/>
              </w:rPr>
            </w:pPr>
            <w:r w:rsidRPr="00073BD7">
              <w:rPr>
                <w:b/>
                <w:bCs/>
              </w:rPr>
              <w:t>FFY 2021 Data</w:t>
            </w:r>
          </w:p>
        </w:tc>
        <w:tc>
          <w:tcPr>
            <w:tcW w:w="518" w:type="pct"/>
            <w:shd w:val="clear" w:color="auto" w:fill="auto"/>
            <w:vAlign w:val="bottom"/>
          </w:tcPr>
          <w:p w14:paraId="525540A0" w14:textId="517B756E" w:rsidR="00CC1061" w:rsidRPr="00781112" w:rsidRDefault="00CC1061" w:rsidP="00CC1061">
            <w:pPr>
              <w:jc w:val="center"/>
              <w:rPr>
                <w:rFonts w:cs="Arial"/>
                <w:b/>
                <w:color w:val="000000" w:themeColor="text1"/>
                <w:szCs w:val="16"/>
              </w:rPr>
            </w:pPr>
            <w:r w:rsidRPr="00073BD7">
              <w:rPr>
                <w:b/>
                <w:bCs/>
              </w:rPr>
              <w:t>FFY 2022 Target</w:t>
            </w:r>
          </w:p>
        </w:tc>
        <w:tc>
          <w:tcPr>
            <w:tcW w:w="518" w:type="pct"/>
            <w:shd w:val="clear" w:color="auto" w:fill="auto"/>
            <w:vAlign w:val="bottom"/>
          </w:tcPr>
          <w:p w14:paraId="2B9D213A" w14:textId="0854D442" w:rsidR="00CC1061" w:rsidRPr="00781112" w:rsidRDefault="00CC1061" w:rsidP="00CC1061">
            <w:pPr>
              <w:jc w:val="center"/>
              <w:rPr>
                <w:rFonts w:cs="Arial"/>
                <w:b/>
                <w:color w:val="000000" w:themeColor="text1"/>
                <w:szCs w:val="16"/>
              </w:rPr>
            </w:pPr>
            <w:r w:rsidRPr="00073BD7">
              <w:rPr>
                <w:b/>
                <w:bCs/>
              </w:rPr>
              <w:t>FFY 2022 Data</w:t>
            </w:r>
          </w:p>
        </w:tc>
        <w:tc>
          <w:tcPr>
            <w:tcW w:w="518" w:type="pct"/>
            <w:shd w:val="clear" w:color="auto" w:fill="auto"/>
            <w:vAlign w:val="bottom"/>
          </w:tcPr>
          <w:p w14:paraId="46108583" w14:textId="77777777" w:rsidR="00CC1061" w:rsidRPr="00781112" w:rsidRDefault="00CC1061" w:rsidP="00CC1061">
            <w:pPr>
              <w:jc w:val="center"/>
              <w:rPr>
                <w:rFonts w:cs="Arial"/>
                <w:b/>
                <w:color w:val="000000" w:themeColor="text1"/>
                <w:szCs w:val="16"/>
              </w:rPr>
            </w:pPr>
            <w:r w:rsidRPr="00781112">
              <w:rPr>
                <w:rFonts w:cs="Arial"/>
                <w:b/>
                <w:color w:val="000000" w:themeColor="text1"/>
                <w:szCs w:val="16"/>
              </w:rPr>
              <w:t>Status</w:t>
            </w:r>
          </w:p>
        </w:tc>
        <w:tc>
          <w:tcPr>
            <w:tcW w:w="518" w:type="pct"/>
            <w:shd w:val="clear" w:color="auto" w:fill="auto"/>
            <w:vAlign w:val="bottom"/>
          </w:tcPr>
          <w:p w14:paraId="02DECB75" w14:textId="77777777" w:rsidR="00CC1061" w:rsidRPr="00781112" w:rsidRDefault="00CC1061" w:rsidP="00CC1061">
            <w:pPr>
              <w:jc w:val="center"/>
              <w:rPr>
                <w:rFonts w:cs="Arial"/>
                <w:b/>
                <w:color w:val="000000" w:themeColor="text1"/>
                <w:szCs w:val="16"/>
              </w:rPr>
            </w:pPr>
            <w:r w:rsidRPr="00781112">
              <w:rPr>
                <w:rFonts w:cs="Arial"/>
                <w:b/>
                <w:color w:val="000000" w:themeColor="text1"/>
                <w:szCs w:val="16"/>
              </w:rPr>
              <w:t>Slippage</w:t>
            </w:r>
          </w:p>
        </w:tc>
      </w:tr>
      <w:tr w:rsidR="005C29F8" w:rsidRPr="00781112" w14:paraId="57F8AB2C" w14:textId="77777777" w:rsidTr="007239EC">
        <w:trPr>
          <w:trHeight w:val="917"/>
        </w:trPr>
        <w:tc>
          <w:tcPr>
            <w:tcW w:w="1373" w:type="pct"/>
            <w:shd w:val="clear" w:color="auto" w:fill="auto"/>
            <w:vAlign w:val="center"/>
          </w:tcPr>
          <w:p w14:paraId="262EE4AB" w14:textId="15267873" w:rsidR="00CF6742" w:rsidRPr="00781112" w:rsidRDefault="00CF6742" w:rsidP="00CF6742">
            <w:pPr>
              <w:rPr>
                <w:rFonts w:cs="Arial"/>
                <w:color w:val="000000" w:themeColor="text1"/>
                <w:szCs w:val="16"/>
              </w:rPr>
            </w:pPr>
            <w:r w:rsidRPr="00781112">
              <w:rPr>
                <w:rFonts w:cs="Arial"/>
                <w:color w:val="000000" w:themeColor="text1"/>
                <w:szCs w:val="16"/>
                <w:shd w:val="clear" w:color="auto" w:fill="FFFFFF"/>
              </w:rPr>
              <w:t xml:space="preserve">A. A regular early childhood program and receiving </w:t>
            </w:r>
            <w:proofErr w:type="gramStart"/>
            <w:r w:rsidRPr="00781112">
              <w:rPr>
                <w:rFonts w:cs="Arial"/>
                <w:color w:val="000000" w:themeColor="text1"/>
                <w:szCs w:val="16"/>
                <w:shd w:val="clear" w:color="auto" w:fill="FFFFFF"/>
              </w:rPr>
              <w:t>the majority of</w:t>
            </w:r>
            <w:proofErr w:type="gramEnd"/>
            <w:r w:rsidRPr="00781112">
              <w:rPr>
                <w:rFonts w:cs="Arial"/>
                <w:color w:val="000000" w:themeColor="text1"/>
                <w:szCs w:val="16"/>
                <w:shd w:val="clear" w:color="auto" w:fill="FFFFFF"/>
              </w:rPr>
              <w:t xml:space="preserve"> special education and related services in the regular early childhood program</w:t>
            </w:r>
          </w:p>
        </w:tc>
        <w:tc>
          <w:tcPr>
            <w:tcW w:w="518" w:type="pct"/>
            <w:shd w:val="clear" w:color="auto" w:fill="auto"/>
            <w:vAlign w:val="center"/>
          </w:tcPr>
          <w:p w14:paraId="251726D2" w14:textId="038B4D14" w:rsidR="00CF6742" w:rsidRPr="00781112" w:rsidRDefault="002B7490" w:rsidP="00A018D4">
            <w:pPr>
              <w:jc w:val="center"/>
              <w:rPr>
                <w:rFonts w:cs="Arial"/>
                <w:color w:val="000000" w:themeColor="text1"/>
                <w:szCs w:val="16"/>
              </w:rPr>
            </w:pPr>
            <w:r w:rsidRPr="00781112">
              <w:rPr>
                <w:rFonts w:cs="Arial"/>
                <w:color w:val="000000" w:themeColor="text1"/>
                <w:szCs w:val="16"/>
              </w:rPr>
              <w:t>8,409</w:t>
            </w:r>
          </w:p>
          <w:p w14:paraId="70072E1D" w14:textId="45212F0F" w:rsidR="00CC3A85" w:rsidRPr="00781112" w:rsidRDefault="00CC3A85" w:rsidP="00A018D4">
            <w:pPr>
              <w:jc w:val="center"/>
              <w:rPr>
                <w:rFonts w:cs="Arial"/>
                <w:color w:val="000000" w:themeColor="text1"/>
                <w:szCs w:val="16"/>
              </w:rPr>
            </w:pPr>
          </w:p>
        </w:tc>
        <w:tc>
          <w:tcPr>
            <w:tcW w:w="518" w:type="pct"/>
            <w:shd w:val="clear" w:color="auto" w:fill="auto"/>
            <w:vAlign w:val="center"/>
          </w:tcPr>
          <w:p w14:paraId="5E80FF00" w14:textId="1218B9E8" w:rsidR="00CF6742" w:rsidRPr="00781112" w:rsidRDefault="002B7490" w:rsidP="00A018D4">
            <w:pPr>
              <w:jc w:val="center"/>
              <w:rPr>
                <w:rFonts w:cs="Arial"/>
                <w:color w:val="000000" w:themeColor="text1"/>
                <w:szCs w:val="16"/>
              </w:rPr>
            </w:pPr>
            <w:r w:rsidRPr="00781112">
              <w:rPr>
                <w:rFonts w:cs="Arial"/>
                <w:color w:val="000000" w:themeColor="text1"/>
                <w:szCs w:val="16"/>
              </w:rPr>
              <w:t>9,108</w:t>
            </w:r>
          </w:p>
        </w:tc>
        <w:tc>
          <w:tcPr>
            <w:tcW w:w="518" w:type="pct"/>
            <w:shd w:val="clear" w:color="auto" w:fill="auto"/>
            <w:vAlign w:val="center"/>
          </w:tcPr>
          <w:p w14:paraId="15C39591" w14:textId="59A0B140" w:rsidR="00CF6742" w:rsidRPr="00781112" w:rsidRDefault="002B7490" w:rsidP="00A018D4">
            <w:pPr>
              <w:jc w:val="center"/>
              <w:rPr>
                <w:rFonts w:cs="Arial"/>
                <w:color w:val="000000" w:themeColor="text1"/>
                <w:szCs w:val="16"/>
              </w:rPr>
            </w:pPr>
            <w:r w:rsidRPr="00781112">
              <w:rPr>
                <w:rFonts w:cs="Arial"/>
                <w:color w:val="000000" w:themeColor="text1"/>
                <w:szCs w:val="16"/>
              </w:rPr>
              <w:t>92.00%</w:t>
            </w:r>
          </w:p>
        </w:tc>
        <w:tc>
          <w:tcPr>
            <w:tcW w:w="518" w:type="pct"/>
            <w:shd w:val="clear" w:color="auto" w:fill="auto"/>
            <w:vAlign w:val="center"/>
          </w:tcPr>
          <w:p w14:paraId="0B4DAB1A" w14:textId="6A306EF5" w:rsidR="00CF6742" w:rsidRPr="00781112" w:rsidRDefault="002B7490" w:rsidP="00A018D4">
            <w:pPr>
              <w:jc w:val="center"/>
              <w:rPr>
                <w:rFonts w:cs="Arial"/>
                <w:color w:val="000000" w:themeColor="text1"/>
                <w:szCs w:val="16"/>
              </w:rPr>
            </w:pPr>
            <w:r w:rsidRPr="00781112">
              <w:rPr>
                <w:rFonts w:cs="Arial"/>
                <w:color w:val="000000" w:themeColor="text1"/>
                <w:szCs w:val="16"/>
              </w:rPr>
              <w:t>91.92%</w:t>
            </w:r>
          </w:p>
        </w:tc>
        <w:tc>
          <w:tcPr>
            <w:tcW w:w="518" w:type="pct"/>
            <w:shd w:val="clear" w:color="auto" w:fill="auto"/>
            <w:vAlign w:val="center"/>
          </w:tcPr>
          <w:p w14:paraId="3DA9CC9A" w14:textId="5BC63CA2" w:rsidR="00CF6742" w:rsidRPr="00781112" w:rsidRDefault="002B7490" w:rsidP="00A018D4">
            <w:pPr>
              <w:jc w:val="center"/>
              <w:rPr>
                <w:rFonts w:cs="Arial"/>
                <w:color w:val="000000" w:themeColor="text1"/>
                <w:szCs w:val="16"/>
              </w:rPr>
            </w:pPr>
            <w:r w:rsidRPr="00781112">
              <w:rPr>
                <w:rFonts w:cs="Arial"/>
                <w:color w:val="000000" w:themeColor="text1"/>
                <w:szCs w:val="16"/>
              </w:rPr>
              <w:t>92.33%</w:t>
            </w:r>
          </w:p>
        </w:tc>
        <w:tc>
          <w:tcPr>
            <w:tcW w:w="518" w:type="pct"/>
            <w:shd w:val="clear" w:color="auto" w:fill="auto"/>
            <w:vAlign w:val="center"/>
          </w:tcPr>
          <w:p w14:paraId="361B06B7" w14:textId="5F10F78E" w:rsidR="00CF6742" w:rsidRPr="00781112" w:rsidRDefault="002B7490" w:rsidP="00A018D4">
            <w:pPr>
              <w:jc w:val="center"/>
              <w:rPr>
                <w:rFonts w:cs="Arial"/>
                <w:color w:val="000000" w:themeColor="text1"/>
                <w:szCs w:val="16"/>
              </w:rPr>
            </w:pPr>
            <w:r w:rsidRPr="00781112">
              <w:rPr>
                <w:rFonts w:cs="Arial"/>
                <w:color w:val="000000" w:themeColor="text1"/>
                <w:szCs w:val="16"/>
              </w:rPr>
              <w:t>Met target</w:t>
            </w:r>
          </w:p>
        </w:tc>
        <w:tc>
          <w:tcPr>
            <w:tcW w:w="518" w:type="pct"/>
            <w:shd w:val="clear" w:color="auto" w:fill="auto"/>
            <w:vAlign w:val="center"/>
          </w:tcPr>
          <w:p w14:paraId="45DD5AFE" w14:textId="28F5E139" w:rsidR="00CF6742" w:rsidRPr="00781112" w:rsidRDefault="002B7490" w:rsidP="00A018D4">
            <w:pPr>
              <w:jc w:val="center"/>
              <w:rPr>
                <w:rFonts w:cs="Arial"/>
                <w:color w:val="000000" w:themeColor="text1"/>
                <w:szCs w:val="16"/>
              </w:rPr>
            </w:pPr>
            <w:r w:rsidRPr="00781112">
              <w:rPr>
                <w:rFonts w:cs="Arial"/>
                <w:color w:val="000000" w:themeColor="text1"/>
                <w:szCs w:val="16"/>
              </w:rPr>
              <w:t>No Slippage</w:t>
            </w:r>
          </w:p>
        </w:tc>
      </w:tr>
      <w:tr w:rsidR="005C29F8" w:rsidRPr="00781112" w14:paraId="203C22FB" w14:textId="77777777" w:rsidTr="007239EC">
        <w:trPr>
          <w:trHeight w:val="361"/>
        </w:trPr>
        <w:tc>
          <w:tcPr>
            <w:tcW w:w="1373" w:type="pct"/>
            <w:shd w:val="clear" w:color="auto" w:fill="auto"/>
            <w:vAlign w:val="center"/>
          </w:tcPr>
          <w:p w14:paraId="79CB9C36" w14:textId="6C0925E8" w:rsidR="00CF6742" w:rsidRPr="00781112" w:rsidRDefault="00CF6742" w:rsidP="00CF6742">
            <w:pPr>
              <w:rPr>
                <w:rFonts w:cs="Arial"/>
                <w:color w:val="000000" w:themeColor="text1"/>
                <w:szCs w:val="16"/>
              </w:rPr>
            </w:pPr>
            <w:r w:rsidRPr="00781112">
              <w:rPr>
                <w:rFonts w:cs="Arial"/>
                <w:color w:val="000000" w:themeColor="text1"/>
                <w:szCs w:val="16"/>
                <w:shd w:val="clear" w:color="auto" w:fill="FFFFFF"/>
              </w:rPr>
              <w:t>B. Separate special education class, separate school or residential facility</w:t>
            </w:r>
          </w:p>
        </w:tc>
        <w:tc>
          <w:tcPr>
            <w:tcW w:w="518" w:type="pct"/>
            <w:shd w:val="clear" w:color="auto" w:fill="auto"/>
            <w:vAlign w:val="center"/>
          </w:tcPr>
          <w:p w14:paraId="1334ACAB" w14:textId="7BCE0AFD" w:rsidR="00CF6742" w:rsidRPr="00781112" w:rsidRDefault="002B7490" w:rsidP="00A018D4">
            <w:pPr>
              <w:jc w:val="center"/>
              <w:rPr>
                <w:rFonts w:cs="Arial"/>
                <w:color w:val="000000" w:themeColor="text1"/>
                <w:szCs w:val="16"/>
              </w:rPr>
            </w:pPr>
            <w:r w:rsidRPr="00781112">
              <w:rPr>
                <w:rFonts w:cs="Arial"/>
                <w:color w:val="000000" w:themeColor="text1"/>
                <w:szCs w:val="16"/>
              </w:rPr>
              <w:t>190</w:t>
            </w:r>
          </w:p>
        </w:tc>
        <w:tc>
          <w:tcPr>
            <w:tcW w:w="518" w:type="pct"/>
            <w:shd w:val="clear" w:color="auto" w:fill="auto"/>
            <w:vAlign w:val="center"/>
          </w:tcPr>
          <w:p w14:paraId="66D0E912" w14:textId="2A889076" w:rsidR="00CF6742" w:rsidRPr="00781112" w:rsidRDefault="002B7490" w:rsidP="00A018D4">
            <w:pPr>
              <w:jc w:val="center"/>
              <w:rPr>
                <w:rFonts w:cs="Arial"/>
                <w:color w:val="000000" w:themeColor="text1"/>
                <w:szCs w:val="16"/>
              </w:rPr>
            </w:pPr>
            <w:r w:rsidRPr="00781112">
              <w:rPr>
                <w:rFonts w:cs="Arial"/>
                <w:color w:val="000000" w:themeColor="text1"/>
                <w:szCs w:val="16"/>
              </w:rPr>
              <w:t>9,108</w:t>
            </w:r>
          </w:p>
        </w:tc>
        <w:tc>
          <w:tcPr>
            <w:tcW w:w="518" w:type="pct"/>
            <w:shd w:val="clear" w:color="auto" w:fill="auto"/>
            <w:vAlign w:val="center"/>
          </w:tcPr>
          <w:p w14:paraId="778A4648" w14:textId="541ABEC8" w:rsidR="00CF6742" w:rsidRPr="00781112" w:rsidRDefault="002B7490" w:rsidP="00A018D4">
            <w:pPr>
              <w:jc w:val="center"/>
              <w:rPr>
                <w:rFonts w:cs="Arial"/>
                <w:color w:val="000000" w:themeColor="text1"/>
                <w:szCs w:val="16"/>
              </w:rPr>
            </w:pPr>
            <w:r w:rsidRPr="00781112">
              <w:rPr>
                <w:rFonts w:cs="Arial"/>
                <w:color w:val="000000" w:themeColor="text1"/>
                <w:szCs w:val="16"/>
              </w:rPr>
              <w:t>2.77%</w:t>
            </w:r>
          </w:p>
        </w:tc>
        <w:tc>
          <w:tcPr>
            <w:tcW w:w="518" w:type="pct"/>
            <w:shd w:val="clear" w:color="auto" w:fill="auto"/>
            <w:vAlign w:val="center"/>
          </w:tcPr>
          <w:p w14:paraId="0EB723D5" w14:textId="782750AE" w:rsidR="00CF6742" w:rsidRPr="00781112" w:rsidRDefault="002B7490" w:rsidP="00A018D4">
            <w:pPr>
              <w:jc w:val="center"/>
              <w:rPr>
                <w:rFonts w:cs="Arial"/>
                <w:color w:val="000000" w:themeColor="text1"/>
                <w:szCs w:val="16"/>
              </w:rPr>
            </w:pPr>
            <w:r w:rsidRPr="00781112">
              <w:rPr>
                <w:rFonts w:cs="Arial"/>
                <w:color w:val="000000" w:themeColor="text1"/>
                <w:szCs w:val="16"/>
              </w:rPr>
              <w:t>3.37%</w:t>
            </w:r>
          </w:p>
        </w:tc>
        <w:tc>
          <w:tcPr>
            <w:tcW w:w="518" w:type="pct"/>
            <w:shd w:val="clear" w:color="auto" w:fill="auto"/>
            <w:vAlign w:val="center"/>
          </w:tcPr>
          <w:p w14:paraId="22E6569B" w14:textId="5DC635D1" w:rsidR="00CF6742" w:rsidRPr="00781112" w:rsidRDefault="002B7490" w:rsidP="00A018D4">
            <w:pPr>
              <w:jc w:val="center"/>
              <w:rPr>
                <w:rFonts w:cs="Arial"/>
                <w:color w:val="000000" w:themeColor="text1"/>
                <w:szCs w:val="16"/>
              </w:rPr>
            </w:pPr>
            <w:r w:rsidRPr="00781112">
              <w:rPr>
                <w:rFonts w:cs="Arial"/>
                <w:color w:val="000000" w:themeColor="text1"/>
                <w:szCs w:val="16"/>
              </w:rPr>
              <w:t>2.09%</w:t>
            </w:r>
          </w:p>
        </w:tc>
        <w:tc>
          <w:tcPr>
            <w:tcW w:w="518" w:type="pct"/>
            <w:shd w:val="clear" w:color="auto" w:fill="auto"/>
            <w:vAlign w:val="center"/>
          </w:tcPr>
          <w:p w14:paraId="799542EF" w14:textId="180B78FB" w:rsidR="00CF6742" w:rsidRPr="00781112" w:rsidRDefault="002B7490" w:rsidP="00A018D4">
            <w:pPr>
              <w:jc w:val="center"/>
              <w:rPr>
                <w:rFonts w:cs="Arial"/>
                <w:color w:val="000000" w:themeColor="text1"/>
                <w:szCs w:val="16"/>
              </w:rPr>
            </w:pPr>
            <w:r w:rsidRPr="00781112">
              <w:rPr>
                <w:rFonts w:cs="Arial"/>
                <w:color w:val="000000" w:themeColor="text1"/>
                <w:szCs w:val="16"/>
              </w:rPr>
              <w:t>Met target</w:t>
            </w:r>
          </w:p>
        </w:tc>
        <w:tc>
          <w:tcPr>
            <w:tcW w:w="518" w:type="pct"/>
            <w:shd w:val="clear" w:color="auto" w:fill="auto"/>
            <w:vAlign w:val="center"/>
          </w:tcPr>
          <w:p w14:paraId="6E35C7BA" w14:textId="0B2CF7CC" w:rsidR="00CF6742" w:rsidRPr="00781112" w:rsidRDefault="002B7490" w:rsidP="00A018D4">
            <w:pPr>
              <w:jc w:val="center"/>
              <w:rPr>
                <w:rFonts w:cs="Arial"/>
                <w:color w:val="000000" w:themeColor="text1"/>
                <w:szCs w:val="16"/>
              </w:rPr>
            </w:pPr>
            <w:r w:rsidRPr="00781112">
              <w:rPr>
                <w:rFonts w:cs="Arial"/>
                <w:color w:val="000000" w:themeColor="text1"/>
                <w:szCs w:val="16"/>
              </w:rPr>
              <w:t>No Slippage</w:t>
            </w:r>
          </w:p>
        </w:tc>
      </w:tr>
      <w:tr w:rsidR="007419E3" w:rsidRPr="00781112" w14:paraId="70135A14" w14:textId="77777777" w:rsidTr="007239EC">
        <w:trPr>
          <w:trHeight w:val="361"/>
        </w:trPr>
        <w:tc>
          <w:tcPr>
            <w:tcW w:w="1373" w:type="pct"/>
            <w:shd w:val="clear" w:color="auto" w:fill="auto"/>
            <w:vAlign w:val="center"/>
          </w:tcPr>
          <w:p w14:paraId="72DCC796" w14:textId="256E58C0" w:rsidR="007419E3" w:rsidRPr="00781112" w:rsidRDefault="007419E3" w:rsidP="007419E3">
            <w:pPr>
              <w:rPr>
                <w:rFonts w:cs="Arial"/>
                <w:color w:val="000000" w:themeColor="text1"/>
                <w:szCs w:val="16"/>
                <w:shd w:val="clear" w:color="auto" w:fill="FFFFFF"/>
              </w:rPr>
            </w:pPr>
            <w:r w:rsidRPr="00781112">
              <w:rPr>
                <w:rFonts w:cs="Arial"/>
                <w:color w:val="000000" w:themeColor="text1"/>
                <w:szCs w:val="16"/>
                <w:shd w:val="clear" w:color="auto" w:fill="FFFFFF"/>
              </w:rPr>
              <w:t>C. Home</w:t>
            </w:r>
          </w:p>
        </w:tc>
        <w:tc>
          <w:tcPr>
            <w:tcW w:w="518" w:type="pct"/>
            <w:shd w:val="clear" w:color="auto" w:fill="auto"/>
            <w:vAlign w:val="center"/>
          </w:tcPr>
          <w:p w14:paraId="1AE1B656" w14:textId="4AA764F4" w:rsidR="007419E3" w:rsidRPr="00781112" w:rsidRDefault="007419E3" w:rsidP="007419E3">
            <w:pPr>
              <w:jc w:val="center"/>
              <w:rPr>
                <w:rFonts w:cs="Arial"/>
                <w:color w:val="000000" w:themeColor="text1"/>
                <w:szCs w:val="16"/>
              </w:rPr>
            </w:pPr>
            <w:r w:rsidRPr="00781112">
              <w:rPr>
                <w:rFonts w:cs="Arial"/>
                <w:color w:val="000000" w:themeColor="text1"/>
                <w:szCs w:val="16"/>
              </w:rPr>
              <w:t>8</w:t>
            </w:r>
          </w:p>
        </w:tc>
        <w:tc>
          <w:tcPr>
            <w:tcW w:w="518" w:type="pct"/>
            <w:shd w:val="clear" w:color="auto" w:fill="auto"/>
            <w:vAlign w:val="center"/>
          </w:tcPr>
          <w:p w14:paraId="601CC9FF" w14:textId="0C166449" w:rsidR="007419E3" w:rsidRPr="00781112" w:rsidRDefault="007419E3" w:rsidP="007419E3">
            <w:pPr>
              <w:jc w:val="center"/>
              <w:rPr>
                <w:rFonts w:cs="Arial"/>
                <w:color w:val="000000" w:themeColor="text1"/>
                <w:szCs w:val="16"/>
              </w:rPr>
            </w:pPr>
            <w:r w:rsidRPr="00781112">
              <w:rPr>
                <w:rFonts w:cs="Arial"/>
                <w:color w:val="000000" w:themeColor="text1"/>
                <w:szCs w:val="16"/>
              </w:rPr>
              <w:t>9,108</w:t>
            </w:r>
          </w:p>
        </w:tc>
        <w:tc>
          <w:tcPr>
            <w:tcW w:w="518" w:type="pct"/>
            <w:shd w:val="clear" w:color="auto" w:fill="auto"/>
            <w:vAlign w:val="center"/>
          </w:tcPr>
          <w:p w14:paraId="4B7E23C9" w14:textId="2143D885" w:rsidR="007419E3" w:rsidRPr="00781112" w:rsidRDefault="007419E3" w:rsidP="007419E3">
            <w:pPr>
              <w:jc w:val="center"/>
              <w:rPr>
                <w:rFonts w:cs="Arial"/>
                <w:color w:val="000000" w:themeColor="text1"/>
                <w:szCs w:val="16"/>
              </w:rPr>
            </w:pPr>
            <w:r w:rsidRPr="00781112">
              <w:rPr>
                <w:rFonts w:cs="Arial"/>
                <w:color w:val="000000" w:themeColor="text1"/>
                <w:szCs w:val="16"/>
              </w:rPr>
              <w:t>0.18%</w:t>
            </w:r>
          </w:p>
        </w:tc>
        <w:tc>
          <w:tcPr>
            <w:tcW w:w="518" w:type="pct"/>
            <w:shd w:val="clear" w:color="auto" w:fill="auto"/>
            <w:vAlign w:val="center"/>
          </w:tcPr>
          <w:p w14:paraId="412FC24B" w14:textId="2D7F91B3" w:rsidR="007419E3" w:rsidRPr="00781112" w:rsidRDefault="007419E3" w:rsidP="007419E3">
            <w:pPr>
              <w:jc w:val="center"/>
              <w:rPr>
                <w:rFonts w:cs="Arial"/>
                <w:color w:val="000000" w:themeColor="text1"/>
                <w:szCs w:val="16"/>
              </w:rPr>
            </w:pPr>
            <w:r w:rsidRPr="00781112">
              <w:rPr>
                <w:rFonts w:cs="Arial"/>
                <w:color w:val="000000" w:themeColor="text1"/>
                <w:szCs w:val="16"/>
              </w:rPr>
              <w:t>0.23%</w:t>
            </w:r>
          </w:p>
        </w:tc>
        <w:tc>
          <w:tcPr>
            <w:tcW w:w="518" w:type="pct"/>
            <w:shd w:val="clear" w:color="auto" w:fill="auto"/>
            <w:vAlign w:val="center"/>
          </w:tcPr>
          <w:p w14:paraId="603D7CC7" w14:textId="713E97DD" w:rsidR="007419E3" w:rsidRPr="00781112" w:rsidRDefault="007419E3" w:rsidP="007419E3">
            <w:pPr>
              <w:jc w:val="center"/>
              <w:rPr>
                <w:rFonts w:cs="Arial"/>
                <w:color w:val="000000" w:themeColor="text1"/>
                <w:szCs w:val="16"/>
              </w:rPr>
            </w:pPr>
            <w:r w:rsidRPr="00781112">
              <w:rPr>
                <w:rFonts w:cs="Arial"/>
                <w:color w:val="000000" w:themeColor="text1"/>
                <w:szCs w:val="16"/>
              </w:rPr>
              <w:t>0.09%</w:t>
            </w:r>
          </w:p>
        </w:tc>
        <w:tc>
          <w:tcPr>
            <w:tcW w:w="518" w:type="pct"/>
            <w:shd w:val="clear" w:color="auto" w:fill="auto"/>
            <w:vAlign w:val="center"/>
          </w:tcPr>
          <w:p w14:paraId="31E8CDB6" w14:textId="7E73D59A" w:rsidR="007419E3" w:rsidRPr="00781112" w:rsidRDefault="007419E3" w:rsidP="007419E3">
            <w:pPr>
              <w:jc w:val="center"/>
              <w:rPr>
                <w:rFonts w:cs="Arial"/>
                <w:color w:val="000000" w:themeColor="text1"/>
                <w:szCs w:val="16"/>
              </w:rPr>
            </w:pPr>
            <w:r w:rsidRPr="00781112">
              <w:rPr>
                <w:rFonts w:cs="Arial"/>
                <w:color w:val="000000" w:themeColor="text1"/>
                <w:szCs w:val="16"/>
              </w:rPr>
              <w:t>Met target</w:t>
            </w:r>
          </w:p>
        </w:tc>
        <w:tc>
          <w:tcPr>
            <w:tcW w:w="518" w:type="pct"/>
            <w:shd w:val="clear" w:color="auto" w:fill="auto"/>
            <w:vAlign w:val="center"/>
          </w:tcPr>
          <w:p w14:paraId="4B289CC7" w14:textId="072E6906" w:rsidR="007419E3" w:rsidRPr="00781112" w:rsidRDefault="007419E3" w:rsidP="007419E3">
            <w:pPr>
              <w:jc w:val="center"/>
              <w:rPr>
                <w:rFonts w:cs="Arial"/>
                <w:color w:val="000000" w:themeColor="text1"/>
                <w:szCs w:val="16"/>
              </w:rPr>
            </w:pPr>
            <w:r w:rsidRPr="00781112">
              <w:rPr>
                <w:rFonts w:cs="Arial"/>
                <w:color w:val="000000" w:themeColor="text1"/>
                <w:szCs w:val="16"/>
              </w:rPr>
              <w:t>No Slippage</w:t>
            </w:r>
          </w:p>
        </w:tc>
      </w:tr>
    </w:tbl>
    <w:p w14:paraId="21FD52FD" w14:textId="53DF3EF1" w:rsidR="002441FF" w:rsidRDefault="002441FF" w:rsidP="004369B2">
      <w:pPr>
        <w:rPr>
          <w:b/>
          <w:color w:val="000000" w:themeColor="text1"/>
        </w:rPr>
      </w:pPr>
    </w:p>
    <w:p w14:paraId="1157162F" w14:textId="77777777" w:rsidR="002441FF" w:rsidRPr="00781112" w:rsidRDefault="002441FF" w:rsidP="002441FF">
      <w:pPr>
        <w:rPr>
          <w:rFonts w:cs="Arial"/>
          <w:color w:val="000000" w:themeColor="text1"/>
          <w:szCs w:val="16"/>
        </w:rPr>
      </w:pPr>
    </w:p>
    <w:p w14:paraId="11B24ABD" w14:textId="77777777" w:rsidR="00221EC9" w:rsidRPr="00781112" w:rsidRDefault="00221EC9" w:rsidP="004369B2">
      <w:pPr>
        <w:rPr>
          <w:b/>
          <w:color w:val="000000" w:themeColor="text1"/>
        </w:rPr>
      </w:pPr>
      <w:r w:rsidRPr="00781112">
        <w:rPr>
          <w:b/>
          <w:color w:val="000000" w:themeColor="text1"/>
        </w:rPr>
        <w:t>Provide additional information about this indicator (optional)</w:t>
      </w:r>
    </w:p>
    <w:p w14:paraId="05D7B4D4" w14:textId="54FAD054" w:rsidR="003C308E" w:rsidRPr="00781112" w:rsidRDefault="003C308E" w:rsidP="007D435F">
      <w:pPr>
        <w:rPr>
          <w:rFonts w:cs="Arial"/>
          <w:color w:val="000000" w:themeColor="text1"/>
          <w:szCs w:val="16"/>
        </w:rPr>
      </w:pPr>
    </w:p>
    <w:p w14:paraId="7DD4BC1C" w14:textId="33DA668A" w:rsidR="000A2C83" w:rsidRPr="00781112" w:rsidRDefault="00C96236" w:rsidP="008645AD">
      <w:pPr>
        <w:pStyle w:val="Heading2"/>
      </w:pPr>
      <w:r w:rsidRPr="00781112">
        <w:t>6</w:t>
      </w:r>
      <w:r w:rsidR="00C91B94" w:rsidRPr="00781112">
        <w:t xml:space="preserve"> </w:t>
      </w:r>
      <w:r w:rsidRPr="00781112">
        <w:t xml:space="preserve">- </w:t>
      </w:r>
      <w:r w:rsidR="000A2C83" w:rsidRPr="00781112">
        <w:t>Prior FFY Required Actions</w:t>
      </w:r>
    </w:p>
    <w:p w14:paraId="566E0CF8" w14:textId="64232129" w:rsidR="00B1280F" w:rsidRPr="00781112" w:rsidRDefault="002B7490" w:rsidP="000A2C83">
      <w:pPr>
        <w:rPr>
          <w:rFonts w:cs="Arial"/>
          <w:color w:val="000000" w:themeColor="text1"/>
          <w:szCs w:val="16"/>
        </w:rPr>
      </w:pPr>
      <w:r w:rsidRPr="00781112">
        <w:rPr>
          <w:rFonts w:cs="Arial"/>
          <w:color w:val="000000" w:themeColor="text1"/>
          <w:szCs w:val="16"/>
        </w:rPr>
        <w:t>None</w:t>
      </w:r>
    </w:p>
    <w:p w14:paraId="7B71DC87" w14:textId="5C9C7EF8" w:rsidR="00221EC9" w:rsidRPr="00781112" w:rsidRDefault="00C96236" w:rsidP="008645AD">
      <w:pPr>
        <w:pStyle w:val="Heading2"/>
      </w:pPr>
      <w:r w:rsidRPr="00781112">
        <w:t>6 - OSEP Response</w:t>
      </w:r>
    </w:p>
    <w:p w14:paraId="39CF981B" w14:textId="16EA9F6F" w:rsidR="003C308E" w:rsidRPr="00781112" w:rsidRDefault="003C308E" w:rsidP="001F692C">
      <w:pPr>
        <w:rPr>
          <w:rFonts w:cs="Arial"/>
          <w:color w:val="000000" w:themeColor="text1"/>
          <w:szCs w:val="16"/>
        </w:rPr>
      </w:pPr>
    </w:p>
    <w:p w14:paraId="6337E261" w14:textId="7ABFCAD4" w:rsidR="00221EC9" w:rsidRPr="00781112" w:rsidRDefault="00C96236" w:rsidP="008645AD">
      <w:pPr>
        <w:pStyle w:val="Heading2"/>
      </w:pPr>
      <w:r w:rsidRPr="00781112">
        <w:t>6 - Required Actions</w:t>
      </w:r>
    </w:p>
    <w:p w14:paraId="4D0B397A" w14:textId="4B808E74" w:rsidR="003C308E" w:rsidRPr="00781112" w:rsidRDefault="003C308E" w:rsidP="001F692C">
      <w:pPr>
        <w:rPr>
          <w:rFonts w:cs="Arial"/>
          <w:color w:val="000000" w:themeColor="text1"/>
          <w:szCs w:val="16"/>
        </w:rPr>
      </w:pPr>
    </w:p>
    <w:p w14:paraId="2AA7BDE7" w14:textId="77777777" w:rsidR="00600E15" w:rsidRPr="00781112" w:rsidRDefault="00600E15">
      <w:pPr>
        <w:spacing w:before="0" w:after="200" w:line="276" w:lineRule="auto"/>
        <w:rPr>
          <w:rFonts w:eastAsiaTheme="majorEastAsia" w:cs="Arial"/>
          <w:b/>
          <w:bCs/>
          <w:color w:val="000000" w:themeColor="text1"/>
          <w:szCs w:val="16"/>
        </w:rPr>
      </w:pPr>
      <w:r w:rsidRPr="00781112">
        <w:rPr>
          <w:rFonts w:cs="Arial"/>
          <w:color w:val="000000" w:themeColor="text1"/>
          <w:szCs w:val="16"/>
        </w:rPr>
        <w:br w:type="page"/>
      </w:r>
    </w:p>
    <w:p w14:paraId="26B1B256" w14:textId="288D5BD8" w:rsidR="00D21EAA" w:rsidRPr="00781112" w:rsidRDefault="00D21EAA" w:rsidP="000444E2">
      <w:pPr>
        <w:pStyle w:val="Heading1"/>
        <w:rPr>
          <w:color w:val="000000" w:themeColor="text1"/>
          <w:sz w:val="22"/>
        </w:rPr>
      </w:pPr>
      <w:r w:rsidRPr="00781112">
        <w:rPr>
          <w:color w:val="000000" w:themeColor="text1"/>
          <w:sz w:val="22"/>
        </w:rPr>
        <w:lastRenderedPageBreak/>
        <w:t>Indicator 7: Preschool Outcomes</w:t>
      </w:r>
      <w:bookmarkEnd w:id="38"/>
      <w:bookmarkEnd w:id="39"/>
    </w:p>
    <w:p w14:paraId="1404DCF9" w14:textId="77777777" w:rsidR="00531E54" w:rsidRPr="00781112" w:rsidRDefault="00531E54" w:rsidP="00A018D4">
      <w:pPr>
        <w:rPr>
          <w:color w:val="000000" w:themeColor="text1"/>
          <w:szCs w:val="20"/>
        </w:rPr>
      </w:pPr>
      <w:bookmarkStart w:id="40" w:name="_Toc392159303"/>
      <w:r w:rsidRPr="00781112">
        <w:rPr>
          <w:b/>
          <w:color w:val="000000" w:themeColor="text1"/>
          <w:sz w:val="20"/>
          <w:szCs w:val="20"/>
        </w:rPr>
        <w:t>Instructions and Measurement</w:t>
      </w:r>
    </w:p>
    <w:p w14:paraId="0A136297" w14:textId="4837554F" w:rsidR="00CC634E" w:rsidRPr="00781112" w:rsidRDefault="00CC634E" w:rsidP="004369B2">
      <w:pPr>
        <w:rPr>
          <w:color w:val="000000" w:themeColor="text1"/>
        </w:rPr>
      </w:pPr>
      <w:r w:rsidRPr="00781112">
        <w:rPr>
          <w:b/>
          <w:color w:val="000000" w:themeColor="text1"/>
        </w:rPr>
        <w:t>Monitoring Priority:</w:t>
      </w:r>
      <w:r w:rsidRPr="00781112">
        <w:rPr>
          <w:color w:val="000000" w:themeColor="text1"/>
        </w:rPr>
        <w:t xml:space="preserve"> FAPE in the LRE</w:t>
      </w:r>
    </w:p>
    <w:p w14:paraId="24B9EA10" w14:textId="77777777" w:rsidR="00CC634E" w:rsidRPr="00781112" w:rsidRDefault="00CC634E" w:rsidP="0011074D">
      <w:pPr>
        <w:rPr>
          <w:rFonts w:cs="Arial"/>
          <w:color w:val="000000" w:themeColor="text1"/>
          <w:szCs w:val="16"/>
        </w:rPr>
      </w:pPr>
      <w:r w:rsidRPr="00781112">
        <w:rPr>
          <w:rFonts w:cs="Arial"/>
          <w:b/>
          <w:color w:val="000000" w:themeColor="text1"/>
          <w:szCs w:val="16"/>
        </w:rPr>
        <w:t>Results indicator:</w:t>
      </w:r>
      <w:r w:rsidRPr="00781112">
        <w:rPr>
          <w:rFonts w:cs="Arial"/>
          <w:color w:val="000000" w:themeColor="text1"/>
          <w:szCs w:val="16"/>
        </w:rPr>
        <w:t xml:space="preserve"> Percent of preschool children aged 3 through 5 with IEPs who demonstrate improved:</w:t>
      </w:r>
    </w:p>
    <w:p w14:paraId="0B552BED" w14:textId="43FF9A0A" w:rsidR="00CC634E" w:rsidRPr="00781112" w:rsidRDefault="00F006BC" w:rsidP="006A01BD">
      <w:pPr>
        <w:ind w:firstLine="720"/>
        <w:rPr>
          <w:rFonts w:cs="Arial"/>
          <w:color w:val="000000" w:themeColor="text1"/>
          <w:szCs w:val="16"/>
        </w:rPr>
      </w:pPr>
      <w:r w:rsidRPr="00781112">
        <w:rPr>
          <w:rFonts w:cs="Arial"/>
          <w:color w:val="000000" w:themeColor="text1"/>
          <w:szCs w:val="16"/>
        </w:rPr>
        <w:t>A. Positive social-emotional skills (including social relationships</w:t>
      </w:r>
      <w:proofErr w:type="gramStart"/>
      <w:r w:rsidRPr="00781112">
        <w:rPr>
          <w:rFonts w:cs="Arial"/>
          <w:color w:val="000000" w:themeColor="text1"/>
          <w:szCs w:val="16"/>
        </w:rPr>
        <w:t>);</w:t>
      </w:r>
      <w:proofErr w:type="gramEnd"/>
    </w:p>
    <w:p w14:paraId="5D82DAD8" w14:textId="740E047B" w:rsidR="00CC634E" w:rsidRPr="00781112" w:rsidRDefault="00F006BC" w:rsidP="006A01BD">
      <w:pPr>
        <w:ind w:firstLine="720"/>
        <w:rPr>
          <w:rFonts w:cs="Arial"/>
          <w:color w:val="000000" w:themeColor="text1"/>
          <w:szCs w:val="16"/>
        </w:rPr>
      </w:pPr>
      <w:r w:rsidRPr="00781112">
        <w:rPr>
          <w:rFonts w:cs="Arial"/>
          <w:color w:val="000000" w:themeColor="text1"/>
          <w:szCs w:val="16"/>
        </w:rPr>
        <w:t>B. Acquisition and use of knowledge and skills (including early language/ communication and early literacy); and</w:t>
      </w:r>
    </w:p>
    <w:p w14:paraId="00126FB5" w14:textId="7254CF8C" w:rsidR="00CC634E" w:rsidRPr="00781112" w:rsidRDefault="00F020B0" w:rsidP="006A01BD">
      <w:pPr>
        <w:ind w:firstLine="720"/>
        <w:rPr>
          <w:rFonts w:cs="Arial"/>
          <w:color w:val="000000" w:themeColor="text1"/>
          <w:szCs w:val="16"/>
        </w:rPr>
      </w:pPr>
      <w:r w:rsidRPr="00781112">
        <w:rPr>
          <w:rFonts w:cs="Arial"/>
          <w:color w:val="000000" w:themeColor="text1"/>
          <w:szCs w:val="16"/>
        </w:rPr>
        <w:t>C. Use of appropriate behaviors to meet their needs.</w:t>
      </w:r>
    </w:p>
    <w:p w14:paraId="5E54210F" w14:textId="77777777" w:rsidR="00CC634E" w:rsidRPr="00781112" w:rsidRDefault="00CC634E" w:rsidP="0011074D">
      <w:pPr>
        <w:rPr>
          <w:rFonts w:cs="Arial"/>
          <w:color w:val="000000" w:themeColor="text1"/>
          <w:szCs w:val="16"/>
        </w:rPr>
      </w:pPr>
      <w:r w:rsidRPr="00781112">
        <w:rPr>
          <w:rFonts w:cs="Arial"/>
          <w:color w:val="000000" w:themeColor="text1"/>
          <w:szCs w:val="16"/>
        </w:rPr>
        <w:t>(20 U.S.C. 1416 (a)(3)(A))</w:t>
      </w:r>
    </w:p>
    <w:p w14:paraId="64F847A6" w14:textId="77777777" w:rsidR="008751D3" w:rsidRPr="00781112" w:rsidRDefault="008751D3" w:rsidP="004369B2">
      <w:pPr>
        <w:rPr>
          <w:color w:val="000000" w:themeColor="text1"/>
        </w:rPr>
      </w:pPr>
      <w:r w:rsidRPr="00781112">
        <w:rPr>
          <w:b/>
          <w:color w:val="000000" w:themeColor="text1"/>
        </w:rPr>
        <w:t>Data Source</w:t>
      </w:r>
    </w:p>
    <w:p w14:paraId="23E18A51" w14:textId="0FC94A9E" w:rsidR="008751D3" w:rsidRPr="00781112" w:rsidRDefault="008751D3" w:rsidP="00286BDF">
      <w:pPr>
        <w:rPr>
          <w:rFonts w:cs="Arial"/>
          <w:color w:val="000000" w:themeColor="text1"/>
          <w:szCs w:val="16"/>
        </w:rPr>
      </w:pPr>
      <w:r w:rsidRPr="00781112">
        <w:rPr>
          <w:rFonts w:cs="Arial"/>
          <w:color w:val="000000" w:themeColor="text1"/>
          <w:szCs w:val="16"/>
        </w:rPr>
        <w:t>State selected data source.</w:t>
      </w:r>
    </w:p>
    <w:p w14:paraId="1E840531" w14:textId="77777777" w:rsidR="008751D3" w:rsidRPr="00781112" w:rsidRDefault="008751D3" w:rsidP="004369B2">
      <w:pPr>
        <w:rPr>
          <w:color w:val="000000" w:themeColor="text1"/>
        </w:rPr>
      </w:pPr>
      <w:r w:rsidRPr="00781112">
        <w:rPr>
          <w:b/>
          <w:color w:val="000000" w:themeColor="text1"/>
        </w:rPr>
        <w:t>Measurement</w:t>
      </w:r>
    </w:p>
    <w:p w14:paraId="1FF326CF" w14:textId="77777777" w:rsidR="008751D3" w:rsidRPr="00781112" w:rsidRDefault="008751D3" w:rsidP="0011074D">
      <w:pPr>
        <w:rPr>
          <w:rFonts w:cs="Arial"/>
          <w:color w:val="000000" w:themeColor="text1"/>
          <w:szCs w:val="16"/>
        </w:rPr>
      </w:pPr>
      <w:r w:rsidRPr="00781112">
        <w:rPr>
          <w:rFonts w:cs="Arial"/>
          <w:color w:val="000000" w:themeColor="text1"/>
          <w:szCs w:val="16"/>
        </w:rPr>
        <w:t>Outcomes:</w:t>
      </w:r>
    </w:p>
    <w:p w14:paraId="4E248912" w14:textId="66BBE7EE" w:rsidR="008751D3" w:rsidRPr="00781112" w:rsidRDefault="00D92169" w:rsidP="006A01BD">
      <w:pPr>
        <w:spacing w:before="0" w:after="0"/>
        <w:ind w:firstLine="720"/>
        <w:rPr>
          <w:rFonts w:eastAsia="Times New Roman" w:cs="Arial"/>
          <w:color w:val="000000" w:themeColor="text1"/>
          <w:szCs w:val="16"/>
        </w:rPr>
      </w:pPr>
      <w:r w:rsidRPr="00781112">
        <w:rPr>
          <w:rFonts w:eastAsia="Times New Roman" w:cs="Arial"/>
          <w:color w:val="000000" w:themeColor="text1"/>
          <w:szCs w:val="16"/>
        </w:rPr>
        <w:t>A. Positive social-emotional skills (including social relationships</w:t>
      </w:r>
      <w:proofErr w:type="gramStart"/>
      <w:r w:rsidRPr="00781112">
        <w:rPr>
          <w:rFonts w:eastAsia="Times New Roman" w:cs="Arial"/>
          <w:color w:val="000000" w:themeColor="text1"/>
          <w:szCs w:val="16"/>
        </w:rPr>
        <w:t>);</w:t>
      </w:r>
      <w:proofErr w:type="gramEnd"/>
    </w:p>
    <w:p w14:paraId="6AAB6861" w14:textId="71AC3C7A" w:rsidR="008751D3" w:rsidRPr="00781112" w:rsidRDefault="00D92169" w:rsidP="006A01BD">
      <w:pPr>
        <w:spacing w:before="0" w:after="0"/>
        <w:ind w:firstLine="720"/>
        <w:rPr>
          <w:rFonts w:eastAsia="Times New Roman" w:cs="Arial"/>
          <w:color w:val="000000" w:themeColor="text1"/>
          <w:szCs w:val="16"/>
        </w:rPr>
      </w:pPr>
      <w:r w:rsidRPr="00781112">
        <w:rPr>
          <w:rFonts w:eastAsia="Times New Roman" w:cs="Arial"/>
          <w:color w:val="000000" w:themeColor="text1"/>
          <w:szCs w:val="16"/>
        </w:rPr>
        <w:t>B. Acquisition and use of knowledge and skills (including early language/communication and early literacy); and</w:t>
      </w:r>
    </w:p>
    <w:p w14:paraId="4CD04035" w14:textId="52DADE76" w:rsidR="008751D3" w:rsidRPr="00781112" w:rsidRDefault="00D92169" w:rsidP="006A01BD">
      <w:pPr>
        <w:spacing w:before="0"/>
        <w:ind w:firstLine="720"/>
        <w:rPr>
          <w:rFonts w:eastAsia="Times New Roman" w:cs="Arial"/>
          <w:color w:val="000000" w:themeColor="text1"/>
          <w:szCs w:val="16"/>
        </w:rPr>
      </w:pPr>
      <w:r w:rsidRPr="00781112">
        <w:rPr>
          <w:rFonts w:eastAsia="Times New Roman" w:cs="Arial"/>
          <w:color w:val="000000" w:themeColor="text1"/>
          <w:szCs w:val="16"/>
        </w:rPr>
        <w:t>C. Use of appropriate behaviors to meet their needs.</w:t>
      </w:r>
    </w:p>
    <w:p w14:paraId="6C3C0B77" w14:textId="77777777" w:rsidR="008751D3" w:rsidRPr="00781112" w:rsidRDefault="008751D3" w:rsidP="0011074D">
      <w:pPr>
        <w:rPr>
          <w:rFonts w:cs="Arial"/>
          <w:color w:val="000000" w:themeColor="text1"/>
          <w:szCs w:val="16"/>
        </w:rPr>
      </w:pPr>
      <w:r w:rsidRPr="00781112">
        <w:rPr>
          <w:rFonts w:cs="Arial"/>
          <w:color w:val="000000" w:themeColor="text1"/>
          <w:szCs w:val="16"/>
        </w:rPr>
        <w:t>Progress categories for A, B and C:</w:t>
      </w:r>
    </w:p>
    <w:p w14:paraId="5690C8BE" w14:textId="36B6DF2C" w:rsidR="008751D3" w:rsidRPr="00781112" w:rsidRDefault="00D048BC" w:rsidP="006A01BD">
      <w:pPr>
        <w:spacing w:before="0" w:after="0"/>
        <w:ind w:left="720"/>
        <w:rPr>
          <w:rFonts w:eastAsia="Times New Roman" w:cs="Arial"/>
          <w:color w:val="000000" w:themeColor="text1"/>
          <w:szCs w:val="16"/>
        </w:rPr>
      </w:pPr>
      <w:r w:rsidRPr="00781112">
        <w:rPr>
          <w:rFonts w:eastAsia="Times New Roman" w:cs="Arial"/>
          <w:color w:val="000000" w:themeColor="text1"/>
          <w:szCs w:val="16"/>
        </w:rPr>
        <w:t>a. Percent of preschool children who did not improve functioning = [(# of preschool children who did not improve functioning) divided by (# of preschool children with IEPs assessed)] times 100.</w:t>
      </w:r>
    </w:p>
    <w:p w14:paraId="0B720C40" w14:textId="2F6D04FB" w:rsidR="008751D3" w:rsidRPr="00781112" w:rsidRDefault="00D92169" w:rsidP="006A01BD">
      <w:pPr>
        <w:spacing w:before="0" w:after="0"/>
        <w:ind w:left="720"/>
        <w:rPr>
          <w:rFonts w:eastAsia="Times New Roman" w:cs="Arial"/>
          <w:color w:val="000000" w:themeColor="text1"/>
          <w:szCs w:val="16"/>
        </w:rPr>
      </w:pPr>
      <w:r w:rsidRPr="00781112">
        <w:rPr>
          <w:rFonts w:eastAsia="Times New Roman" w:cs="Arial"/>
          <w:color w:val="000000" w:themeColor="text1"/>
          <w:szCs w:val="16"/>
        </w:rPr>
        <w:t>b. Percent of preschool children who improved functioning but not sufficient to move nearer to functioning comparable to same-aged peers = [(# of preschool children who improved functioning but not sufficient to move nearer to functioning comparable to same-aged peers) divided by (# of preschool children with IEPs assessed)] times 100.</w:t>
      </w:r>
    </w:p>
    <w:p w14:paraId="314CA3F4" w14:textId="6175AC76" w:rsidR="008751D3" w:rsidRPr="00781112" w:rsidRDefault="00D92169" w:rsidP="006A01BD">
      <w:pPr>
        <w:spacing w:before="0" w:after="0"/>
        <w:ind w:left="720"/>
        <w:rPr>
          <w:rFonts w:eastAsia="Times New Roman" w:cs="Arial"/>
          <w:color w:val="000000" w:themeColor="text1"/>
          <w:szCs w:val="16"/>
        </w:rPr>
      </w:pPr>
      <w:r w:rsidRPr="00781112">
        <w:rPr>
          <w:rFonts w:eastAsia="Times New Roman" w:cs="Arial"/>
          <w:color w:val="000000" w:themeColor="text1"/>
          <w:szCs w:val="16"/>
        </w:rPr>
        <w:t>c. Percent of preschool children who improved functioning to a level nearer to same-aged peers but did not reach it = [(# of preschool children who improved functioning to a level nearer to same-aged peers but did not reach it) divided by (# of preschool children with IEPs assessed)] times 100.</w:t>
      </w:r>
    </w:p>
    <w:p w14:paraId="643AA406" w14:textId="25D49466" w:rsidR="008751D3" w:rsidRPr="00781112" w:rsidRDefault="00D92169" w:rsidP="006A01BD">
      <w:pPr>
        <w:spacing w:before="0" w:after="0"/>
        <w:ind w:left="720"/>
        <w:rPr>
          <w:rFonts w:eastAsia="Times New Roman" w:cs="Arial"/>
          <w:color w:val="000000" w:themeColor="text1"/>
          <w:szCs w:val="16"/>
        </w:rPr>
      </w:pPr>
      <w:r w:rsidRPr="00781112">
        <w:rPr>
          <w:rFonts w:eastAsia="Times New Roman" w:cs="Arial"/>
          <w:color w:val="000000" w:themeColor="text1"/>
          <w:szCs w:val="16"/>
        </w:rPr>
        <w:t>d. Percent of preschool children who improved functioning to reach a level comparable to same-aged peers = [(# of preschool children who improved functioning to reach a level comparable to same-aged peers) divided by (# of preschool children with IEPs assessed)] times 100.</w:t>
      </w:r>
    </w:p>
    <w:p w14:paraId="38B378F6" w14:textId="1E843815" w:rsidR="008751D3" w:rsidRPr="00781112" w:rsidRDefault="00D92169" w:rsidP="006A01BD">
      <w:pPr>
        <w:spacing w:before="0"/>
        <w:ind w:left="720"/>
        <w:rPr>
          <w:rFonts w:eastAsia="Times New Roman" w:cs="Arial"/>
          <w:color w:val="000000" w:themeColor="text1"/>
          <w:szCs w:val="16"/>
        </w:rPr>
      </w:pPr>
      <w:r w:rsidRPr="00781112">
        <w:rPr>
          <w:rFonts w:eastAsia="Times New Roman" w:cs="Arial"/>
          <w:color w:val="000000" w:themeColor="text1"/>
          <w:szCs w:val="16"/>
        </w:rPr>
        <w:t>e. Percent of preschool children who maintained functioning at a level comparable to same-aged peers = [(# of preschool children who maintained functioning at a level comparable to same-aged peers) divided by (# of preschool children with IEPs assessed)] times 100.</w:t>
      </w:r>
    </w:p>
    <w:p w14:paraId="583435BB" w14:textId="77777777" w:rsidR="008751D3" w:rsidRPr="00781112" w:rsidRDefault="008751D3" w:rsidP="0011074D">
      <w:pPr>
        <w:rPr>
          <w:rFonts w:cs="Arial"/>
          <w:b/>
          <w:color w:val="000000" w:themeColor="text1"/>
          <w:szCs w:val="16"/>
        </w:rPr>
      </w:pPr>
      <w:r w:rsidRPr="00781112">
        <w:rPr>
          <w:rFonts w:cs="Arial"/>
          <w:b/>
          <w:color w:val="000000" w:themeColor="text1"/>
          <w:szCs w:val="16"/>
        </w:rPr>
        <w:t>Summary Statements for Each of the Three Outcomes:</w:t>
      </w:r>
    </w:p>
    <w:p w14:paraId="65FE21E5" w14:textId="77777777" w:rsidR="008751D3" w:rsidRPr="00781112" w:rsidRDefault="008751D3" w:rsidP="0011074D">
      <w:pPr>
        <w:rPr>
          <w:rFonts w:cs="Arial"/>
          <w:color w:val="000000" w:themeColor="text1"/>
          <w:szCs w:val="16"/>
        </w:rPr>
      </w:pPr>
      <w:r w:rsidRPr="00781112">
        <w:rPr>
          <w:rFonts w:cs="Arial"/>
          <w:b/>
          <w:bCs/>
          <w:color w:val="000000" w:themeColor="text1"/>
          <w:szCs w:val="16"/>
        </w:rPr>
        <w:t>Summary Statement 1</w:t>
      </w:r>
      <w:r w:rsidRPr="00781112">
        <w:rPr>
          <w:rFonts w:cs="Arial"/>
          <w:bCs/>
          <w:color w:val="000000" w:themeColor="text1"/>
          <w:szCs w:val="16"/>
        </w:rPr>
        <w:t>:</w:t>
      </w:r>
      <w:r w:rsidRPr="00781112">
        <w:rPr>
          <w:rFonts w:cs="Arial"/>
          <w:color w:val="000000" w:themeColor="text1"/>
          <w:szCs w:val="16"/>
        </w:rPr>
        <w:t> Of those preschool children who entered the preschool program below age expectations in each Outcome, the percent who substantially increased their rate of growth by the time they turned 6 years of age or exited the program.</w:t>
      </w:r>
    </w:p>
    <w:p w14:paraId="5068AAB2" w14:textId="7F652397" w:rsidR="008751D3" w:rsidRPr="00781112" w:rsidRDefault="008751D3" w:rsidP="0011074D">
      <w:pPr>
        <w:rPr>
          <w:rFonts w:cs="Arial"/>
          <w:color w:val="000000" w:themeColor="text1"/>
          <w:szCs w:val="16"/>
        </w:rPr>
      </w:pPr>
      <w:r w:rsidRPr="00781112">
        <w:rPr>
          <w:rFonts w:cs="Arial"/>
          <w:b/>
          <w:bCs/>
          <w:color w:val="000000" w:themeColor="text1"/>
          <w:szCs w:val="16"/>
        </w:rPr>
        <w:t>Measurement for Summary Statement 1:</w:t>
      </w:r>
      <w:r w:rsidRPr="00781112">
        <w:rPr>
          <w:rFonts w:cs="Arial"/>
          <w:bCs/>
          <w:color w:val="000000" w:themeColor="text1"/>
          <w:szCs w:val="16"/>
        </w:rPr>
        <w:t xml:space="preserve"> </w:t>
      </w:r>
      <w:r w:rsidRPr="00781112">
        <w:rPr>
          <w:rFonts w:cs="Arial"/>
          <w:color w:val="000000" w:themeColor="text1"/>
          <w:szCs w:val="16"/>
        </w:rPr>
        <w:t xml:space="preserve">Percent = </w:t>
      </w:r>
      <w:r w:rsidR="002D30ED" w:rsidRPr="00781112">
        <w:rPr>
          <w:rFonts w:cs="Arial"/>
          <w:color w:val="000000" w:themeColor="text1"/>
          <w:szCs w:val="16"/>
        </w:rPr>
        <w:t xml:space="preserve">[(# </w:t>
      </w:r>
      <w:r w:rsidRPr="00781112">
        <w:rPr>
          <w:rFonts w:cs="Arial"/>
          <w:color w:val="000000" w:themeColor="text1"/>
          <w:szCs w:val="16"/>
        </w:rPr>
        <w:t>of preschool children reported in progress category (c) plus # of preschool children reported in category (d)) divided by (# of preschool children reported in progress category (a) plus # of preschool children reported in progress category (b) plus # of preschool children reported in progress category (c) plus # of preschool children reported in progress category (d</w:t>
      </w:r>
      <w:r w:rsidR="002D30ED" w:rsidRPr="00781112">
        <w:rPr>
          <w:rFonts w:cs="Arial"/>
          <w:color w:val="000000" w:themeColor="text1"/>
          <w:szCs w:val="16"/>
        </w:rPr>
        <w:t xml:space="preserve">))] </w:t>
      </w:r>
      <w:r w:rsidRPr="00781112">
        <w:rPr>
          <w:rFonts w:cs="Arial"/>
          <w:color w:val="000000" w:themeColor="text1"/>
          <w:szCs w:val="16"/>
        </w:rPr>
        <w:t>times 100.</w:t>
      </w:r>
    </w:p>
    <w:p w14:paraId="5A694282" w14:textId="77777777" w:rsidR="008751D3" w:rsidRPr="00781112" w:rsidRDefault="008751D3" w:rsidP="0011074D">
      <w:pPr>
        <w:rPr>
          <w:rFonts w:cs="Arial"/>
          <w:color w:val="000000" w:themeColor="text1"/>
          <w:szCs w:val="16"/>
        </w:rPr>
      </w:pPr>
      <w:r w:rsidRPr="00781112">
        <w:rPr>
          <w:rFonts w:cs="Arial"/>
          <w:b/>
          <w:bCs/>
          <w:color w:val="000000" w:themeColor="text1"/>
          <w:szCs w:val="16"/>
        </w:rPr>
        <w:t>Summary Statement 2:</w:t>
      </w:r>
      <w:r w:rsidRPr="00781112">
        <w:rPr>
          <w:rFonts w:cs="Arial"/>
          <w:color w:val="000000" w:themeColor="text1"/>
          <w:szCs w:val="16"/>
        </w:rPr>
        <w:t> The percent of preschool children who were functioning within age expectations in each Outcome by the time they turned 6 years of age or exited the program.</w:t>
      </w:r>
    </w:p>
    <w:p w14:paraId="34439FE8" w14:textId="2AF97C44" w:rsidR="008751D3" w:rsidRPr="00781112" w:rsidRDefault="008751D3" w:rsidP="0011074D">
      <w:pPr>
        <w:rPr>
          <w:rFonts w:cs="Arial"/>
          <w:color w:val="000000" w:themeColor="text1"/>
          <w:szCs w:val="16"/>
        </w:rPr>
      </w:pPr>
      <w:r w:rsidRPr="00781112">
        <w:rPr>
          <w:rFonts w:cs="Arial"/>
          <w:b/>
          <w:bCs/>
          <w:color w:val="000000" w:themeColor="text1"/>
          <w:szCs w:val="16"/>
        </w:rPr>
        <w:t>Measurement for Summary Statement 2</w:t>
      </w:r>
      <w:r w:rsidRPr="00781112">
        <w:rPr>
          <w:rFonts w:cs="Arial"/>
          <w:bCs/>
          <w:color w:val="000000" w:themeColor="text1"/>
          <w:szCs w:val="16"/>
        </w:rPr>
        <w:t xml:space="preserve">: </w:t>
      </w:r>
      <w:r w:rsidRPr="00781112">
        <w:rPr>
          <w:rFonts w:cs="Arial"/>
          <w:color w:val="000000" w:themeColor="text1"/>
          <w:szCs w:val="16"/>
        </w:rPr>
        <w:t xml:space="preserve">Percent = </w:t>
      </w:r>
      <w:r w:rsidR="002D30ED" w:rsidRPr="00781112">
        <w:rPr>
          <w:rFonts w:cs="Arial"/>
          <w:color w:val="000000" w:themeColor="text1"/>
          <w:szCs w:val="16"/>
        </w:rPr>
        <w:t xml:space="preserve">[(# </w:t>
      </w:r>
      <w:r w:rsidRPr="00781112">
        <w:rPr>
          <w:rFonts w:cs="Arial"/>
          <w:color w:val="000000" w:themeColor="text1"/>
          <w:szCs w:val="16"/>
        </w:rPr>
        <w:t>of preschool children reported in progress category (d) plus # of preschool children reported in progress category (e)) divided by (the total # of preschool children reported in progress categories (a) + (b) + (c) + (d) + (e</w:t>
      </w:r>
      <w:r w:rsidR="002D30ED" w:rsidRPr="00781112">
        <w:rPr>
          <w:rFonts w:cs="Arial"/>
          <w:color w:val="000000" w:themeColor="text1"/>
          <w:szCs w:val="16"/>
        </w:rPr>
        <w:t xml:space="preserve">))] </w:t>
      </w:r>
      <w:r w:rsidRPr="00781112">
        <w:rPr>
          <w:rFonts w:cs="Arial"/>
          <w:color w:val="000000" w:themeColor="text1"/>
          <w:szCs w:val="16"/>
        </w:rPr>
        <w:t>times 100.</w:t>
      </w:r>
    </w:p>
    <w:p w14:paraId="207DF15E" w14:textId="77777777" w:rsidR="008751D3" w:rsidRPr="00781112" w:rsidRDefault="008751D3" w:rsidP="004369B2">
      <w:pPr>
        <w:rPr>
          <w:color w:val="000000" w:themeColor="text1"/>
        </w:rPr>
      </w:pPr>
      <w:r w:rsidRPr="00781112">
        <w:rPr>
          <w:b/>
          <w:color w:val="000000" w:themeColor="text1"/>
        </w:rPr>
        <w:t>Instructions</w:t>
      </w:r>
    </w:p>
    <w:p w14:paraId="7FEF7064" w14:textId="01C35EFD" w:rsidR="008751D3" w:rsidRPr="00781112" w:rsidRDefault="008751D3" w:rsidP="00286BDF">
      <w:pPr>
        <w:rPr>
          <w:rFonts w:cs="Arial"/>
          <w:color w:val="000000" w:themeColor="text1"/>
          <w:szCs w:val="16"/>
        </w:rPr>
      </w:pPr>
      <w:r w:rsidRPr="00781112">
        <w:rPr>
          <w:rFonts w:cs="Arial"/>
          <w:color w:val="000000" w:themeColor="text1"/>
          <w:szCs w:val="16"/>
        </w:rPr>
        <w:t>Sampling of </w:t>
      </w:r>
      <w:r w:rsidRPr="00781112">
        <w:rPr>
          <w:rFonts w:cs="Arial"/>
          <w:b/>
          <w:bCs/>
          <w:color w:val="000000" w:themeColor="text1"/>
          <w:szCs w:val="16"/>
        </w:rPr>
        <w:t>children for assessment</w:t>
      </w:r>
      <w:r w:rsidRPr="00781112">
        <w:rPr>
          <w:rFonts w:cs="Arial"/>
          <w:color w:val="000000" w:themeColor="text1"/>
          <w:szCs w:val="16"/>
        </w:rPr>
        <w:t> is allowed. When sampling is used, submit a description of the sampling methodology outlining how the design will yield valid and reliable estimates. (See </w:t>
      </w:r>
      <w:r w:rsidRPr="00781112">
        <w:rPr>
          <w:rFonts w:cs="Arial"/>
          <w:color w:val="000000" w:themeColor="text1"/>
          <w:szCs w:val="16"/>
          <w:u w:val="single"/>
        </w:rPr>
        <w:t>General Instructions</w:t>
      </w:r>
      <w:r w:rsidRPr="00781112">
        <w:rPr>
          <w:rFonts w:cs="Arial"/>
          <w:color w:val="000000" w:themeColor="text1"/>
          <w:szCs w:val="16"/>
        </w:rPr>
        <w:t xml:space="preserve"> on page </w:t>
      </w:r>
      <w:r w:rsidR="00DD6816">
        <w:rPr>
          <w:rFonts w:cs="Arial"/>
          <w:color w:val="000000" w:themeColor="text1"/>
          <w:szCs w:val="16"/>
        </w:rPr>
        <w:t>3</w:t>
      </w:r>
      <w:r w:rsidRPr="00781112">
        <w:rPr>
          <w:rFonts w:cs="Arial"/>
          <w:color w:val="000000" w:themeColor="text1"/>
          <w:szCs w:val="16"/>
        </w:rPr>
        <w:t xml:space="preserve"> for additional instructions on sampling.)</w:t>
      </w:r>
    </w:p>
    <w:p w14:paraId="1FB7B1C7" w14:textId="77777777" w:rsidR="008751D3" w:rsidRPr="00781112" w:rsidRDefault="008751D3" w:rsidP="00286BDF">
      <w:pPr>
        <w:rPr>
          <w:rFonts w:cs="Arial"/>
          <w:color w:val="000000" w:themeColor="text1"/>
          <w:szCs w:val="16"/>
        </w:rPr>
      </w:pPr>
      <w:r w:rsidRPr="00781112">
        <w:rPr>
          <w:rFonts w:cs="Arial"/>
          <w:color w:val="000000" w:themeColor="text1"/>
          <w:szCs w:val="16"/>
        </w:rPr>
        <w:t>In the measurement include, in the numerator and denominator, only children who received special education and related services for at least six months during the age span of three through five years.</w:t>
      </w:r>
    </w:p>
    <w:p w14:paraId="652BE619" w14:textId="77777777" w:rsidR="008751D3" w:rsidRPr="00781112" w:rsidRDefault="008751D3" w:rsidP="00286BDF">
      <w:pPr>
        <w:rPr>
          <w:rFonts w:cs="Arial"/>
          <w:color w:val="000000" w:themeColor="text1"/>
          <w:szCs w:val="16"/>
        </w:rPr>
      </w:pPr>
      <w:r w:rsidRPr="00781112">
        <w:rPr>
          <w:rFonts w:cs="Arial"/>
          <w:color w:val="000000" w:themeColor="text1"/>
          <w:szCs w:val="16"/>
        </w:rPr>
        <w:t xml:space="preserve">Describe the results of the calculations and compare the results to the targets. States will use the progress categories for each of the three Outcomes to calculate and </w:t>
      </w:r>
      <w:proofErr w:type="gramStart"/>
      <w:r w:rsidRPr="00781112">
        <w:rPr>
          <w:rFonts w:cs="Arial"/>
          <w:color w:val="000000" w:themeColor="text1"/>
          <w:szCs w:val="16"/>
        </w:rPr>
        <w:t>report</w:t>
      </w:r>
      <w:proofErr w:type="gramEnd"/>
      <w:r w:rsidRPr="00781112">
        <w:rPr>
          <w:rFonts w:cs="Arial"/>
          <w:color w:val="000000" w:themeColor="text1"/>
          <w:szCs w:val="16"/>
        </w:rPr>
        <w:t xml:space="preserve"> the two Summary Statements. States have provided targets for the two Summary Statements for the three Outcomes (six numbers for targets for each FFY).</w:t>
      </w:r>
    </w:p>
    <w:p w14:paraId="60273FDF" w14:textId="3F1FD106" w:rsidR="008751D3" w:rsidRPr="00781112" w:rsidRDefault="008751D3" w:rsidP="00286BDF">
      <w:pPr>
        <w:rPr>
          <w:rFonts w:cs="Arial"/>
          <w:color w:val="000000" w:themeColor="text1"/>
          <w:szCs w:val="16"/>
        </w:rPr>
      </w:pPr>
      <w:r w:rsidRPr="00781112">
        <w:rPr>
          <w:rFonts w:cs="Arial"/>
          <w:color w:val="000000" w:themeColor="text1"/>
          <w:szCs w:val="16"/>
        </w:rPr>
        <w:t xml:space="preserve">Report progress data and calculate Summary Statements to compare against the six targets. Provide the actual numbers and percentages for the five reporting categories for each of the three </w:t>
      </w:r>
      <w:r w:rsidR="00DD6816">
        <w:rPr>
          <w:rFonts w:cs="Arial"/>
          <w:color w:val="000000" w:themeColor="text1"/>
          <w:szCs w:val="16"/>
        </w:rPr>
        <w:t>O</w:t>
      </w:r>
      <w:r w:rsidRPr="00781112">
        <w:rPr>
          <w:rFonts w:cs="Arial"/>
          <w:color w:val="000000" w:themeColor="text1"/>
          <w:szCs w:val="16"/>
        </w:rPr>
        <w:t>utcomes.</w:t>
      </w:r>
    </w:p>
    <w:p w14:paraId="5CCA3257" w14:textId="77777777" w:rsidR="008751D3" w:rsidRPr="00781112" w:rsidRDefault="008751D3" w:rsidP="00286BDF">
      <w:pPr>
        <w:rPr>
          <w:rFonts w:cs="Arial"/>
          <w:color w:val="000000" w:themeColor="text1"/>
          <w:szCs w:val="16"/>
        </w:rPr>
      </w:pPr>
      <w:r w:rsidRPr="00781112">
        <w:rPr>
          <w:rFonts w:cs="Arial"/>
          <w:color w:val="000000" w:themeColor="text1"/>
          <w:szCs w:val="16"/>
        </w:rPr>
        <w:t>In presenting results, provide the criteria for defining “comparable to same-aged peers.” If a State is using the Early Childhood Outcomes Center (ECO) Child Outcomes Summary (COS), then the criteria for defining “comparable to same-aged peers” has been defined as a child who has been assigned a score of 6 or 7 on the COS.</w:t>
      </w:r>
    </w:p>
    <w:p w14:paraId="53FA15C3" w14:textId="77777777" w:rsidR="008751D3" w:rsidRPr="00781112" w:rsidRDefault="008751D3" w:rsidP="00286BDF">
      <w:pPr>
        <w:rPr>
          <w:rFonts w:cs="Arial"/>
          <w:color w:val="000000" w:themeColor="text1"/>
          <w:szCs w:val="16"/>
        </w:rPr>
      </w:pPr>
      <w:r w:rsidRPr="00781112">
        <w:rPr>
          <w:rFonts w:cs="Arial"/>
          <w:color w:val="000000" w:themeColor="text1"/>
          <w:szCs w:val="16"/>
        </w:rPr>
        <w:t>In addition, list the instruments and procedures used to gather data for this indicator, including if the State is using the ECO COS.</w:t>
      </w:r>
    </w:p>
    <w:bookmarkEnd w:id="40"/>
    <w:p w14:paraId="55101798" w14:textId="340B2E8D" w:rsidR="00DF6E30" w:rsidRPr="00781112" w:rsidRDefault="00C96236" w:rsidP="008645AD">
      <w:pPr>
        <w:pStyle w:val="Heading2"/>
      </w:pPr>
      <w:r w:rsidRPr="00781112">
        <w:t>7</w:t>
      </w:r>
      <w:r w:rsidR="00444A9D" w:rsidRPr="00781112">
        <w:t xml:space="preserve"> </w:t>
      </w:r>
      <w:r w:rsidRPr="00781112">
        <w:t xml:space="preserve">- </w:t>
      </w:r>
      <w:r w:rsidR="00DF6E30" w:rsidRPr="00781112">
        <w:t>Indicator Data</w:t>
      </w:r>
    </w:p>
    <w:p w14:paraId="5AA4EA63" w14:textId="77777777" w:rsidR="0091098C" w:rsidRPr="00781112" w:rsidRDefault="0091098C" w:rsidP="004369B2">
      <w:pPr>
        <w:rPr>
          <w:color w:val="000000" w:themeColor="text1"/>
        </w:rPr>
      </w:pPr>
      <w:r w:rsidRPr="00781112">
        <w:rPr>
          <w:b/>
          <w:color w:val="000000" w:themeColor="text1"/>
        </w:rPr>
        <w:t>Not Applicable</w:t>
      </w:r>
    </w:p>
    <w:p w14:paraId="284C9B1A" w14:textId="32C218D6" w:rsidR="002D30ED" w:rsidRPr="00781112" w:rsidRDefault="00E54DDA">
      <w:pPr>
        <w:rPr>
          <w:b/>
          <w:color w:val="000000" w:themeColor="text1"/>
        </w:rPr>
      </w:pPr>
      <w:r w:rsidRPr="00781112">
        <w:rPr>
          <w:b/>
          <w:color w:val="000000" w:themeColor="text1"/>
        </w:rPr>
        <w:t>Select yes if this indicator is not applicable.</w:t>
      </w:r>
    </w:p>
    <w:p w14:paraId="400C4A0C" w14:textId="693F71F3" w:rsidR="00043AC9" w:rsidRPr="00781112" w:rsidRDefault="00043AC9" w:rsidP="004369B2">
      <w:pPr>
        <w:rPr>
          <w:rFonts w:cs="Arial"/>
          <w:color w:val="000000" w:themeColor="text1"/>
          <w:szCs w:val="16"/>
        </w:rPr>
      </w:pPr>
      <w:r w:rsidRPr="00781112">
        <w:rPr>
          <w:rFonts w:cs="Arial"/>
          <w:color w:val="000000" w:themeColor="text1"/>
          <w:szCs w:val="16"/>
        </w:rPr>
        <w:t>NO</w:t>
      </w:r>
    </w:p>
    <w:p w14:paraId="2D4ABD95" w14:textId="015EAF2F" w:rsidR="002D30ED" w:rsidRPr="00781112" w:rsidRDefault="002D30ED">
      <w:pPr>
        <w:rPr>
          <w:color w:val="000000" w:themeColor="text1"/>
        </w:rPr>
      </w:pPr>
    </w:p>
    <w:p w14:paraId="50CA9D39" w14:textId="3128BDB0" w:rsidR="00CC634E" w:rsidRPr="00781112" w:rsidRDefault="00CC634E" w:rsidP="004369B2">
      <w:pPr>
        <w:rPr>
          <w:color w:val="000000" w:themeColor="text1"/>
        </w:rPr>
      </w:pPr>
      <w:r w:rsidRPr="00781112">
        <w:rPr>
          <w:b/>
          <w:color w:val="000000" w:themeColor="text1"/>
        </w:rPr>
        <w:t>Historical Data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B07HISTDATA"/>
      </w:tblPr>
      <w:tblGrid>
        <w:gridCol w:w="536"/>
        <w:gridCol w:w="944"/>
        <w:gridCol w:w="944"/>
        <w:gridCol w:w="1673"/>
        <w:gridCol w:w="1673"/>
        <w:gridCol w:w="1673"/>
        <w:gridCol w:w="1672"/>
        <w:gridCol w:w="1675"/>
      </w:tblGrid>
      <w:tr w:rsidR="005F0D3B" w:rsidRPr="00781112" w14:paraId="67761B76" w14:textId="2BE890F9" w:rsidTr="009023AD">
        <w:trPr>
          <w:trHeight w:val="395"/>
        </w:trPr>
        <w:tc>
          <w:tcPr>
            <w:tcW w:w="248" w:type="pct"/>
            <w:tcBorders>
              <w:top w:val="single" w:sz="4" w:space="0" w:color="auto"/>
              <w:left w:val="single" w:sz="4" w:space="0" w:color="auto"/>
              <w:bottom w:val="single" w:sz="4" w:space="0" w:color="auto"/>
              <w:right w:val="single" w:sz="4" w:space="0" w:color="auto"/>
            </w:tcBorders>
            <w:shd w:val="clear" w:color="auto" w:fill="auto"/>
          </w:tcPr>
          <w:p w14:paraId="07FE7D96" w14:textId="48B4F674" w:rsidR="00FA72A0" w:rsidRPr="00781112" w:rsidRDefault="00E104F3" w:rsidP="00FA72A0">
            <w:pPr>
              <w:spacing w:before="0" w:after="0" w:line="276" w:lineRule="auto"/>
              <w:jc w:val="center"/>
              <w:rPr>
                <w:rFonts w:cs="Arial"/>
                <w:b/>
                <w:color w:val="000000" w:themeColor="text1"/>
                <w:szCs w:val="16"/>
              </w:rPr>
            </w:pPr>
            <w:r w:rsidRPr="00781112">
              <w:rPr>
                <w:rFonts w:cs="Arial"/>
                <w:b/>
                <w:color w:val="000000" w:themeColor="text1"/>
                <w:szCs w:val="16"/>
              </w:rPr>
              <w:t>Part</w:t>
            </w:r>
          </w:p>
        </w:tc>
        <w:tc>
          <w:tcPr>
            <w:tcW w:w="437" w:type="pct"/>
            <w:tcBorders>
              <w:top w:val="single" w:sz="4" w:space="0" w:color="auto"/>
              <w:left w:val="single" w:sz="4" w:space="0" w:color="auto"/>
              <w:bottom w:val="single" w:sz="4" w:space="0" w:color="auto"/>
              <w:right w:val="single" w:sz="4" w:space="0" w:color="auto"/>
            </w:tcBorders>
            <w:shd w:val="clear" w:color="auto" w:fill="auto"/>
          </w:tcPr>
          <w:p w14:paraId="492489DB" w14:textId="6B491234" w:rsidR="00FA72A0" w:rsidRPr="00781112" w:rsidRDefault="00FA72A0" w:rsidP="00FA72A0">
            <w:pPr>
              <w:spacing w:before="0" w:after="0" w:line="276" w:lineRule="auto"/>
              <w:jc w:val="center"/>
              <w:rPr>
                <w:rFonts w:cs="Arial"/>
                <w:b/>
                <w:color w:val="000000" w:themeColor="text1"/>
                <w:szCs w:val="16"/>
              </w:rPr>
            </w:pPr>
            <w:r w:rsidRPr="00781112">
              <w:rPr>
                <w:rFonts w:cs="Arial"/>
                <w:b/>
                <w:color w:val="000000" w:themeColor="text1"/>
                <w:szCs w:val="16"/>
              </w:rPr>
              <w:t>Baseline</w:t>
            </w:r>
          </w:p>
        </w:tc>
        <w:tc>
          <w:tcPr>
            <w:tcW w:w="437" w:type="pct"/>
            <w:tcBorders>
              <w:top w:val="single" w:sz="4" w:space="0" w:color="auto"/>
              <w:left w:val="single" w:sz="4" w:space="0" w:color="auto"/>
              <w:bottom w:val="single" w:sz="4" w:space="0" w:color="auto"/>
              <w:right w:val="single" w:sz="4" w:space="0" w:color="auto"/>
            </w:tcBorders>
            <w:shd w:val="clear" w:color="auto" w:fill="auto"/>
          </w:tcPr>
          <w:p w14:paraId="19C97066" w14:textId="77777777" w:rsidR="00FA72A0" w:rsidRPr="00781112" w:rsidRDefault="00FA72A0" w:rsidP="00FA72A0">
            <w:pPr>
              <w:spacing w:before="0" w:after="0" w:line="276" w:lineRule="auto"/>
              <w:jc w:val="center"/>
              <w:rPr>
                <w:rFonts w:cs="Arial"/>
                <w:b/>
                <w:color w:val="000000" w:themeColor="text1"/>
                <w:szCs w:val="16"/>
              </w:rPr>
            </w:pPr>
            <w:r w:rsidRPr="00781112">
              <w:rPr>
                <w:rFonts w:cs="Arial"/>
                <w:b/>
                <w:color w:val="000000" w:themeColor="text1"/>
                <w:szCs w:val="16"/>
              </w:rPr>
              <w:t>FFY</w:t>
            </w:r>
          </w:p>
        </w:tc>
        <w:tc>
          <w:tcPr>
            <w:tcW w:w="775" w:type="pct"/>
            <w:tcBorders>
              <w:top w:val="single" w:sz="4" w:space="0" w:color="auto"/>
              <w:left w:val="single" w:sz="4" w:space="0" w:color="auto"/>
              <w:bottom w:val="single" w:sz="4" w:space="0" w:color="auto"/>
              <w:right w:val="single" w:sz="4" w:space="0" w:color="auto"/>
            </w:tcBorders>
            <w:shd w:val="clear" w:color="auto" w:fill="auto"/>
            <w:hideMark/>
          </w:tcPr>
          <w:p w14:paraId="5FE9CABA" w14:textId="781A1A3B" w:rsidR="00FA72A0" w:rsidRPr="00781112" w:rsidRDefault="002B7490" w:rsidP="00FA72A0">
            <w:pPr>
              <w:spacing w:before="0" w:after="0" w:line="276" w:lineRule="auto"/>
              <w:jc w:val="center"/>
              <w:rPr>
                <w:rFonts w:cs="Arial"/>
                <w:b/>
                <w:color w:val="000000" w:themeColor="text1"/>
                <w:szCs w:val="16"/>
              </w:rPr>
            </w:pPr>
            <w:r w:rsidRPr="00781112">
              <w:rPr>
                <w:rFonts w:cs="Arial"/>
                <w:b/>
                <w:color w:val="000000" w:themeColor="text1"/>
                <w:szCs w:val="16"/>
              </w:rPr>
              <w:t>2017</w:t>
            </w:r>
          </w:p>
        </w:tc>
        <w:tc>
          <w:tcPr>
            <w:tcW w:w="775" w:type="pct"/>
            <w:tcBorders>
              <w:top w:val="single" w:sz="4" w:space="0" w:color="auto"/>
              <w:left w:val="single" w:sz="4" w:space="0" w:color="auto"/>
              <w:bottom w:val="single" w:sz="4" w:space="0" w:color="auto"/>
              <w:right w:val="single" w:sz="4" w:space="0" w:color="auto"/>
            </w:tcBorders>
            <w:shd w:val="clear" w:color="auto" w:fill="auto"/>
            <w:hideMark/>
          </w:tcPr>
          <w:p w14:paraId="27131AF6" w14:textId="0E6C2E5A" w:rsidR="00FA72A0" w:rsidRPr="00781112" w:rsidRDefault="002B7490" w:rsidP="00FA72A0">
            <w:pPr>
              <w:spacing w:before="0" w:after="0" w:line="276" w:lineRule="auto"/>
              <w:jc w:val="center"/>
              <w:rPr>
                <w:rFonts w:cs="Arial"/>
                <w:b/>
                <w:color w:val="000000" w:themeColor="text1"/>
                <w:szCs w:val="16"/>
              </w:rPr>
            </w:pPr>
            <w:r w:rsidRPr="00781112">
              <w:rPr>
                <w:rFonts w:cs="Arial"/>
                <w:b/>
                <w:color w:val="000000" w:themeColor="text1"/>
                <w:szCs w:val="16"/>
              </w:rPr>
              <w:t>2018</w:t>
            </w:r>
          </w:p>
        </w:tc>
        <w:tc>
          <w:tcPr>
            <w:tcW w:w="775" w:type="pct"/>
            <w:tcBorders>
              <w:top w:val="single" w:sz="4" w:space="0" w:color="auto"/>
              <w:left w:val="single" w:sz="4" w:space="0" w:color="auto"/>
              <w:bottom w:val="single" w:sz="4" w:space="0" w:color="auto"/>
              <w:right w:val="single" w:sz="4" w:space="0" w:color="auto"/>
            </w:tcBorders>
            <w:shd w:val="clear" w:color="auto" w:fill="auto"/>
          </w:tcPr>
          <w:p w14:paraId="22FE1D98" w14:textId="03E0AC83" w:rsidR="00FA72A0" w:rsidRPr="00781112" w:rsidRDefault="002B7490" w:rsidP="00FA72A0">
            <w:pPr>
              <w:spacing w:before="0" w:after="0" w:line="276" w:lineRule="auto"/>
              <w:jc w:val="center"/>
              <w:rPr>
                <w:rFonts w:cs="Arial"/>
                <w:b/>
                <w:color w:val="000000" w:themeColor="text1"/>
                <w:szCs w:val="16"/>
              </w:rPr>
            </w:pPr>
            <w:r w:rsidRPr="00781112">
              <w:rPr>
                <w:rFonts w:cs="Arial"/>
                <w:b/>
                <w:color w:val="000000" w:themeColor="text1"/>
                <w:szCs w:val="16"/>
              </w:rPr>
              <w:t>2019</w:t>
            </w:r>
          </w:p>
        </w:tc>
        <w:tc>
          <w:tcPr>
            <w:tcW w:w="775" w:type="pct"/>
            <w:tcBorders>
              <w:top w:val="single" w:sz="4" w:space="0" w:color="auto"/>
              <w:left w:val="single" w:sz="4" w:space="0" w:color="auto"/>
              <w:bottom w:val="single" w:sz="4" w:space="0" w:color="auto"/>
              <w:right w:val="single" w:sz="4" w:space="0" w:color="auto"/>
            </w:tcBorders>
            <w:shd w:val="clear" w:color="auto" w:fill="auto"/>
            <w:hideMark/>
          </w:tcPr>
          <w:p w14:paraId="09C21BFA" w14:textId="46B34AA6" w:rsidR="00FA72A0" w:rsidRPr="00781112" w:rsidRDefault="002B7490" w:rsidP="00FA72A0">
            <w:pPr>
              <w:spacing w:before="0" w:after="0" w:line="276" w:lineRule="auto"/>
              <w:jc w:val="center"/>
              <w:rPr>
                <w:rFonts w:cs="Arial"/>
                <w:b/>
                <w:color w:val="000000" w:themeColor="text1"/>
                <w:szCs w:val="16"/>
              </w:rPr>
            </w:pPr>
            <w:r w:rsidRPr="00781112">
              <w:rPr>
                <w:rFonts w:cs="Arial"/>
                <w:b/>
                <w:color w:val="000000" w:themeColor="text1"/>
                <w:szCs w:val="16"/>
              </w:rPr>
              <w:t>2020</w:t>
            </w:r>
          </w:p>
        </w:tc>
        <w:tc>
          <w:tcPr>
            <w:tcW w:w="776" w:type="pct"/>
            <w:tcBorders>
              <w:top w:val="single" w:sz="4" w:space="0" w:color="auto"/>
              <w:left w:val="single" w:sz="4" w:space="0" w:color="auto"/>
              <w:bottom w:val="single" w:sz="4" w:space="0" w:color="auto"/>
              <w:right w:val="single" w:sz="4" w:space="0" w:color="auto"/>
            </w:tcBorders>
            <w:shd w:val="clear" w:color="auto" w:fill="auto"/>
            <w:hideMark/>
          </w:tcPr>
          <w:p w14:paraId="76B7EB6E" w14:textId="46F53E4B" w:rsidR="00FA72A0" w:rsidRPr="00781112" w:rsidRDefault="002B7490" w:rsidP="00FA72A0">
            <w:pPr>
              <w:spacing w:before="0" w:after="0" w:line="276" w:lineRule="auto"/>
              <w:jc w:val="center"/>
              <w:rPr>
                <w:rFonts w:cs="Arial"/>
                <w:b/>
                <w:color w:val="000000" w:themeColor="text1"/>
                <w:szCs w:val="16"/>
              </w:rPr>
            </w:pPr>
            <w:r w:rsidRPr="00781112">
              <w:rPr>
                <w:rFonts w:cs="Arial"/>
                <w:b/>
                <w:color w:val="000000" w:themeColor="text1"/>
                <w:szCs w:val="16"/>
              </w:rPr>
              <w:t>2021</w:t>
            </w:r>
          </w:p>
        </w:tc>
      </w:tr>
      <w:tr w:rsidR="005F0D3B" w:rsidRPr="00781112" w14:paraId="6B7CE9C8" w14:textId="0609FA3D" w:rsidTr="009023AD">
        <w:trPr>
          <w:trHeight w:val="70"/>
        </w:trPr>
        <w:tc>
          <w:tcPr>
            <w:tcW w:w="248" w:type="pct"/>
            <w:tcBorders>
              <w:top w:val="single" w:sz="4" w:space="0" w:color="auto"/>
              <w:left w:val="single" w:sz="4" w:space="0" w:color="auto"/>
              <w:right w:val="single" w:sz="4" w:space="0" w:color="auto"/>
            </w:tcBorders>
            <w:shd w:val="clear" w:color="auto" w:fill="auto"/>
            <w:vAlign w:val="center"/>
          </w:tcPr>
          <w:p w14:paraId="390860C6" w14:textId="77777777" w:rsidR="00CF6742" w:rsidRPr="00781112" w:rsidRDefault="00CF6742">
            <w:pPr>
              <w:spacing w:before="0" w:after="0" w:line="276" w:lineRule="auto"/>
              <w:jc w:val="center"/>
              <w:rPr>
                <w:rFonts w:cs="Arial"/>
                <w:color w:val="000000" w:themeColor="text1"/>
                <w:szCs w:val="16"/>
              </w:rPr>
            </w:pPr>
            <w:r w:rsidRPr="00781112">
              <w:rPr>
                <w:rFonts w:cs="Arial"/>
                <w:color w:val="000000" w:themeColor="text1"/>
                <w:szCs w:val="16"/>
              </w:rPr>
              <w:t>A1</w:t>
            </w:r>
          </w:p>
        </w:tc>
        <w:tc>
          <w:tcPr>
            <w:tcW w:w="437" w:type="pct"/>
            <w:tcBorders>
              <w:top w:val="single" w:sz="4" w:space="0" w:color="auto"/>
              <w:left w:val="single" w:sz="4" w:space="0" w:color="auto"/>
              <w:right w:val="single" w:sz="4" w:space="0" w:color="auto"/>
            </w:tcBorders>
            <w:shd w:val="clear" w:color="auto" w:fill="auto"/>
            <w:vAlign w:val="center"/>
          </w:tcPr>
          <w:p w14:paraId="11755CC8" w14:textId="0D3DAA4A" w:rsidR="00CF6742" w:rsidRPr="00781112" w:rsidRDefault="002B7490" w:rsidP="00A018D4">
            <w:pPr>
              <w:jc w:val="center"/>
              <w:rPr>
                <w:rFonts w:cs="Arial"/>
                <w:color w:val="000000" w:themeColor="text1"/>
                <w:szCs w:val="16"/>
              </w:rPr>
            </w:pPr>
            <w:r w:rsidRPr="00781112">
              <w:rPr>
                <w:rFonts w:cs="Arial"/>
                <w:color w:val="000000" w:themeColor="text1"/>
                <w:szCs w:val="16"/>
              </w:rPr>
              <w:t>2017</w:t>
            </w:r>
          </w:p>
        </w:tc>
        <w:tc>
          <w:tcPr>
            <w:tcW w:w="4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E7517C1" w14:textId="06B8B15D" w:rsidR="00CF6742" w:rsidRPr="00781112" w:rsidRDefault="00CF6742" w:rsidP="00BA3DBE">
            <w:pPr>
              <w:spacing w:before="0" w:after="0" w:line="276" w:lineRule="auto"/>
              <w:jc w:val="center"/>
              <w:rPr>
                <w:rFonts w:cs="Arial"/>
                <w:color w:val="000000" w:themeColor="text1"/>
                <w:szCs w:val="16"/>
              </w:rPr>
            </w:pPr>
            <w:r w:rsidRPr="00781112">
              <w:rPr>
                <w:rFonts w:cs="Arial"/>
                <w:color w:val="000000" w:themeColor="text1"/>
                <w:szCs w:val="16"/>
              </w:rPr>
              <w:t>Target &gt;=</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4D1D42AB" w14:textId="2A4E5CB4" w:rsidR="00CF6742" w:rsidRPr="00781112" w:rsidRDefault="002B7490" w:rsidP="00A018D4">
            <w:pPr>
              <w:jc w:val="center"/>
              <w:rPr>
                <w:rFonts w:cs="Arial"/>
                <w:color w:val="000000" w:themeColor="text1"/>
                <w:szCs w:val="16"/>
              </w:rPr>
            </w:pPr>
            <w:r w:rsidRPr="00781112">
              <w:rPr>
                <w:rFonts w:cs="Arial"/>
                <w:color w:val="000000" w:themeColor="text1"/>
                <w:szCs w:val="16"/>
              </w:rPr>
              <w:t>84.00%</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7693881D" w14:textId="33AA4D0C" w:rsidR="00CF6742" w:rsidRPr="00781112" w:rsidRDefault="002B7490" w:rsidP="00A018D4">
            <w:pPr>
              <w:jc w:val="center"/>
              <w:rPr>
                <w:rFonts w:cs="Arial"/>
                <w:color w:val="000000" w:themeColor="text1"/>
                <w:szCs w:val="16"/>
              </w:rPr>
            </w:pPr>
            <w:r w:rsidRPr="00781112">
              <w:rPr>
                <w:rFonts w:cs="Arial"/>
                <w:color w:val="000000" w:themeColor="text1"/>
                <w:szCs w:val="16"/>
              </w:rPr>
              <w:t>81.30%</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14D9B341" w14:textId="54BEF16A" w:rsidR="00CF6742" w:rsidRPr="00781112" w:rsidRDefault="002B7490" w:rsidP="00A018D4">
            <w:pPr>
              <w:jc w:val="center"/>
              <w:rPr>
                <w:rFonts w:cs="Arial"/>
                <w:color w:val="000000" w:themeColor="text1"/>
                <w:szCs w:val="16"/>
              </w:rPr>
            </w:pPr>
            <w:r w:rsidRPr="00781112">
              <w:rPr>
                <w:rFonts w:cs="Arial"/>
                <w:color w:val="000000" w:themeColor="text1"/>
                <w:szCs w:val="16"/>
              </w:rPr>
              <w:t>81.30%</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7EBE7BAF" w14:textId="70BEE6C5" w:rsidR="00CF6742" w:rsidRPr="00781112" w:rsidRDefault="002B7490" w:rsidP="00A018D4">
            <w:pPr>
              <w:jc w:val="center"/>
              <w:rPr>
                <w:rFonts w:cs="Arial"/>
                <w:color w:val="000000" w:themeColor="text1"/>
                <w:szCs w:val="16"/>
              </w:rPr>
            </w:pPr>
            <w:r w:rsidRPr="00781112">
              <w:rPr>
                <w:rFonts w:cs="Arial"/>
                <w:color w:val="000000" w:themeColor="text1"/>
                <w:szCs w:val="16"/>
              </w:rPr>
              <w:t>75.32%</w:t>
            </w:r>
          </w:p>
        </w:tc>
        <w:tc>
          <w:tcPr>
            <w:tcW w:w="776" w:type="pct"/>
            <w:tcBorders>
              <w:top w:val="single" w:sz="4" w:space="0" w:color="auto"/>
              <w:left w:val="single" w:sz="4" w:space="0" w:color="auto"/>
              <w:bottom w:val="single" w:sz="4" w:space="0" w:color="auto"/>
              <w:right w:val="single" w:sz="4" w:space="0" w:color="auto"/>
            </w:tcBorders>
            <w:shd w:val="clear" w:color="auto" w:fill="auto"/>
            <w:vAlign w:val="center"/>
          </w:tcPr>
          <w:p w14:paraId="6C9BD5D1" w14:textId="20C3AA4E" w:rsidR="00CF6742" w:rsidRPr="00781112" w:rsidRDefault="002B7490" w:rsidP="00A018D4">
            <w:pPr>
              <w:jc w:val="center"/>
              <w:rPr>
                <w:rFonts w:cs="Arial"/>
                <w:color w:val="000000" w:themeColor="text1"/>
                <w:szCs w:val="16"/>
              </w:rPr>
            </w:pPr>
            <w:r w:rsidRPr="00781112">
              <w:rPr>
                <w:rFonts w:cs="Arial"/>
                <w:color w:val="000000" w:themeColor="text1"/>
                <w:szCs w:val="16"/>
              </w:rPr>
              <w:t>75.32%</w:t>
            </w:r>
          </w:p>
        </w:tc>
      </w:tr>
      <w:tr w:rsidR="005F0D3B" w:rsidRPr="00781112" w14:paraId="1273980B" w14:textId="53318F32" w:rsidTr="009023AD">
        <w:trPr>
          <w:trHeight w:val="70"/>
        </w:trPr>
        <w:tc>
          <w:tcPr>
            <w:tcW w:w="248" w:type="pct"/>
            <w:tcBorders>
              <w:left w:val="single" w:sz="4" w:space="0" w:color="auto"/>
              <w:right w:val="single" w:sz="4" w:space="0" w:color="auto"/>
            </w:tcBorders>
            <w:shd w:val="clear" w:color="auto" w:fill="auto"/>
            <w:vAlign w:val="center"/>
          </w:tcPr>
          <w:p w14:paraId="32218C67" w14:textId="38A3EC13" w:rsidR="00CF6742" w:rsidRPr="00781112" w:rsidRDefault="001474EC" w:rsidP="004369B2">
            <w:pPr>
              <w:spacing w:before="0" w:after="0" w:line="276" w:lineRule="auto"/>
              <w:jc w:val="center"/>
              <w:rPr>
                <w:rFonts w:cs="Arial"/>
                <w:color w:val="000000" w:themeColor="text1"/>
                <w:szCs w:val="16"/>
              </w:rPr>
            </w:pPr>
            <w:r w:rsidRPr="00781112">
              <w:rPr>
                <w:rFonts w:cs="Arial"/>
                <w:color w:val="000000" w:themeColor="text1"/>
                <w:szCs w:val="16"/>
              </w:rPr>
              <w:t>A1</w:t>
            </w:r>
          </w:p>
        </w:tc>
        <w:tc>
          <w:tcPr>
            <w:tcW w:w="437" w:type="pct"/>
            <w:tcBorders>
              <w:left w:val="single" w:sz="4" w:space="0" w:color="auto"/>
              <w:right w:val="single" w:sz="4" w:space="0" w:color="auto"/>
            </w:tcBorders>
            <w:shd w:val="clear" w:color="auto" w:fill="auto"/>
            <w:vAlign w:val="center"/>
          </w:tcPr>
          <w:p w14:paraId="4C1410E0" w14:textId="3EB7FCEC" w:rsidR="00CF6742" w:rsidRPr="00781112" w:rsidRDefault="002B7490" w:rsidP="00A018D4">
            <w:pPr>
              <w:jc w:val="center"/>
              <w:rPr>
                <w:rFonts w:cs="Arial"/>
                <w:color w:val="000000" w:themeColor="text1"/>
                <w:szCs w:val="16"/>
              </w:rPr>
            </w:pPr>
            <w:r w:rsidRPr="00781112">
              <w:rPr>
                <w:rFonts w:cs="Arial"/>
                <w:color w:val="000000" w:themeColor="text1"/>
                <w:szCs w:val="16"/>
              </w:rPr>
              <w:t>75.32%</w:t>
            </w:r>
          </w:p>
        </w:tc>
        <w:tc>
          <w:tcPr>
            <w:tcW w:w="4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8D849D3" w14:textId="77777777" w:rsidR="00CF6742" w:rsidRPr="00781112" w:rsidRDefault="00CF6742" w:rsidP="00BA3DBE">
            <w:pPr>
              <w:spacing w:before="0" w:after="0" w:line="276" w:lineRule="auto"/>
              <w:jc w:val="center"/>
              <w:rPr>
                <w:rFonts w:cs="Arial"/>
                <w:color w:val="000000" w:themeColor="text1"/>
                <w:szCs w:val="16"/>
              </w:rPr>
            </w:pPr>
            <w:r w:rsidRPr="00781112">
              <w:rPr>
                <w:rFonts w:cs="Arial"/>
                <w:color w:val="000000" w:themeColor="text1"/>
                <w:szCs w:val="16"/>
              </w:rPr>
              <w:t>Data</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5C95056F" w14:textId="336EBB2F" w:rsidR="00CF6742" w:rsidRPr="00781112" w:rsidRDefault="002B7490" w:rsidP="00A018D4">
            <w:pPr>
              <w:jc w:val="center"/>
              <w:rPr>
                <w:rFonts w:cs="Arial"/>
                <w:color w:val="000000" w:themeColor="text1"/>
                <w:szCs w:val="16"/>
              </w:rPr>
            </w:pPr>
            <w:r w:rsidRPr="00781112">
              <w:rPr>
                <w:rFonts w:cs="Arial"/>
                <w:color w:val="000000" w:themeColor="text1"/>
                <w:szCs w:val="16"/>
              </w:rPr>
              <w:t>75.32%</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5BFE4EBC" w14:textId="3A0FBE8F" w:rsidR="00CF6742" w:rsidRPr="00781112" w:rsidRDefault="002B7490" w:rsidP="00A018D4">
            <w:pPr>
              <w:jc w:val="center"/>
              <w:rPr>
                <w:rFonts w:cs="Arial"/>
                <w:color w:val="000000" w:themeColor="text1"/>
                <w:szCs w:val="16"/>
              </w:rPr>
            </w:pPr>
            <w:r w:rsidRPr="00781112">
              <w:rPr>
                <w:rFonts w:cs="Arial"/>
                <w:color w:val="000000" w:themeColor="text1"/>
                <w:szCs w:val="16"/>
              </w:rPr>
              <w:t>76.16%</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461F7337" w14:textId="090E4E8B" w:rsidR="00CF6742" w:rsidRPr="00781112" w:rsidRDefault="002B7490" w:rsidP="00A018D4">
            <w:pPr>
              <w:jc w:val="center"/>
              <w:rPr>
                <w:rFonts w:cs="Arial"/>
                <w:color w:val="000000" w:themeColor="text1"/>
                <w:szCs w:val="16"/>
              </w:rPr>
            </w:pPr>
            <w:r w:rsidRPr="00781112">
              <w:rPr>
                <w:rFonts w:cs="Arial"/>
                <w:color w:val="000000" w:themeColor="text1"/>
                <w:szCs w:val="16"/>
              </w:rPr>
              <w:t>71.83%</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3F93D48E" w14:textId="04E7CEC4" w:rsidR="00CF6742" w:rsidRPr="00781112" w:rsidRDefault="002B7490" w:rsidP="00A018D4">
            <w:pPr>
              <w:jc w:val="center"/>
              <w:rPr>
                <w:rFonts w:cs="Arial"/>
                <w:color w:val="000000" w:themeColor="text1"/>
                <w:szCs w:val="16"/>
              </w:rPr>
            </w:pPr>
            <w:r w:rsidRPr="00781112">
              <w:rPr>
                <w:rFonts w:cs="Arial"/>
                <w:color w:val="000000" w:themeColor="text1"/>
                <w:szCs w:val="16"/>
              </w:rPr>
              <w:t>75.00%</w:t>
            </w:r>
          </w:p>
        </w:tc>
        <w:tc>
          <w:tcPr>
            <w:tcW w:w="776" w:type="pct"/>
            <w:tcBorders>
              <w:top w:val="single" w:sz="4" w:space="0" w:color="auto"/>
              <w:left w:val="single" w:sz="4" w:space="0" w:color="auto"/>
              <w:bottom w:val="single" w:sz="4" w:space="0" w:color="auto"/>
              <w:right w:val="single" w:sz="4" w:space="0" w:color="auto"/>
            </w:tcBorders>
            <w:shd w:val="clear" w:color="auto" w:fill="auto"/>
            <w:vAlign w:val="center"/>
          </w:tcPr>
          <w:p w14:paraId="254E21AE" w14:textId="4BF3E562" w:rsidR="00CF6742" w:rsidRPr="00781112" w:rsidRDefault="002B7490" w:rsidP="00A018D4">
            <w:pPr>
              <w:jc w:val="center"/>
              <w:rPr>
                <w:rFonts w:cs="Arial"/>
                <w:color w:val="000000" w:themeColor="text1"/>
                <w:szCs w:val="16"/>
              </w:rPr>
            </w:pPr>
            <w:r w:rsidRPr="00781112">
              <w:rPr>
                <w:rFonts w:cs="Arial"/>
                <w:color w:val="000000" w:themeColor="text1"/>
                <w:szCs w:val="16"/>
              </w:rPr>
              <w:t>72.14%</w:t>
            </w:r>
          </w:p>
        </w:tc>
      </w:tr>
      <w:tr w:rsidR="005F0D3B" w:rsidRPr="00781112" w14:paraId="0B3AB2AF" w14:textId="0ED8043B" w:rsidTr="009023AD">
        <w:trPr>
          <w:trHeight w:val="70"/>
        </w:trPr>
        <w:tc>
          <w:tcPr>
            <w:tcW w:w="248" w:type="pct"/>
            <w:tcBorders>
              <w:top w:val="single" w:sz="4" w:space="0" w:color="auto"/>
              <w:left w:val="single" w:sz="4" w:space="0" w:color="auto"/>
              <w:right w:val="single" w:sz="4" w:space="0" w:color="auto"/>
            </w:tcBorders>
            <w:shd w:val="clear" w:color="auto" w:fill="auto"/>
            <w:vAlign w:val="center"/>
          </w:tcPr>
          <w:p w14:paraId="779C8614" w14:textId="77777777" w:rsidR="00CF6742" w:rsidRPr="00781112" w:rsidRDefault="00CF6742">
            <w:pPr>
              <w:spacing w:before="0" w:after="0" w:line="276" w:lineRule="auto"/>
              <w:jc w:val="center"/>
              <w:rPr>
                <w:rFonts w:cs="Arial"/>
                <w:color w:val="000000" w:themeColor="text1"/>
                <w:szCs w:val="16"/>
              </w:rPr>
            </w:pPr>
            <w:r w:rsidRPr="00781112">
              <w:rPr>
                <w:rFonts w:cs="Arial"/>
                <w:color w:val="000000" w:themeColor="text1"/>
                <w:szCs w:val="16"/>
              </w:rPr>
              <w:lastRenderedPageBreak/>
              <w:t>A2</w:t>
            </w:r>
          </w:p>
        </w:tc>
        <w:tc>
          <w:tcPr>
            <w:tcW w:w="437" w:type="pct"/>
            <w:tcBorders>
              <w:top w:val="single" w:sz="4" w:space="0" w:color="auto"/>
              <w:left w:val="single" w:sz="4" w:space="0" w:color="auto"/>
              <w:right w:val="single" w:sz="4" w:space="0" w:color="auto"/>
            </w:tcBorders>
            <w:shd w:val="clear" w:color="auto" w:fill="auto"/>
            <w:vAlign w:val="center"/>
          </w:tcPr>
          <w:p w14:paraId="4AD0B449" w14:textId="16D6804E" w:rsidR="00CF6742" w:rsidRPr="00781112" w:rsidRDefault="002B7490" w:rsidP="00A018D4">
            <w:pPr>
              <w:jc w:val="center"/>
              <w:rPr>
                <w:rFonts w:cs="Arial"/>
                <w:color w:val="000000" w:themeColor="text1"/>
                <w:szCs w:val="16"/>
              </w:rPr>
            </w:pPr>
            <w:r w:rsidRPr="00781112">
              <w:rPr>
                <w:rFonts w:cs="Arial"/>
                <w:color w:val="000000" w:themeColor="text1"/>
                <w:szCs w:val="16"/>
              </w:rPr>
              <w:t>2017</w:t>
            </w:r>
          </w:p>
        </w:tc>
        <w:tc>
          <w:tcPr>
            <w:tcW w:w="4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3A13AA6" w14:textId="7F510C2D" w:rsidR="00CF6742" w:rsidRPr="00781112" w:rsidRDefault="00CF6742" w:rsidP="00BA3DBE">
            <w:pPr>
              <w:spacing w:before="0" w:after="0" w:line="276" w:lineRule="auto"/>
              <w:jc w:val="center"/>
              <w:rPr>
                <w:rFonts w:cs="Arial"/>
                <w:color w:val="000000" w:themeColor="text1"/>
                <w:szCs w:val="16"/>
              </w:rPr>
            </w:pPr>
            <w:r w:rsidRPr="00781112">
              <w:rPr>
                <w:rFonts w:cs="Arial"/>
                <w:color w:val="000000" w:themeColor="text1"/>
                <w:szCs w:val="16"/>
              </w:rPr>
              <w:t>Target &gt;=</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1B53BBE3" w14:textId="7A5F9A90" w:rsidR="00CF6742" w:rsidRPr="00781112" w:rsidRDefault="002B7490" w:rsidP="00A018D4">
            <w:pPr>
              <w:jc w:val="center"/>
              <w:rPr>
                <w:rFonts w:cs="Arial"/>
                <w:color w:val="000000" w:themeColor="text1"/>
                <w:szCs w:val="16"/>
              </w:rPr>
            </w:pPr>
            <w:r w:rsidRPr="00781112">
              <w:rPr>
                <w:rFonts w:cs="Arial"/>
                <w:color w:val="000000" w:themeColor="text1"/>
                <w:szCs w:val="16"/>
              </w:rPr>
              <w:t>71.20%</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765BB52D" w14:textId="145AACFA" w:rsidR="00CF6742" w:rsidRPr="00781112" w:rsidRDefault="002B7490" w:rsidP="00A018D4">
            <w:pPr>
              <w:jc w:val="center"/>
              <w:rPr>
                <w:rFonts w:cs="Arial"/>
                <w:color w:val="000000" w:themeColor="text1"/>
                <w:szCs w:val="16"/>
              </w:rPr>
            </w:pPr>
            <w:r w:rsidRPr="00781112">
              <w:rPr>
                <w:rFonts w:cs="Arial"/>
                <w:color w:val="000000" w:themeColor="text1"/>
                <w:szCs w:val="16"/>
              </w:rPr>
              <w:t>67.76%</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374264A7" w14:textId="7EF45616" w:rsidR="00CF6742" w:rsidRPr="00781112" w:rsidRDefault="002B7490" w:rsidP="00A018D4">
            <w:pPr>
              <w:jc w:val="center"/>
              <w:rPr>
                <w:rFonts w:cs="Arial"/>
                <w:color w:val="000000" w:themeColor="text1"/>
                <w:szCs w:val="16"/>
              </w:rPr>
            </w:pPr>
            <w:r w:rsidRPr="00781112">
              <w:rPr>
                <w:rFonts w:cs="Arial"/>
                <w:color w:val="000000" w:themeColor="text1"/>
                <w:szCs w:val="16"/>
              </w:rPr>
              <w:t>67.77%</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091C2453" w14:textId="435017A5" w:rsidR="00CF6742" w:rsidRPr="00781112" w:rsidRDefault="002B7490" w:rsidP="00A018D4">
            <w:pPr>
              <w:jc w:val="center"/>
              <w:rPr>
                <w:rFonts w:cs="Arial"/>
                <w:color w:val="000000" w:themeColor="text1"/>
                <w:szCs w:val="16"/>
              </w:rPr>
            </w:pPr>
            <w:r w:rsidRPr="00781112">
              <w:rPr>
                <w:rFonts w:cs="Arial"/>
                <w:color w:val="000000" w:themeColor="text1"/>
                <w:szCs w:val="16"/>
              </w:rPr>
              <w:t>63.25%</w:t>
            </w:r>
          </w:p>
        </w:tc>
        <w:tc>
          <w:tcPr>
            <w:tcW w:w="776" w:type="pct"/>
            <w:tcBorders>
              <w:top w:val="single" w:sz="4" w:space="0" w:color="auto"/>
              <w:left w:val="single" w:sz="4" w:space="0" w:color="auto"/>
              <w:bottom w:val="single" w:sz="4" w:space="0" w:color="auto"/>
              <w:right w:val="single" w:sz="4" w:space="0" w:color="auto"/>
            </w:tcBorders>
            <w:shd w:val="clear" w:color="auto" w:fill="auto"/>
            <w:vAlign w:val="center"/>
          </w:tcPr>
          <w:p w14:paraId="17AA4CD6" w14:textId="54A13C0B" w:rsidR="00CF6742" w:rsidRPr="00781112" w:rsidRDefault="002B7490" w:rsidP="00A018D4">
            <w:pPr>
              <w:jc w:val="center"/>
              <w:rPr>
                <w:rFonts w:cs="Arial"/>
                <w:color w:val="000000" w:themeColor="text1"/>
                <w:szCs w:val="16"/>
              </w:rPr>
            </w:pPr>
            <w:r w:rsidRPr="00781112">
              <w:rPr>
                <w:rFonts w:cs="Arial"/>
                <w:color w:val="000000" w:themeColor="text1"/>
                <w:szCs w:val="16"/>
              </w:rPr>
              <w:t>63.25%</w:t>
            </w:r>
          </w:p>
        </w:tc>
      </w:tr>
      <w:tr w:rsidR="005F0D3B" w:rsidRPr="00781112" w14:paraId="1D11B386" w14:textId="42BD85F0" w:rsidTr="009023AD">
        <w:trPr>
          <w:trHeight w:val="85"/>
        </w:trPr>
        <w:tc>
          <w:tcPr>
            <w:tcW w:w="248" w:type="pct"/>
            <w:tcBorders>
              <w:left w:val="single" w:sz="4" w:space="0" w:color="auto"/>
              <w:right w:val="single" w:sz="4" w:space="0" w:color="auto"/>
            </w:tcBorders>
            <w:shd w:val="clear" w:color="auto" w:fill="auto"/>
            <w:vAlign w:val="center"/>
          </w:tcPr>
          <w:p w14:paraId="65E595DA" w14:textId="7544B3DB" w:rsidR="00CF6742" w:rsidRPr="00781112" w:rsidRDefault="001474EC" w:rsidP="004369B2">
            <w:pPr>
              <w:spacing w:before="0" w:after="0" w:line="276" w:lineRule="auto"/>
              <w:jc w:val="center"/>
              <w:rPr>
                <w:rFonts w:cs="Arial"/>
                <w:color w:val="000000" w:themeColor="text1"/>
                <w:szCs w:val="16"/>
              </w:rPr>
            </w:pPr>
            <w:r w:rsidRPr="00781112">
              <w:rPr>
                <w:rFonts w:cs="Arial"/>
                <w:color w:val="000000" w:themeColor="text1"/>
                <w:szCs w:val="16"/>
              </w:rPr>
              <w:t>A2</w:t>
            </w:r>
          </w:p>
        </w:tc>
        <w:tc>
          <w:tcPr>
            <w:tcW w:w="437" w:type="pct"/>
            <w:tcBorders>
              <w:left w:val="single" w:sz="4" w:space="0" w:color="auto"/>
              <w:right w:val="single" w:sz="4" w:space="0" w:color="auto"/>
            </w:tcBorders>
            <w:shd w:val="clear" w:color="auto" w:fill="auto"/>
            <w:vAlign w:val="center"/>
          </w:tcPr>
          <w:p w14:paraId="33B2AFD7" w14:textId="45496AC0" w:rsidR="00CF6742" w:rsidRPr="00781112" w:rsidRDefault="002B7490" w:rsidP="00A018D4">
            <w:pPr>
              <w:jc w:val="center"/>
              <w:rPr>
                <w:rFonts w:cs="Arial"/>
                <w:color w:val="000000" w:themeColor="text1"/>
                <w:szCs w:val="16"/>
              </w:rPr>
            </w:pPr>
            <w:r w:rsidRPr="00781112">
              <w:rPr>
                <w:rFonts w:cs="Arial"/>
                <w:color w:val="000000" w:themeColor="text1"/>
                <w:szCs w:val="16"/>
              </w:rPr>
              <w:t>63.25%</w:t>
            </w:r>
          </w:p>
        </w:tc>
        <w:tc>
          <w:tcPr>
            <w:tcW w:w="4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910ABFC" w14:textId="77777777" w:rsidR="00CF6742" w:rsidRPr="00781112" w:rsidRDefault="00CF6742" w:rsidP="00BA3DBE">
            <w:pPr>
              <w:spacing w:before="0" w:after="0" w:line="276" w:lineRule="auto"/>
              <w:jc w:val="center"/>
              <w:rPr>
                <w:rFonts w:cs="Arial"/>
                <w:color w:val="000000" w:themeColor="text1"/>
                <w:szCs w:val="16"/>
              </w:rPr>
            </w:pPr>
            <w:r w:rsidRPr="00781112">
              <w:rPr>
                <w:rFonts w:cs="Arial"/>
                <w:color w:val="000000" w:themeColor="text1"/>
                <w:szCs w:val="16"/>
              </w:rPr>
              <w:t>Data</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3FA2DD6E" w14:textId="36DC7586" w:rsidR="00CF6742" w:rsidRPr="00781112" w:rsidRDefault="002B7490" w:rsidP="00A018D4">
            <w:pPr>
              <w:jc w:val="center"/>
              <w:rPr>
                <w:rFonts w:cs="Arial"/>
                <w:color w:val="000000" w:themeColor="text1"/>
                <w:szCs w:val="16"/>
              </w:rPr>
            </w:pPr>
            <w:r w:rsidRPr="00781112">
              <w:rPr>
                <w:rFonts w:cs="Arial"/>
                <w:color w:val="000000" w:themeColor="text1"/>
                <w:szCs w:val="16"/>
              </w:rPr>
              <w:t>63.25%</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66159A9A" w14:textId="560797EF" w:rsidR="00CF6742" w:rsidRPr="00781112" w:rsidRDefault="002B7490" w:rsidP="00A018D4">
            <w:pPr>
              <w:jc w:val="center"/>
              <w:rPr>
                <w:rFonts w:cs="Arial"/>
                <w:color w:val="000000" w:themeColor="text1"/>
                <w:szCs w:val="16"/>
              </w:rPr>
            </w:pPr>
            <w:r w:rsidRPr="00781112">
              <w:rPr>
                <w:rFonts w:cs="Arial"/>
                <w:color w:val="000000" w:themeColor="text1"/>
                <w:szCs w:val="16"/>
              </w:rPr>
              <w:t>64.79%</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65D8F762" w14:textId="7C5C8489" w:rsidR="00CF6742" w:rsidRPr="00781112" w:rsidRDefault="002B7490" w:rsidP="00A018D4">
            <w:pPr>
              <w:jc w:val="center"/>
              <w:rPr>
                <w:rFonts w:cs="Arial"/>
                <w:color w:val="000000" w:themeColor="text1"/>
                <w:szCs w:val="16"/>
              </w:rPr>
            </w:pPr>
            <w:r w:rsidRPr="00781112">
              <w:rPr>
                <w:rFonts w:cs="Arial"/>
                <w:color w:val="000000" w:themeColor="text1"/>
                <w:szCs w:val="16"/>
              </w:rPr>
              <w:t>56.42%</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4F976AF4" w14:textId="04557E60" w:rsidR="00CF6742" w:rsidRPr="00781112" w:rsidRDefault="002B7490" w:rsidP="00A018D4">
            <w:pPr>
              <w:jc w:val="center"/>
              <w:rPr>
                <w:rFonts w:cs="Arial"/>
                <w:color w:val="000000" w:themeColor="text1"/>
                <w:szCs w:val="16"/>
              </w:rPr>
            </w:pPr>
            <w:r w:rsidRPr="00781112">
              <w:rPr>
                <w:rFonts w:cs="Arial"/>
                <w:color w:val="000000" w:themeColor="text1"/>
                <w:szCs w:val="16"/>
              </w:rPr>
              <w:t>60.37%</w:t>
            </w:r>
          </w:p>
        </w:tc>
        <w:tc>
          <w:tcPr>
            <w:tcW w:w="776" w:type="pct"/>
            <w:tcBorders>
              <w:top w:val="single" w:sz="4" w:space="0" w:color="auto"/>
              <w:left w:val="single" w:sz="4" w:space="0" w:color="auto"/>
              <w:bottom w:val="single" w:sz="4" w:space="0" w:color="auto"/>
              <w:right w:val="single" w:sz="4" w:space="0" w:color="auto"/>
            </w:tcBorders>
            <w:shd w:val="clear" w:color="auto" w:fill="auto"/>
            <w:vAlign w:val="center"/>
          </w:tcPr>
          <w:p w14:paraId="7EEEF23F" w14:textId="5EDDCD10" w:rsidR="00CF6742" w:rsidRPr="00781112" w:rsidRDefault="002B7490" w:rsidP="00A018D4">
            <w:pPr>
              <w:jc w:val="center"/>
              <w:rPr>
                <w:rFonts w:cs="Arial"/>
                <w:color w:val="000000" w:themeColor="text1"/>
                <w:szCs w:val="16"/>
              </w:rPr>
            </w:pPr>
            <w:r w:rsidRPr="00781112">
              <w:rPr>
                <w:rFonts w:cs="Arial"/>
                <w:color w:val="000000" w:themeColor="text1"/>
                <w:szCs w:val="16"/>
              </w:rPr>
              <w:t>65.18%</w:t>
            </w:r>
          </w:p>
        </w:tc>
      </w:tr>
      <w:tr w:rsidR="005F0D3B" w:rsidRPr="00781112" w14:paraId="038BC95B" w14:textId="47C87879" w:rsidTr="009023AD">
        <w:trPr>
          <w:trHeight w:val="85"/>
        </w:trPr>
        <w:tc>
          <w:tcPr>
            <w:tcW w:w="248" w:type="pct"/>
            <w:tcBorders>
              <w:left w:val="single" w:sz="4" w:space="0" w:color="auto"/>
              <w:right w:val="single" w:sz="4" w:space="0" w:color="auto"/>
            </w:tcBorders>
            <w:shd w:val="clear" w:color="auto" w:fill="auto"/>
            <w:vAlign w:val="center"/>
          </w:tcPr>
          <w:p w14:paraId="4B20CE7B" w14:textId="77777777" w:rsidR="0085328E" w:rsidRPr="00781112" w:rsidRDefault="0085328E" w:rsidP="004369B2">
            <w:pPr>
              <w:spacing w:before="0" w:after="0" w:line="276" w:lineRule="auto"/>
              <w:jc w:val="center"/>
              <w:rPr>
                <w:rFonts w:cs="Arial"/>
                <w:color w:val="000000" w:themeColor="text1"/>
                <w:szCs w:val="16"/>
              </w:rPr>
            </w:pPr>
            <w:r w:rsidRPr="00781112">
              <w:rPr>
                <w:rFonts w:cs="Arial"/>
                <w:color w:val="000000" w:themeColor="text1"/>
                <w:szCs w:val="16"/>
              </w:rPr>
              <w:t>B1</w:t>
            </w:r>
          </w:p>
        </w:tc>
        <w:tc>
          <w:tcPr>
            <w:tcW w:w="437" w:type="pct"/>
            <w:tcBorders>
              <w:left w:val="single" w:sz="4" w:space="0" w:color="auto"/>
              <w:right w:val="single" w:sz="4" w:space="0" w:color="auto"/>
            </w:tcBorders>
            <w:shd w:val="clear" w:color="auto" w:fill="auto"/>
            <w:vAlign w:val="center"/>
          </w:tcPr>
          <w:p w14:paraId="449E245E" w14:textId="66BE9FD7" w:rsidR="0085328E" w:rsidRPr="00781112" w:rsidRDefault="002B7490" w:rsidP="00A018D4">
            <w:pPr>
              <w:jc w:val="center"/>
              <w:rPr>
                <w:rFonts w:cs="Arial"/>
                <w:color w:val="000000" w:themeColor="text1"/>
                <w:szCs w:val="16"/>
              </w:rPr>
            </w:pPr>
            <w:r w:rsidRPr="00781112">
              <w:rPr>
                <w:rFonts w:cs="Arial"/>
                <w:color w:val="000000" w:themeColor="text1"/>
                <w:szCs w:val="16"/>
              </w:rPr>
              <w:t>2017</w:t>
            </w:r>
          </w:p>
        </w:tc>
        <w:tc>
          <w:tcPr>
            <w:tcW w:w="437" w:type="pct"/>
            <w:tcBorders>
              <w:top w:val="single" w:sz="4" w:space="0" w:color="auto"/>
              <w:left w:val="single" w:sz="4" w:space="0" w:color="auto"/>
              <w:bottom w:val="single" w:sz="4" w:space="0" w:color="auto"/>
              <w:right w:val="single" w:sz="4" w:space="0" w:color="auto"/>
            </w:tcBorders>
            <w:shd w:val="clear" w:color="auto" w:fill="auto"/>
            <w:vAlign w:val="center"/>
          </w:tcPr>
          <w:p w14:paraId="01E60245" w14:textId="7347A69D" w:rsidR="0085328E" w:rsidRPr="00781112" w:rsidRDefault="0085328E" w:rsidP="00BA3DBE">
            <w:pPr>
              <w:spacing w:before="0" w:after="0" w:line="276" w:lineRule="auto"/>
              <w:jc w:val="center"/>
              <w:rPr>
                <w:rFonts w:cs="Arial"/>
                <w:color w:val="000000" w:themeColor="text1"/>
                <w:szCs w:val="16"/>
              </w:rPr>
            </w:pPr>
            <w:r w:rsidRPr="00781112">
              <w:rPr>
                <w:rFonts w:cs="Arial"/>
                <w:color w:val="000000" w:themeColor="text1"/>
                <w:szCs w:val="16"/>
              </w:rPr>
              <w:t>Target &gt;=</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6FF1B58E" w14:textId="3C66E08F" w:rsidR="0085328E" w:rsidRPr="00781112" w:rsidRDefault="002B7490" w:rsidP="00A018D4">
            <w:pPr>
              <w:jc w:val="center"/>
              <w:rPr>
                <w:rFonts w:cs="Arial"/>
                <w:color w:val="000000" w:themeColor="text1"/>
                <w:szCs w:val="16"/>
              </w:rPr>
            </w:pPr>
            <w:r w:rsidRPr="00781112">
              <w:rPr>
                <w:rFonts w:cs="Arial"/>
                <w:color w:val="000000" w:themeColor="text1"/>
                <w:szCs w:val="16"/>
              </w:rPr>
              <w:t>84.90%</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26CEF40A" w14:textId="6AF964A1" w:rsidR="0085328E" w:rsidRPr="00781112" w:rsidRDefault="002B7490" w:rsidP="00A018D4">
            <w:pPr>
              <w:jc w:val="center"/>
              <w:rPr>
                <w:rFonts w:cs="Arial"/>
                <w:color w:val="000000" w:themeColor="text1"/>
                <w:szCs w:val="16"/>
              </w:rPr>
            </w:pPr>
            <w:r w:rsidRPr="00781112">
              <w:rPr>
                <w:rFonts w:cs="Arial"/>
                <w:color w:val="000000" w:themeColor="text1"/>
                <w:szCs w:val="16"/>
              </w:rPr>
              <w:t>82.11%</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6C74D9F4" w14:textId="774343F5" w:rsidR="0085328E" w:rsidRPr="00781112" w:rsidRDefault="002B7490" w:rsidP="00A018D4">
            <w:pPr>
              <w:jc w:val="center"/>
              <w:rPr>
                <w:rFonts w:cs="Arial"/>
                <w:color w:val="000000" w:themeColor="text1"/>
                <w:szCs w:val="16"/>
              </w:rPr>
            </w:pPr>
            <w:r w:rsidRPr="00781112">
              <w:rPr>
                <w:rFonts w:cs="Arial"/>
                <w:color w:val="000000" w:themeColor="text1"/>
                <w:szCs w:val="16"/>
              </w:rPr>
              <w:t>82.12%</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59DA59EE" w14:textId="194552B0" w:rsidR="0085328E" w:rsidRPr="00781112" w:rsidRDefault="002B7490" w:rsidP="00A018D4">
            <w:pPr>
              <w:jc w:val="center"/>
              <w:rPr>
                <w:rFonts w:cs="Arial"/>
                <w:color w:val="000000" w:themeColor="text1"/>
                <w:szCs w:val="16"/>
              </w:rPr>
            </w:pPr>
            <w:r w:rsidRPr="00781112">
              <w:rPr>
                <w:rFonts w:cs="Arial"/>
                <w:color w:val="000000" w:themeColor="text1"/>
                <w:szCs w:val="16"/>
              </w:rPr>
              <w:t>78.87%</w:t>
            </w:r>
          </w:p>
        </w:tc>
        <w:tc>
          <w:tcPr>
            <w:tcW w:w="776" w:type="pct"/>
            <w:tcBorders>
              <w:top w:val="single" w:sz="4" w:space="0" w:color="auto"/>
              <w:left w:val="single" w:sz="4" w:space="0" w:color="auto"/>
              <w:bottom w:val="single" w:sz="4" w:space="0" w:color="auto"/>
              <w:right w:val="single" w:sz="4" w:space="0" w:color="auto"/>
            </w:tcBorders>
            <w:shd w:val="clear" w:color="auto" w:fill="auto"/>
            <w:vAlign w:val="center"/>
          </w:tcPr>
          <w:p w14:paraId="28B8D5B5" w14:textId="15B9801D" w:rsidR="0085328E" w:rsidRPr="00781112" w:rsidRDefault="002B7490" w:rsidP="00A018D4">
            <w:pPr>
              <w:jc w:val="center"/>
              <w:rPr>
                <w:rFonts w:cs="Arial"/>
                <w:color w:val="000000" w:themeColor="text1"/>
                <w:szCs w:val="16"/>
              </w:rPr>
            </w:pPr>
            <w:r w:rsidRPr="00781112">
              <w:rPr>
                <w:rFonts w:cs="Arial"/>
                <w:color w:val="000000" w:themeColor="text1"/>
                <w:szCs w:val="16"/>
              </w:rPr>
              <w:t>78.87%</w:t>
            </w:r>
          </w:p>
        </w:tc>
      </w:tr>
      <w:tr w:rsidR="005F0D3B" w:rsidRPr="00781112" w14:paraId="66DA0218" w14:textId="74D7BD54" w:rsidTr="009023AD">
        <w:trPr>
          <w:trHeight w:val="85"/>
        </w:trPr>
        <w:tc>
          <w:tcPr>
            <w:tcW w:w="248" w:type="pct"/>
            <w:tcBorders>
              <w:left w:val="single" w:sz="4" w:space="0" w:color="auto"/>
              <w:right w:val="single" w:sz="4" w:space="0" w:color="auto"/>
            </w:tcBorders>
            <w:shd w:val="clear" w:color="auto" w:fill="auto"/>
            <w:vAlign w:val="center"/>
          </w:tcPr>
          <w:p w14:paraId="24B8577D" w14:textId="1B68A320" w:rsidR="0085328E" w:rsidRPr="00781112" w:rsidRDefault="001474EC" w:rsidP="004369B2">
            <w:pPr>
              <w:spacing w:before="0" w:after="0" w:line="276" w:lineRule="auto"/>
              <w:jc w:val="center"/>
              <w:rPr>
                <w:rFonts w:cs="Arial"/>
                <w:color w:val="000000" w:themeColor="text1"/>
                <w:szCs w:val="16"/>
              </w:rPr>
            </w:pPr>
            <w:r w:rsidRPr="00781112">
              <w:rPr>
                <w:rFonts w:cs="Arial"/>
                <w:color w:val="000000" w:themeColor="text1"/>
                <w:szCs w:val="16"/>
              </w:rPr>
              <w:t>B1</w:t>
            </w:r>
          </w:p>
        </w:tc>
        <w:tc>
          <w:tcPr>
            <w:tcW w:w="437" w:type="pct"/>
            <w:tcBorders>
              <w:left w:val="single" w:sz="4" w:space="0" w:color="auto"/>
              <w:right w:val="single" w:sz="4" w:space="0" w:color="auto"/>
            </w:tcBorders>
            <w:shd w:val="clear" w:color="auto" w:fill="auto"/>
            <w:vAlign w:val="center"/>
          </w:tcPr>
          <w:p w14:paraId="4F012F6D" w14:textId="4520FF93" w:rsidR="0085328E" w:rsidRPr="00781112" w:rsidRDefault="002B7490" w:rsidP="00A018D4">
            <w:pPr>
              <w:jc w:val="center"/>
              <w:rPr>
                <w:rFonts w:cs="Arial"/>
                <w:color w:val="000000" w:themeColor="text1"/>
                <w:szCs w:val="16"/>
              </w:rPr>
            </w:pPr>
            <w:r w:rsidRPr="00781112">
              <w:rPr>
                <w:rFonts w:cs="Arial"/>
                <w:color w:val="000000" w:themeColor="text1"/>
                <w:szCs w:val="16"/>
              </w:rPr>
              <w:t>78.87%</w:t>
            </w:r>
          </w:p>
        </w:tc>
        <w:tc>
          <w:tcPr>
            <w:tcW w:w="437" w:type="pct"/>
            <w:tcBorders>
              <w:top w:val="single" w:sz="4" w:space="0" w:color="auto"/>
              <w:left w:val="single" w:sz="4" w:space="0" w:color="auto"/>
              <w:bottom w:val="single" w:sz="4" w:space="0" w:color="auto"/>
              <w:right w:val="single" w:sz="4" w:space="0" w:color="auto"/>
            </w:tcBorders>
            <w:shd w:val="clear" w:color="auto" w:fill="auto"/>
            <w:vAlign w:val="center"/>
          </w:tcPr>
          <w:p w14:paraId="7B853A57" w14:textId="77777777" w:rsidR="0085328E" w:rsidRPr="00781112" w:rsidRDefault="0085328E" w:rsidP="00BA3DBE">
            <w:pPr>
              <w:spacing w:before="0" w:after="0" w:line="276" w:lineRule="auto"/>
              <w:jc w:val="center"/>
              <w:rPr>
                <w:rFonts w:cs="Arial"/>
                <w:color w:val="000000" w:themeColor="text1"/>
                <w:szCs w:val="16"/>
              </w:rPr>
            </w:pPr>
            <w:r w:rsidRPr="00781112">
              <w:rPr>
                <w:rFonts w:cs="Arial"/>
                <w:color w:val="000000" w:themeColor="text1"/>
                <w:szCs w:val="16"/>
              </w:rPr>
              <w:t>Data</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411C2254" w14:textId="1DF979D4" w:rsidR="0085328E" w:rsidRPr="00781112" w:rsidRDefault="002B7490" w:rsidP="00A018D4">
            <w:pPr>
              <w:jc w:val="center"/>
              <w:rPr>
                <w:rFonts w:cs="Arial"/>
                <w:color w:val="000000" w:themeColor="text1"/>
                <w:szCs w:val="16"/>
              </w:rPr>
            </w:pPr>
            <w:r w:rsidRPr="00781112">
              <w:rPr>
                <w:rFonts w:cs="Arial"/>
                <w:color w:val="000000" w:themeColor="text1"/>
                <w:szCs w:val="16"/>
              </w:rPr>
              <w:t>78.87%</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6F5DBAC4" w14:textId="06C3822D" w:rsidR="0085328E" w:rsidRPr="00781112" w:rsidRDefault="002B7490" w:rsidP="00A018D4">
            <w:pPr>
              <w:jc w:val="center"/>
              <w:rPr>
                <w:rFonts w:cs="Arial"/>
                <w:color w:val="000000" w:themeColor="text1"/>
                <w:szCs w:val="16"/>
              </w:rPr>
            </w:pPr>
            <w:r w:rsidRPr="00781112">
              <w:rPr>
                <w:rFonts w:cs="Arial"/>
                <w:color w:val="000000" w:themeColor="text1"/>
                <w:szCs w:val="16"/>
              </w:rPr>
              <w:t>79.16%</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79D2F1A1" w14:textId="1565A8C1" w:rsidR="0085328E" w:rsidRPr="00781112" w:rsidRDefault="002B7490" w:rsidP="00A018D4">
            <w:pPr>
              <w:jc w:val="center"/>
              <w:rPr>
                <w:rFonts w:cs="Arial"/>
                <w:color w:val="000000" w:themeColor="text1"/>
                <w:szCs w:val="16"/>
              </w:rPr>
            </w:pPr>
            <w:r w:rsidRPr="00781112">
              <w:rPr>
                <w:rFonts w:cs="Arial"/>
                <w:color w:val="000000" w:themeColor="text1"/>
                <w:szCs w:val="16"/>
              </w:rPr>
              <w:t>73.37%</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2C8C9437" w14:textId="7807B4A0" w:rsidR="0085328E" w:rsidRPr="00781112" w:rsidRDefault="002B7490" w:rsidP="00A018D4">
            <w:pPr>
              <w:jc w:val="center"/>
              <w:rPr>
                <w:rFonts w:cs="Arial"/>
                <w:color w:val="000000" w:themeColor="text1"/>
                <w:szCs w:val="16"/>
              </w:rPr>
            </w:pPr>
            <w:r w:rsidRPr="00781112">
              <w:rPr>
                <w:rFonts w:cs="Arial"/>
                <w:color w:val="000000" w:themeColor="text1"/>
                <w:szCs w:val="16"/>
              </w:rPr>
              <w:t>77.60%</w:t>
            </w:r>
          </w:p>
        </w:tc>
        <w:tc>
          <w:tcPr>
            <w:tcW w:w="776" w:type="pct"/>
            <w:tcBorders>
              <w:top w:val="single" w:sz="4" w:space="0" w:color="auto"/>
              <w:left w:val="single" w:sz="4" w:space="0" w:color="auto"/>
              <w:bottom w:val="single" w:sz="4" w:space="0" w:color="auto"/>
              <w:right w:val="single" w:sz="4" w:space="0" w:color="auto"/>
            </w:tcBorders>
            <w:shd w:val="clear" w:color="auto" w:fill="auto"/>
            <w:vAlign w:val="center"/>
          </w:tcPr>
          <w:p w14:paraId="281EDD05" w14:textId="5AA94706" w:rsidR="0085328E" w:rsidRPr="00781112" w:rsidRDefault="002B7490" w:rsidP="00A018D4">
            <w:pPr>
              <w:jc w:val="center"/>
              <w:rPr>
                <w:rFonts w:cs="Arial"/>
                <w:color w:val="000000" w:themeColor="text1"/>
                <w:szCs w:val="16"/>
              </w:rPr>
            </w:pPr>
            <w:r w:rsidRPr="00781112">
              <w:rPr>
                <w:rFonts w:cs="Arial"/>
                <w:color w:val="000000" w:themeColor="text1"/>
                <w:szCs w:val="16"/>
              </w:rPr>
              <w:t>73.85%</w:t>
            </w:r>
          </w:p>
        </w:tc>
      </w:tr>
      <w:tr w:rsidR="005F0D3B" w:rsidRPr="00781112" w14:paraId="5D1BF2C9" w14:textId="459BD37D" w:rsidTr="009023AD">
        <w:trPr>
          <w:trHeight w:val="85"/>
        </w:trPr>
        <w:tc>
          <w:tcPr>
            <w:tcW w:w="248" w:type="pct"/>
            <w:tcBorders>
              <w:left w:val="single" w:sz="4" w:space="0" w:color="auto"/>
              <w:right w:val="single" w:sz="4" w:space="0" w:color="auto"/>
            </w:tcBorders>
            <w:shd w:val="clear" w:color="auto" w:fill="auto"/>
            <w:vAlign w:val="center"/>
          </w:tcPr>
          <w:p w14:paraId="548F3C71" w14:textId="77777777" w:rsidR="0085328E" w:rsidRPr="00781112" w:rsidRDefault="0085328E" w:rsidP="004369B2">
            <w:pPr>
              <w:spacing w:before="0" w:after="0" w:line="276" w:lineRule="auto"/>
              <w:jc w:val="center"/>
              <w:rPr>
                <w:rFonts w:cs="Arial"/>
                <w:color w:val="000000" w:themeColor="text1"/>
                <w:szCs w:val="16"/>
              </w:rPr>
            </w:pPr>
            <w:r w:rsidRPr="00781112">
              <w:rPr>
                <w:rFonts w:cs="Arial"/>
                <w:color w:val="000000" w:themeColor="text1"/>
                <w:szCs w:val="16"/>
              </w:rPr>
              <w:t>B2</w:t>
            </w:r>
          </w:p>
        </w:tc>
        <w:tc>
          <w:tcPr>
            <w:tcW w:w="437" w:type="pct"/>
            <w:tcBorders>
              <w:left w:val="single" w:sz="4" w:space="0" w:color="auto"/>
              <w:right w:val="single" w:sz="4" w:space="0" w:color="auto"/>
            </w:tcBorders>
            <w:shd w:val="clear" w:color="auto" w:fill="auto"/>
            <w:vAlign w:val="center"/>
          </w:tcPr>
          <w:p w14:paraId="160EA035" w14:textId="1C94FCD5" w:rsidR="0085328E" w:rsidRPr="00781112" w:rsidRDefault="002B7490" w:rsidP="00A018D4">
            <w:pPr>
              <w:jc w:val="center"/>
              <w:rPr>
                <w:rFonts w:cs="Arial"/>
                <w:color w:val="000000" w:themeColor="text1"/>
                <w:szCs w:val="16"/>
              </w:rPr>
            </w:pPr>
            <w:r w:rsidRPr="00781112">
              <w:rPr>
                <w:rFonts w:cs="Arial"/>
                <w:color w:val="000000" w:themeColor="text1"/>
                <w:szCs w:val="16"/>
              </w:rPr>
              <w:t>2017</w:t>
            </w:r>
          </w:p>
        </w:tc>
        <w:tc>
          <w:tcPr>
            <w:tcW w:w="437" w:type="pct"/>
            <w:tcBorders>
              <w:top w:val="single" w:sz="4" w:space="0" w:color="auto"/>
              <w:left w:val="single" w:sz="4" w:space="0" w:color="auto"/>
              <w:bottom w:val="single" w:sz="4" w:space="0" w:color="auto"/>
              <w:right w:val="single" w:sz="4" w:space="0" w:color="auto"/>
            </w:tcBorders>
            <w:shd w:val="clear" w:color="auto" w:fill="auto"/>
            <w:vAlign w:val="center"/>
          </w:tcPr>
          <w:p w14:paraId="4A24CCF9" w14:textId="2D8E0643" w:rsidR="0085328E" w:rsidRPr="00781112" w:rsidRDefault="0085328E" w:rsidP="00BA3DBE">
            <w:pPr>
              <w:spacing w:before="0" w:after="0" w:line="276" w:lineRule="auto"/>
              <w:jc w:val="center"/>
              <w:rPr>
                <w:rFonts w:cs="Arial"/>
                <w:color w:val="000000" w:themeColor="text1"/>
                <w:szCs w:val="16"/>
              </w:rPr>
            </w:pPr>
            <w:r w:rsidRPr="00781112">
              <w:rPr>
                <w:rFonts w:cs="Arial"/>
                <w:color w:val="000000" w:themeColor="text1"/>
                <w:szCs w:val="16"/>
              </w:rPr>
              <w:t>Target &gt;=</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00D83D62" w14:textId="2DE181F8" w:rsidR="0085328E" w:rsidRPr="00781112" w:rsidRDefault="002B7490" w:rsidP="00A018D4">
            <w:pPr>
              <w:jc w:val="center"/>
              <w:rPr>
                <w:rFonts w:cs="Arial"/>
                <w:color w:val="000000" w:themeColor="text1"/>
                <w:szCs w:val="16"/>
              </w:rPr>
            </w:pPr>
            <w:r w:rsidRPr="00781112">
              <w:rPr>
                <w:rFonts w:cs="Arial"/>
                <w:color w:val="000000" w:themeColor="text1"/>
                <w:szCs w:val="16"/>
              </w:rPr>
              <w:t>72.80%</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02B792AD" w14:textId="758AC006" w:rsidR="0085328E" w:rsidRPr="00781112" w:rsidRDefault="002B7490" w:rsidP="00A018D4">
            <w:pPr>
              <w:jc w:val="center"/>
              <w:rPr>
                <w:rFonts w:cs="Arial"/>
                <w:color w:val="000000" w:themeColor="text1"/>
                <w:szCs w:val="16"/>
              </w:rPr>
            </w:pPr>
            <w:r w:rsidRPr="00781112">
              <w:rPr>
                <w:rFonts w:cs="Arial"/>
                <w:color w:val="000000" w:themeColor="text1"/>
                <w:szCs w:val="16"/>
              </w:rPr>
              <w:t>69.34%</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5782A18F" w14:textId="46A86692" w:rsidR="0085328E" w:rsidRPr="00781112" w:rsidRDefault="002B7490" w:rsidP="00A018D4">
            <w:pPr>
              <w:jc w:val="center"/>
              <w:rPr>
                <w:rFonts w:cs="Arial"/>
                <w:color w:val="000000" w:themeColor="text1"/>
                <w:szCs w:val="16"/>
              </w:rPr>
            </w:pPr>
            <w:r w:rsidRPr="00781112">
              <w:rPr>
                <w:rFonts w:cs="Arial"/>
                <w:color w:val="000000" w:themeColor="text1"/>
                <w:szCs w:val="16"/>
              </w:rPr>
              <w:t>69.35%</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497CBE74" w14:textId="39C3D76E" w:rsidR="0085328E" w:rsidRPr="00781112" w:rsidRDefault="002B7490" w:rsidP="00A018D4">
            <w:pPr>
              <w:jc w:val="center"/>
              <w:rPr>
                <w:rFonts w:cs="Arial"/>
                <w:color w:val="000000" w:themeColor="text1"/>
                <w:szCs w:val="16"/>
              </w:rPr>
            </w:pPr>
            <w:r w:rsidRPr="00781112">
              <w:rPr>
                <w:rFonts w:cs="Arial"/>
                <w:color w:val="000000" w:themeColor="text1"/>
                <w:szCs w:val="16"/>
              </w:rPr>
              <w:t>66.95%</w:t>
            </w:r>
          </w:p>
        </w:tc>
        <w:tc>
          <w:tcPr>
            <w:tcW w:w="776" w:type="pct"/>
            <w:tcBorders>
              <w:top w:val="single" w:sz="4" w:space="0" w:color="auto"/>
              <w:left w:val="single" w:sz="4" w:space="0" w:color="auto"/>
              <w:bottom w:val="single" w:sz="4" w:space="0" w:color="auto"/>
              <w:right w:val="single" w:sz="4" w:space="0" w:color="auto"/>
            </w:tcBorders>
            <w:shd w:val="clear" w:color="auto" w:fill="auto"/>
            <w:vAlign w:val="center"/>
          </w:tcPr>
          <w:p w14:paraId="51A34F04" w14:textId="315015F3" w:rsidR="0085328E" w:rsidRPr="00781112" w:rsidRDefault="002B7490" w:rsidP="00A018D4">
            <w:pPr>
              <w:jc w:val="center"/>
              <w:rPr>
                <w:rFonts w:cs="Arial"/>
                <w:color w:val="000000" w:themeColor="text1"/>
                <w:szCs w:val="16"/>
              </w:rPr>
            </w:pPr>
            <w:r w:rsidRPr="00781112">
              <w:rPr>
                <w:rFonts w:cs="Arial"/>
                <w:color w:val="000000" w:themeColor="text1"/>
                <w:szCs w:val="16"/>
              </w:rPr>
              <w:t>66.95%</w:t>
            </w:r>
          </w:p>
        </w:tc>
      </w:tr>
      <w:tr w:rsidR="005F0D3B" w:rsidRPr="00781112" w14:paraId="1AC0D5CC" w14:textId="451AD16E" w:rsidTr="009023AD">
        <w:trPr>
          <w:trHeight w:val="85"/>
        </w:trPr>
        <w:tc>
          <w:tcPr>
            <w:tcW w:w="248" w:type="pct"/>
            <w:tcBorders>
              <w:left w:val="single" w:sz="4" w:space="0" w:color="auto"/>
              <w:right w:val="single" w:sz="4" w:space="0" w:color="auto"/>
            </w:tcBorders>
            <w:shd w:val="clear" w:color="auto" w:fill="auto"/>
            <w:vAlign w:val="center"/>
          </w:tcPr>
          <w:p w14:paraId="143DE0B0" w14:textId="232D3364" w:rsidR="0085328E" w:rsidRPr="00781112" w:rsidRDefault="001474EC" w:rsidP="004369B2">
            <w:pPr>
              <w:spacing w:before="0" w:after="0" w:line="276" w:lineRule="auto"/>
              <w:jc w:val="center"/>
              <w:rPr>
                <w:rFonts w:cs="Arial"/>
                <w:color w:val="000000" w:themeColor="text1"/>
                <w:szCs w:val="16"/>
              </w:rPr>
            </w:pPr>
            <w:r w:rsidRPr="00781112">
              <w:rPr>
                <w:rFonts w:cs="Arial"/>
                <w:color w:val="000000" w:themeColor="text1"/>
                <w:szCs w:val="16"/>
              </w:rPr>
              <w:t>B2</w:t>
            </w:r>
          </w:p>
        </w:tc>
        <w:tc>
          <w:tcPr>
            <w:tcW w:w="437" w:type="pct"/>
            <w:tcBorders>
              <w:left w:val="single" w:sz="4" w:space="0" w:color="auto"/>
              <w:right w:val="single" w:sz="4" w:space="0" w:color="auto"/>
            </w:tcBorders>
            <w:shd w:val="clear" w:color="auto" w:fill="auto"/>
            <w:vAlign w:val="center"/>
          </w:tcPr>
          <w:p w14:paraId="24E18759" w14:textId="387ECC21" w:rsidR="0085328E" w:rsidRPr="00781112" w:rsidRDefault="002B7490" w:rsidP="00A018D4">
            <w:pPr>
              <w:jc w:val="center"/>
              <w:rPr>
                <w:rFonts w:cs="Arial"/>
                <w:color w:val="000000" w:themeColor="text1"/>
                <w:szCs w:val="16"/>
              </w:rPr>
            </w:pPr>
            <w:r w:rsidRPr="00781112">
              <w:rPr>
                <w:rFonts w:cs="Arial"/>
                <w:color w:val="000000" w:themeColor="text1"/>
                <w:szCs w:val="16"/>
              </w:rPr>
              <w:t>66.95%</w:t>
            </w:r>
          </w:p>
        </w:tc>
        <w:tc>
          <w:tcPr>
            <w:tcW w:w="437" w:type="pct"/>
            <w:tcBorders>
              <w:top w:val="single" w:sz="4" w:space="0" w:color="auto"/>
              <w:left w:val="single" w:sz="4" w:space="0" w:color="auto"/>
              <w:bottom w:val="single" w:sz="4" w:space="0" w:color="auto"/>
              <w:right w:val="single" w:sz="4" w:space="0" w:color="auto"/>
            </w:tcBorders>
            <w:shd w:val="clear" w:color="auto" w:fill="auto"/>
            <w:vAlign w:val="center"/>
          </w:tcPr>
          <w:p w14:paraId="7B1218C7" w14:textId="77777777" w:rsidR="0085328E" w:rsidRPr="00781112" w:rsidRDefault="0085328E" w:rsidP="00BA3DBE">
            <w:pPr>
              <w:spacing w:before="0" w:after="0" w:line="276" w:lineRule="auto"/>
              <w:jc w:val="center"/>
              <w:rPr>
                <w:rFonts w:cs="Arial"/>
                <w:color w:val="000000" w:themeColor="text1"/>
                <w:szCs w:val="16"/>
              </w:rPr>
            </w:pPr>
            <w:r w:rsidRPr="00781112">
              <w:rPr>
                <w:rFonts w:cs="Arial"/>
                <w:color w:val="000000" w:themeColor="text1"/>
                <w:szCs w:val="16"/>
              </w:rPr>
              <w:t>Data</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004D7405" w14:textId="7369DBD6" w:rsidR="0085328E" w:rsidRPr="00781112" w:rsidRDefault="002B7490" w:rsidP="00A018D4">
            <w:pPr>
              <w:jc w:val="center"/>
              <w:rPr>
                <w:rFonts w:cs="Arial"/>
                <w:color w:val="000000" w:themeColor="text1"/>
                <w:szCs w:val="16"/>
              </w:rPr>
            </w:pPr>
            <w:r w:rsidRPr="00781112">
              <w:rPr>
                <w:rFonts w:cs="Arial"/>
                <w:color w:val="000000" w:themeColor="text1"/>
                <w:szCs w:val="16"/>
              </w:rPr>
              <w:t>66.95%</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3668A2AF" w14:textId="3F239661" w:rsidR="0085328E" w:rsidRPr="00781112" w:rsidRDefault="002B7490" w:rsidP="00A018D4">
            <w:pPr>
              <w:jc w:val="center"/>
              <w:rPr>
                <w:rFonts w:cs="Arial"/>
                <w:color w:val="000000" w:themeColor="text1"/>
                <w:szCs w:val="16"/>
              </w:rPr>
            </w:pPr>
            <w:r w:rsidRPr="00781112">
              <w:rPr>
                <w:rFonts w:cs="Arial"/>
                <w:color w:val="000000" w:themeColor="text1"/>
                <w:szCs w:val="16"/>
              </w:rPr>
              <w:t>68.23%</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6735D643" w14:textId="534CE7F8" w:rsidR="0085328E" w:rsidRPr="00781112" w:rsidRDefault="002B7490" w:rsidP="00A018D4">
            <w:pPr>
              <w:jc w:val="center"/>
              <w:rPr>
                <w:rFonts w:cs="Arial"/>
                <w:color w:val="000000" w:themeColor="text1"/>
                <w:szCs w:val="16"/>
              </w:rPr>
            </w:pPr>
            <w:r w:rsidRPr="00781112">
              <w:rPr>
                <w:rFonts w:cs="Arial"/>
                <w:color w:val="000000" w:themeColor="text1"/>
                <w:szCs w:val="16"/>
              </w:rPr>
              <w:t>59.33%</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1769A388" w14:textId="486C020A" w:rsidR="0085328E" w:rsidRPr="00781112" w:rsidRDefault="002B7490" w:rsidP="00A018D4">
            <w:pPr>
              <w:jc w:val="center"/>
              <w:rPr>
                <w:rFonts w:cs="Arial"/>
                <w:color w:val="000000" w:themeColor="text1"/>
                <w:szCs w:val="16"/>
              </w:rPr>
            </w:pPr>
            <w:r w:rsidRPr="00781112">
              <w:rPr>
                <w:rFonts w:cs="Arial"/>
                <w:color w:val="000000" w:themeColor="text1"/>
                <w:szCs w:val="16"/>
              </w:rPr>
              <w:t>65.13%</w:t>
            </w:r>
          </w:p>
        </w:tc>
        <w:tc>
          <w:tcPr>
            <w:tcW w:w="776" w:type="pct"/>
            <w:tcBorders>
              <w:top w:val="single" w:sz="4" w:space="0" w:color="auto"/>
              <w:left w:val="single" w:sz="4" w:space="0" w:color="auto"/>
              <w:bottom w:val="single" w:sz="4" w:space="0" w:color="auto"/>
              <w:right w:val="single" w:sz="4" w:space="0" w:color="auto"/>
            </w:tcBorders>
            <w:shd w:val="clear" w:color="auto" w:fill="auto"/>
            <w:vAlign w:val="center"/>
          </w:tcPr>
          <w:p w14:paraId="4AB34E0E" w14:textId="72971784" w:rsidR="0085328E" w:rsidRPr="00781112" w:rsidRDefault="002B7490" w:rsidP="00A018D4">
            <w:pPr>
              <w:jc w:val="center"/>
              <w:rPr>
                <w:rFonts w:cs="Arial"/>
                <w:color w:val="000000" w:themeColor="text1"/>
                <w:szCs w:val="16"/>
              </w:rPr>
            </w:pPr>
            <w:r w:rsidRPr="00781112">
              <w:rPr>
                <w:rFonts w:cs="Arial"/>
                <w:color w:val="000000" w:themeColor="text1"/>
                <w:szCs w:val="16"/>
              </w:rPr>
              <w:t>62.17%</w:t>
            </w:r>
          </w:p>
        </w:tc>
      </w:tr>
      <w:tr w:rsidR="005F0D3B" w:rsidRPr="00781112" w14:paraId="3A905290" w14:textId="4D4DDE53" w:rsidTr="009023AD">
        <w:trPr>
          <w:trHeight w:val="85"/>
        </w:trPr>
        <w:tc>
          <w:tcPr>
            <w:tcW w:w="248" w:type="pct"/>
            <w:tcBorders>
              <w:left w:val="single" w:sz="4" w:space="0" w:color="auto"/>
              <w:right w:val="single" w:sz="4" w:space="0" w:color="auto"/>
            </w:tcBorders>
            <w:shd w:val="clear" w:color="auto" w:fill="auto"/>
            <w:vAlign w:val="center"/>
          </w:tcPr>
          <w:p w14:paraId="72D6BBB6" w14:textId="77777777" w:rsidR="0085328E" w:rsidRPr="00781112" w:rsidRDefault="0085328E" w:rsidP="004369B2">
            <w:pPr>
              <w:spacing w:before="0" w:after="0" w:line="276" w:lineRule="auto"/>
              <w:jc w:val="center"/>
              <w:rPr>
                <w:rFonts w:cs="Arial"/>
                <w:color w:val="000000" w:themeColor="text1"/>
                <w:szCs w:val="16"/>
              </w:rPr>
            </w:pPr>
            <w:r w:rsidRPr="00781112">
              <w:rPr>
                <w:rFonts w:cs="Arial"/>
                <w:color w:val="000000" w:themeColor="text1"/>
                <w:szCs w:val="16"/>
              </w:rPr>
              <w:t>C1</w:t>
            </w:r>
          </w:p>
        </w:tc>
        <w:tc>
          <w:tcPr>
            <w:tcW w:w="437" w:type="pct"/>
            <w:tcBorders>
              <w:left w:val="single" w:sz="4" w:space="0" w:color="auto"/>
              <w:right w:val="single" w:sz="4" w:space="0" w:color="auto"/>
            </w:tcBorders>
            <w:shd w:val="clear" w:color="auto" w:fill="auto"/>
            <w:vAlign w:val="center"/>
          </w:tcPr>
          <w:p w14:paraId="32EC35B2" w14:textId="7EF481F8" w:rsidR="0085328E" w:rsidRPr="00781112" w:rsidRDefault="002B7490" w:rsidP="00A018D4">
            <w:pPr>
              <w:jc w:val="center"/>
              <w:rPr>
                <w:rFonts w:cs="Arial"/>
                <w:color w:val="000000" w:themeColor="text1"/>
                <w:szCs w:val="16"/>
              </w:rPr>
            </w:pPr>
            <w:r w:rsidRPr="00781112">
              <w:rPr>
                <w:rFonts w:cs="Arial"/>
                <w:color w:val="000000" w:themeColor="text1"/>
                <w:szCs w:val="16"/>
              </w:rPr>
              <w:t>2017</w:t>
            </w:r>
          </w:p>
        </w:tc>
        <w:tc>
          <w:tcPr>
            <w:tcW w:w="437" w:type="pct"/>
            <w:tcBorders>
              <w:top w:val="single" w:sz="4" w:space="0" w:color="auto"/>
              <w:left w:val="single" w:sz="4" w:space="0" w:color="auto"/>
              <w:bottom w:val="single" w:sz="4" w:space="0" w:color="auto"/>
              <w:right w:val="single" w:sz="4" w:space="0" w:color="auto"/>
            </w:tcBorders>
            <w:shd w:val="clear" w:color="auto" w:fill="auto"/>
            <w:vAlign w:val="center"/>
          </w:tcPr>
          <w:p w14:paraId="2AD4BBD1" w14:textId="1AF777EC" w:rsidR="0085328E" w:rsidRPr="00781112" w:rsidRDefault="0085328E" w:rsidP="00BA3DBE">
            <w:pPr>
              <w:spacing w:before="0" w:after="0" w:line="276" w:lineRule="auto"/>
              <w:jc w:val="center"/>
              <w:rPr>
                <w:rFonts w:cs="Arial"/>
                <w:color w:val="000000" w:themeColor="text1"/>
                <w:szCs w:val="16"/>
              </w:rPr>
            </w:pPr>
            <w:r w:rsidRPr="00781112">
              <w:rPr>
                <w:rFonts w:cs="Arial"/>
                <w:color w:val="000000" w:themeColor="text1"/>
                <w:szCs w:val="16"/>
              </w:rPr>
              <w:t>Target &gt;=</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3E3605B6" w14:textId="09C06F1D" w:rsidR="0085328E" w:rsidRPr="00781112" w:rsidRDefault="002B7490" w:rsidP="00A018D4">
            <w:pPr>
              <w:jc w:val="center"/>
              <w:rPr>
                <w:rFonts w:cs="Arial"/>
                <w:color w:val="000000" w:themeColor="text1"/>
                <w:szCs w:val="16"/>
              </w:rPr>
            </w:pPr>
            <w:r w:rsidRPr="00781112">
              <w:rPr>
                <w:rFonts w:cs="Arial"/>
                <w:color w:val="000000" w:themeColor="text1"/>
                <w:szCs w:val="16"/>
              </w:rPr>
              <w:t>84.90%</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3985E737" w14:textId="1A9F0994" w:rsidR="0085328E" w:rsidRPr="00781112" w:rsidRDefault="002B7490" w:rsidP="00A018D4">
            <w:pPr>
              <w:jc w:val="center"/>
              <w:rPr>
                <w:rFonts w:cs="Arial"/>
                <w:color w:val="000000" w:themeColor="text1"/>
                <w:szCs w:val="16"/>
              </w:rPr>
            </w:pPr>
            <w:r w:rsidRPr="00781112">
              <w:rPr>
                <w:rFonts w:cs="Arial"/>
                <w:color w:val="000000" w:themeColor="text1"/>
                <w:szCs w:val="16"/>
              </w:rPr>
              <w:t>82.08%</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6104097D" w14:textId="3599EA63" w:rsidR="0085328E" w:rsidRPr="00781112" w:rsidRDefault="002B7490" w:rsidP="00A018D4">
            <w:pPr>
              <w:jc w:val="center"/>
              <w:rPr>
                <w:rFonts w:cs="Arial"/>
                <w:color w:val="000000" w:themeColor="text1"/>
                <w:szCs w:val="16"/>
              </w:rPr>
            </w:pPr>
            <w:r w:rsidRPr="00781112">
              <w:rPr>
                <w:rFonts w:cs="Arial"/>
                <w:color w:val="000000" w:themeColor="text1"/>
                <w:szCs w:val="16"/>
              </w:rPr>
              <w:t>82.09%</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72ECD873" w14:textId="22C05487" w:rsidR="0085328E" w:rsidRPr="00781112" w:rsidRDefault="002B7490" w:rsidP="00A018D4">
            <w:pPr>
              <w:jc w:val="center"/>
              <w:rPr>
                <w:rFonts w:cs="Arial"/>
                <w:color w:val="000000" w:themeColor="text1"/>
                <w:szCs w:val="16"/>
              </w:rPr>
            </w:pPr>
            <w:r w:rsidRPr="00781112">
              <w:rPr>
                <w:rFonts w:cs="Arial"/>
                <w:color w:val="000000" w:themeColor="text1"/>
                <w:szCs w:val="16"/>
              </w:rPr>
              <w:t>67.56%</w:t>
            </w:r>
          </w:p>
        </w:tc>
        <w:tc>
          <w:tcPr>
            <w:tcW w:w="776" w:type="pct"/>
            <w:tcBorders>
              <w:top w:val="single" w:sz="4" w:space="0" w:color="auto"/>
              <w:left w:val="single" w:sz="4" w:space="0" w:color="auto"/>
              <w:bottom w:val="single" w:sz="4" w:space="0" w:color="auto"/>
              <w:right w:val="single" w:sz="4" w:space="0" w:color="auto"/>
            </w:tcBorders>
            <w:shd w:val="clear" w:color="auto" w:fill="auto"/>
            <w:vAlign w:val="center"/>
          </w:tcPr>
          <w:p w14:paraId="03389E08" w14:textId="39125BE4" w:rsidR="0085328E" w:rsidRPr="00781112" w:rsidRDefault="002B7490" w:rsidP="00A018D4">
            <w:pPr>
              <w:jc w:val="center"/>
              <w:rPr>
                <w:rFonts w:cs="Arial"/>
                <w:color w:val="000000" w:themeColor="text1"/>
                <w:szCs w:val="16"/>
              </w:rPr>
            </w:pPr>
            <w:r w:rsidRPr="00781112">
              <w:rPr>
                <w:rFonts w:cs="Arial"/>
                <w:color w:val="000000" w:themeColor="text1"/>
                <w:szCs w:val="16"/>
              </w:rPr>
              <w:t>67.56%</w:t>
            </w:r>
          </w:p>
        </w:tc>
      </w:tr>
      <w:tr w:rsidR="005F0D3B" w:rsidRPr="00781112" w14:paraId="542EE9A0" w14:textId="0624CABB" w:rsidTr="009023AD">
        <w:trPr>
          <w:trHeight w:val="85"/>
        </w:trPr>
        <w:tc>
          <w:tcPr>
            <w:tcW w:w="248" w:type="pct"/>
            <w:tcBorders>
              <w:left w:val="single" w:sz="4" w:space="0" w:color="auto"/>
              <w:right w:val="single" w:sz="4" w:space="0" w:color="auto"/>
            </w:tcBorders>
            <w:shd w:val="clear" w:color="auto" w:fill="auto"/>
            <w:vAlign w:val="center"/>
          </w:tcPr>
          <w:p w14:paraId="4DBC4231" w14:textId="38EC78AF" w:rsidR="0085328E" w:rsidRPr="00781112" w:rsidRDefault="001474EC" w:rsidP="004369B2">
            <w:pPr>
              <w:spacing w:before="0" w:after="0" w:line="276" w:lineRule="auto"/>
              <w:jc w:val="center"/>
              <w:rPr>
                <w:rFonts w:cs="Arial"/>
                <w:color w:val="000000" w:themeColor="text1"/>
                <w:szCs w:val="16"/>
              </w:rPr>
            </w:pPr>
            <w:r w:rsidRPr="00781112">
              <w:rPr>
                <w:rFonts w:cs="Arial"/>
                <w:color w:val="000000" w:themeColor="text1"/>
                <w:szCs w:val="16"/>
              </w:rPr>
              <w:t>C1</w:t>
            </w:r>
          </w:p>
        </w:tc>
        <w:tc>
          <w:tcPr>
            <w:tcW w:w="437" w:type="pct"/>
            <w:tcBorders>
              <w:left w:val="single" w:sz="4" w:space="0" w:color="auto"/>
              <w:right w:val="single" w:sz="4" w:space="0" w:color="auto"/>
            </w:tcBorders>
            <w:shd w:val="clear" w:color="auto" w:fill="auto"/>
            <w:vAlign w:val="center"/>
          </w:tcPr>
          <w:p w14:paraId="4A443083" w14:textId="588F563E" w:rsidR="0085328E" w:rsidRPr="00781112" w:rsidRDefault="002B7490" w:rsidP="00A018D4">
            <w:pPr>
              <w:jc w:val="center"/>
              <w:rPr>
                <w:rFonts w:cs="Arial"/>
                <w:color w:val="000000" w:themeColor="text1"/>
                <w:szCs w:val="16"/>
              </w:rPr>
            </w:pPr>
            <w:r w:rsidRPr="00781112">
              <w:rPr>
                <w:rFonts w:cs="Arial"/>
                <w:color w:val="000000" w:themeColor="text1"/>
                <w:szCs w:val="16"/>
              </w:rPr>
              <w:t>67.56%</w:t>
            </w:r>
          </w:p>
        </w:tc>
        <w:tc>
          <w:tcPr>
            <w:tcW w:w="437" w:type="pct"/>
            <w:tcBorders>
              <w:top w:val="single" w:sz="4" w:space="0" w:color="auto"/>
              <w:left w:val="single" w:sz="4" w:space="0" w:color="auto"/>
              <w:bottom w:val="single" w:sz="4" w:space="0" w:color="auto"/>
              <w:right w:val="single" w:sz="4" w:space="0" w:color="auto"/>
            </w:tcBorders>
            <w:shd w:val="clear" w:color="auto" w:fill="auto"/>
            <w:vAlign w:val="center"/>
          </w:tcPr>
          <w:p w14:paraId="3505DBD8" w14:textId="77777777" w:rsidR="0085328E" w:rsidRPr="00781112" w:rsidRDefault="0085328E" w:rsidP="00BA3DBE">
            <w:pPr>
              <w:spacing w:before="0" w:after="0" w:line="276" w:lineRule="auto"/>
              <w:jc w:val="center"/>
              <w:rPr>
                <w:rFonts w:cs="Arial"/>
                <w:color w:val="000000" w:themeColor="text1"/>
                <w:szCs w:val="16"/>
              </w:rPr>
            </w:pPr>
            <w:r w:rsidRPr="00781112">
              <w:rPr>
                <w:rFonts w:cs="Arial"/>
                <w:color w:val="000000" w:themeColor="text1"/>
                <w:szCs w:val="16"/>
              </w:rPr>
              <w:t>Data</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3CCFC788" w14:textId="0DEC691C" w:rsidR="0085328E" w:rsidRPr="00781112" w:rsidRDefault="002B7490" w:rsidP="00A018D4">
            <w:pPr>
              <w:jc w:val="center"/>
              <w:rPr>
                <w:rFonts w:cs="Arial"/>
                <w:color w:val="000000" w:themeColor="text1"/>
                <w:szCs w:val="16"/>
              </w:rPr>
            </w:pPr>
            <w:r w:rsidRPr="00781112">
              <w:rPr>
                <w:rFonts w:cs="Arial"/>
                <w:color w:val="000000" w:themeColor="text1"/>
                <w:szCs w:val="16"/>
              </w:rPr>
              <w:t>67.56%</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0A2692FD" w14:textId="41890FD1" w:rsidR="0085328E" w:rsidRPr="00781112" w:rsidRDefault="002B7490" w:rsidP="00A018D4">
            <w:pPr>
              <w:jc w:val="center"/>
              <w:rPr>
                <w:rFonts w:cs="Arial"/>
                <w:color w:val="000000" w:themeColor="text1"/>
                <w:szCs w:val="16"/>
              </w:rPr>
            </w:pPr>
            <w:r w:rsidRPr="00781112">
              <w:rPr>
                <w:rFonts w:cs="Arial"/>
                <w:color w:val="000000" w:themeColor="text1"/>
                <w:szCs w:val="16"/>
              </w:rPr>
              <w:t>75.87%</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04E19A94" w14:textId="4230AB0E" w:rsidR="0085328E" w:rsidRPr="00781112" w:rsidRDefault="002B7490" w:rsidP="00A018D4">
            <w:pPr>
              <w:jc w:val="center"/>
              <w:rPr>
                <w:rFonts w:cs="Arial"/>
                <w:color w:val="000000" w:themeColor="text1"/>
                <w:szCs w:val="16"/>
              </w:rPr>
            </w:pPr>
            <w:r w:rsidRPr="00781112">
              <w:rPr>
                <w:rFonts w:cs="Arial"/>
                <w:color w:val="000000" w:themeColor="text1"/>
                <w:szCs w:val="16"/>
              </w:rPr>
              <w:t>71.90%</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5DF3C8C0" w14:textId="601F01AA" w:rsidR="0085328E" w:rsidRPr="00781112" w:rsidRDefault="002B7490" w:rsidP="00A018D4">
            <w:pPr>
              <w:jc w:val="center"/>
              <w:rPr>
                <w:rFonts w:cs="Arial"/>
                <w:color w:val="000000" w:themeColor="text1"/>
                <w:szCs w:val="16"/>
              </w:rPr>
            </w:pPr>
            <w:r w:rsidRPr="00781112">
              <w:rPr>
                <w:rFonts w:cs="Arial"/>
                <w:color w:val="000000" w:themeColor="text1"/>
                <w:szCs w:val="16"/>
              </w:rPr>
              <w:t>73.92%</w:t>
            </w:r>
          </w:p>
        </w:tc>
        <w:tc>
          <w:tcPr>
            <w:tcW w:w="776" w:type="pct"/>
            <w:tcBorders>
              <w:top w:val="single" w:sz="4" w:space="0" w:color="auto"/>
              <w:left w:val="single" w:sz="4" w:space="0" w:color="auto"/>
              <w:bottom w:val="single" w:sz="4" w:space="0" w:color="auto"/>
              <w:right w:val="single" w:sz="4" w:space="0" w:color="auto"/>
            </w:tcBorders>
            <w:shd w:val="clear" w:color="auto" w:fill="auto"/>
            <w:vAlign w:val="center"/>
          </w:tcPr>
          <w:p w14:paraId="6C69554C" w14:textId="208FBED6" w:rsidR="0085328E" w:rsidRPr="00781112" w:rsidRDefault="002B7490" w:rsidP="00A018D4">
            <w:pPr>
              <w:jc w:val="center"/>
              <w:rPr>
                <w:rFonts w:cs="Arial"/>
                <w:color w:val="000000" w:themeColor="text1"/>
                <w:szCs w:val="16"/>
              </w:rPr>
            </w:pPr>
            <w:r w:rsidRPr="00781112">
              <w:rPr>
                <w:rFonts w:cs="Arial"/>
                <w:color w:val="000000" w:themeColor="text1"/>
                <w:szCs w:val="16"/>
              </w:rPr>
              <w:t>71.24%</w:t>
            </w:r>
          </w:p>
        </w:tc>
      </w:tr>
      <w:tr w:rsidR="005F0D3B" w:rsidRPr="00781112" w14:paraId="1C3A879D" w14:textId="39451B95" w:rsidTr="009023AD">
        <w:trPr>
          <w:trHeight w:val="85"/>
        </w:trPr>
        <w:tc>
          <w:tcPr>
            <w:tcW w:w="248" w:type="pct"/>
            <w:tcBorders>
              <w:left w:val="single" w:sz="4" w:space="0" w:color="auto"/>
              <w:right w:val="single" w:sz="4" w:space="0" w:color="auto"/>
            </w:tcBorders>
            <w:shd w:val="clear" w:color="auto" w:fill="auto"/>
            <w:vAlign w:val="center"/>
          </w:tcPr>
          <w:p w14:paraId="26C585A1" w14:textId="77777777" w:rsidR="0085328E" w:rsidRPr="00781112" w:rsidRDefault="0085328E" w:rsidP="004369B2">
            <w:pPr>
              <w:spacing w:before="0" w:after="0" w:line="276" w:lineRule="auto"/>
              <w:jc w:val="center"/>
              <w:rPr>
                <w:rFonts w:cs="Arial"/>
                <w:color w:val="000000" w:themeColor="text1"/>
                <w:szCs w:val="16"/>
              </w:rPr>
            </w:pPr>
            <w:r w:rsidRPr="00781112">
              <w:rPr>
                <w:rFonts w:cs="Arial"/>
                <w:color w:val="000000" w:themeColor="text1"/>
                <w:szCs w:val="16"/>
              </w:rPr>
              <w:t>C2</w:t>
            </w:r>
          </w:p>
        </w:tc>
        <w:tc>
          <w:tcPr>
            <w:tcW w:w="437" w:type="pct"/>
            <w:tcBorders>
              <w:left w:val="single" w:sz="4" w:space="0" w:color="auto"/>
              <w:right w:val="single" w:sz="4" w:space="0" w:color="auto"/>
            </w:tcBorders>
            <w:shd w:val="clear" w:color="auto" w:fill="auto"/>
            <w:vAlign w:val="center"/>
          </w:tcPr>
          <w:p w14:paraId="02A4378D" w14:textId="1370C13B" w:rsidR="0085328E" w:rsidRPr="00781112" w:rsidRDefault="002B7490" w:rsidP="00A018D4">
            <w:pPr>
              <w:jc w:val="center"/>
              <w:rPr>
                <w:rFonts w:cs="Arial"/>
                <w:color w:val="000000" w:themeColor="text1"/>
                <w:szCs w:val="16"/>
              </w:rPr>
            </w:pPr>
            <w:r w:rsidRPr="00781112">
              <w:rPr>
                <w:rFonts w:cs="Arial"/>
                <w:color w:val="000000" w:themeColor="text1"/>
                <w:szCs w:val="16"/>
              </w:rPr>
              <w:t>2017</w:t>
            </w:r>
          </w:p>
        </w:tc>
        <w:tc>
          <w:tcPr>
            <w:tcW w:w="437" w:type="pct"/>
            <w:tcBorders>
              <w:top w:val="single" w:sz="4" w:space="0" w:color="auto"/>
              <w:left w:val="single" w:sz="4" w:space="0" w:color="auto"/>
              <w:bottom w:val="single" w:sz="4" w:space="0" w:color="auto"/>
              <w:right w:val="single" w:sz="4" w:space="0" w:color="auto"/>
            </w:tcBorders>
            <w:shd w:val="clear" w:color="auto" w:fill="auto"/>
            <w:vAlign w:val="center"/>
          </w:tcPr>
          <w:p w14:paraId="70F3C954" w14:textId="5809F22B" w:rsidR="0085328E" w:rsidRPr="00781112" w:rsidRDefault="0085328E" w:rsidP="00BA3DBE">
            <w:pPr>
              <w:spacing w:before="0" w:after="0" w:line="276" w:lineRule="auto"/>
              <w:jc w:val="center"/>
              <w:rPr>
                <w:rFonts w:cs="Arial"/>
                <w:color w:val="000000" w:themeColor="text1"/>
                <w:szCs w:val="16"/>
              </w:rPr>
            </w:pPr>
            <w:r w:rsidRPr="00781112">
              <w:rPr>
                <w:rFonts w:cs="Arial"/>
                <w:color w:val="000000" w:themeColor="text1"/>
                <w:szCs w:val="16"/>
              </w:rPr>
              <w:t>Target &gt;=</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537F82B2" w14:textId="3FDA4D76" w:rsidR="0085328E" w:rsidRPr="00781112" w:rsidRDefault="002B7490" w:rsidP="00A018D4">
            <w:pPr>
              <w:jc w:val="center"/>
              <w:rPr>
                <w:rFonts w:cs="Arial"/>
                <w:color w:val="000000" w:themeColor="text1"/>
                <w:szCs w:val="16"/>
              </w:rPr>
            </w:pPr>
            <w:r w:rsidRPr="00781112">
              <w:rPr>
                <w:rFonts w:cs="Arial"/>
                <w:color w:val="000000" w:themeColor="text1"/>
                <w:szCs w:val="16"/>
              </w:rPr>
              <w:t>75.40%</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5DC5B5B6" w14:textId="467D9866" w:rsidR="0085328E" w:rsidRPr="00781112" w:rsidRDefault="002B7490" w:rsidP="00A018D4">
            <w:pPr>
              <w:jc w:val="center"/>
              <w:rPr>
                <w:rFonts w:cs="Arial"/>
                <w:color w:val="000000" w:themeColor="text1"/>
                <w:szCs w:val="16"/>
              </w:rPr>
            </w:pPr>
            <w:r w:rsidRPr="00781112">
              <w:rPr>
                <w:rFonts w:cs="Arial"/>
                <w:color w:val="000000" w:themeColor="text1"/>
                <w:szCs w:val="16"/>
              </w:rPr>
              <w:t>72.12%</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04D8F929" w14:textId="659E25C7" w:rsidR="0085328E" w:rsidRPr="00781112" w:rsidRDefault="002B7490" w:rsidP="00A018D4">
            <w:pPr>
              <w:jc w:val="center"/>
              <w:rPr>
                <w:rFonts w:cs="Arial"/>
                <w:color w:val="000000" w:themeColor="text1"/>
                <w:szCs w:val="16"/>
              </w:rPr>
            </w:pPr>
            <w:r w:rsidRPr="00781112">
              <w:rPr>
                <w:rFonts w:cs="Arial"/>
                <w:color w:val="000000" w:themeColor="text1"/>
                <w:szCs w:val="16"/>
              </w:rPr>
              <w:t>72.13%</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12DB5EE8" w14:textId="25FD6BE6" w:rsidR="0085328E" w:rsidRPr="00781112" w:rsidRDefault="002B7490" w:rsidP="00A018D4">
            <w:pPr>
              <w:jc w:val="center"/>
              <w:rPr>
                <w:rFonts w:cs="Arial"/>
                <w:color w:val="000000" w:themeColor="text1"/>
                <w:szCs w:val="16"/>
              </w:rPr>
            </w:pPr>
            <w:r w:rsidRPr="00781112">
              <w:rPr>
                <w:rFonts w:cs="Arial"/>
                <w:color w:val="000000" w:themeColor="text1"/>
                <w:szCs w:val="16"/>
              </w:rPr>
              <w:t>58.51%</w:t>
            </w:r>
          </w:p>
        </w:tc>
        <w:tc>
          <w:tcPr>
            <w:tcW w:w="776" w:type="pct"/>
            <w:tcBorders>
              <w:top w:val="single" w:sz="4" w:space="0" w:color="auto"/>
              <w:left w:val="single" w:sz="4" w:space="0" w:color="auto"/>
              <w:bottom w:val="single" w:sz="4" w:space="0" w:color="auto"/>
              <w:right w:val="single" w:sz="4" w:space="0" w:color="auto"/>
            </w:tcBorders>
            <w:shd w:val="clear" w:color="auto" w:fill="auto"/>
            <w:vAlign w:val="center"/>
          </w:tcPr>
          <w:p w14:paraId="04D4A8ED" w14:textId="7FD39DDF" w:rsidR="0085328E" w:rsidRPr="00781112" w:rsidRDefault="002B7490" w:rsidP="00A018D4">
            <w:pPr>
              <w:jc w:val="center"/>
              <w:rPr>
                <w:rFonts w:cs="Arial"/>
                <w:color w:val="000000" w:themeColor="text1"/>
                <w:szCs w:val="16"/>
              </w:rPr>
            </w:pPr>
            <w:r w:rsidRPr="00781112">
              <w:rPr>
                <w:rFonts w:cs="Arial"/>
                <w:color w:val="000000" w:themeColor="text1"/>
                <w:szCs w:val="16"/>
              </w:rPr>
              <w:t>58.51%</w:t>
            </w:r>
          </w:p>
        </w:tc>
      </w:tr>
      <w:tr w:rsidR="005F0D3B" w:rsidRPr="00781112" w14:paraId="2ED2CF15" w14:textId="4D4950C3" w:rsidTr="009023AD">
        <w:trPr>
          <w:trHeight w:val="85"/>
        </w:trPr>
        <w:tc>
          <w:tcPr>
            <w:tcW w:w="248" w:type="pct"/>
            <w:tcBorders>
              <w:left w:val="single" w:sz="4" w:space="0" w:color="auto"/>
              <w:right w:val="single" w:sz="4" w:space="0" w:color="auto"/>
            </w:tcBorders>
            <w:shd w:val="clear" w:color="auto" w:fill="auto"/>
            <w:vAlign w:val="center"/>
          </w:tcPr>
          <w:p w14:paraId="0C71509B" w14:textId="5F7D99B1" w:rsidR="0085328E" w:rsidRPr="00781112" w:rsidRDefault="001474EC" w:rsidP="004369B2">
            <w:pPr>
              <w:spacing w:before="0" w:after="0" w:line="276" w:lineRule="auto"/>
              <w:jc w:val="center"/>
              <w:rPr>
                <w:rFonts w:cs="Arial"/>
                <w:color w:val="000000" w:themeColor="text1"/>
                <w:szCs w:val="16"/>
              </w:rPr>
            </w:pPr>
            <w:r w:rsidRPr="00781112">
              <w:rPr>
                <w:rFonts w:cs="Arial"/>
                <w:color w:val="000000" w:themeColor="text1"/>
                <w:szCs w:val="16"/>
              </w:rPr>
              <w:t>C2</w:t>
            </w:r>
          </w:p>
        </w:tc>
        <w:tc>
          <w:tcPr>
            <w:tcW w:w="437" w:type="pct"/>
            <w:tcBorders>
              <w:left w:val="single" w:sz="4" w:space="0" w:color="auto"/>
              <w:right w:val="single" w:sz="4" w:space="0" w:color="auto"/>
            </w:tcBorders>
            <w:shd w:val="clear" w:color="auto" w:fill="auto"/>
            <w:vAlign w:val="center"/>
          </w:tcPr>
          <w:p w14:paraId="722DF11E" w14:textId="268D7A3C" w:rsidR="0085328E" w:rsidRPr="00781112" w:rsidRDefault="002B7490" w:rsidP="00A018D4">
            <w:pPr>
              <w:jc w:val="center"/>
              <w:rPr>
                <w:rFonts w:cs="Arial"/>
                <w:color w:val="000000" w:themeColor="text1"/>
                <w:szCs w:val="16"/>
              </w:rPr>
            </w:pPr>
            <w:r w:rsidRPr="00781112">
              <w:rPr>
                <w:rFonts w:cs="Arial"/>
                <w:color w:val="000000" w:themeColor="text1"/>
                <w:szCs w:val="16"/>
              </w:rPr>
              <w:t>58.51%</w:t>
            </w:r>
          </w:p>
        </w:tc>
        <w:tc>
          <w:tcPr>
            <w:tcW w:w="437" w:type="pct"/>
            <w:tcBorders>
              <w:top w:val="single" w:sz="4" w:space="0" w:color="auto"/>
              <w:left w:val="single" w:sz="4" w:space="0" w:color="auto"/>
              <w:bottom w:val="single" w:sz="4" w:space="0" w:color="auto"/>
              <w:right w:val="single" w:sz="4" w:space="0" w:color="auto"/>
            </w:tcBorders>
            <w:shd w:val="clear" w:color="auto" w:fill="auto"/>
            <w:vAlign w:val="center"/>
          </w:tcPr>
          <w:p w14:paraId="67880F8C" w14:textId="77777777" w:rsidR="0085328E" w:rsidRPr="00781112" w:rsidRDefault="0085328E" w:rsidP="00BA3DBE">
            <w:pPr>
              <w:spacing w:before="0" w:after="0" w:line="276" w:lineRule="auto"/>
              <w:jc w:val="center"/>
              <w:rPr>
                <w:rFonts w:cs="Arial"/>
                <w:color w:val="000000" w:themeColor="text1"/>
                <w:szCs w:val="16"/>
              </w:rPr>
            </w:pPr>
            <w:r w:rsidRPr="00781112">
              <w:rPr>
                <w:rFonts w:cs="Arial"/>
                <w:color w:val="000000" w:themeColor="text1"/>
                <w:szCs w:val="16"/>
              </w:rPr>
              <w:t>Data</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69C94D3E" w14:textId="1C9729B7" w:rsidR="0085328E" w:rsidRPr="00781112" w:rsidRDefault="002B7490" w:rsidP="00A018D4">
            <w:pPr>
              <w:jc w:val="center"/>
              <w:rPr>
                <w:rFonts w:cs="Arial"/>
                <w:color w:val="000000" w:themeColor="text1"/>
                <w:szCs w:val="16"/>
              </w:rPr>
            </w:pPr>
            <w:r w:rsidRPr="00781112">
              <w:rPr>
                <w:rFonts w:cs="Arial"/>
                <w:color w:val="000000" w:themeColor="text1"/>
                <w:szCs w:val="16"/>
              </w:rPr>
              <w:t>58.51%</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6AA52620" w14:textId="6E2803C1" w:rsidR="0085328E" w:rsidRPr="00781112" w:rsidRDefault="002B7490" w:rsidP="00A018D4">
            <w:pPr>
              <w:jc w:val="center"/>
              <w:rPr>
                <w:rFonts w:cs="Arial"/>
                <w:color w:val="000000" w:themeColor="text1"/>
                <w:szCs w:val="16"/>
              </w:rPr>
            </w:pPr>
            <w:r w:rsidRPr="00781112">
              <w:rPr>
                <w:rFonts w:cs="Arial"/>
                <w:color w:val="000000" w:themeColor="text1"/>
                <w:szCs w:val="16"/>
              </w:rPr>
              <w:t>60.73%</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5CB49B53" w14:textId="1024FEC0" w:rsidR="0085328E" w:rsidRPr="00781112" w:rsidRDefault="002B7490" w:rsidP="00A018D4">
            <w:pPr>
              <w:jc w:val="center"/>
              <w:rPr>
                <w:rFonts w:cs="Arial"/>
                <w:color w:val="000000" w:themeColor="text1"/>
                <w:szCs w:val="16"/>
              </w:rPr>
            </w:pPr>
            <w:r w:rsidRPr="00781112">
              <w:rPr>
                <w:rFonts w:cs="Arial"/>
                <w:color w:val="000000" w:themeColor="text1"/>
                <w:szCs w:val="16"/>
              </w:rPr>
              <w:t>50.55%</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17B7A91B" w14:textId="764DB422" w:rsidR="0085328E" w:rsidRPr="00781112" w:rsidRDefault="002B7490" w:rsidP="00A018D4">
            <w:pPr>
              <w:jc w:val="center"/>
              <w:rPr>
                <w:rFonts w:cs="Arial"/>
                <w:color w:val="000000" w:themeColor="text1"/>
                <w:szCs w:val="16"/>
              </w:rPr>
            </w:pPr>
            <w:r w:rsidRPr="00781112">
              <w:rPr>
                <w:rFonts w:cs="Arial"/>
                <w:color w:val="000000" w:themeColor="text1"/>
                <w:szCs w:val="16"/>
              </w:rPr>
              <w:t>53.69%</w:t>
            </w:r>
          </w:p>
        </w:tc>
        <w:tc>
          <w:tcPr>
            <w:tcW w:w="776" w:type="pct"/>
            <w:tcBorders>
              <w:top w:val="single" w:sz="4" w:space="0" w:color="auto"/>
              <w:left w:val="single" w:sz="4" w:space="0" w:color="auto"/>
              <w:bottom w:val="single" w:sz="4" w:space="0" w:color="auto"/>
              <w:right w:val="single" w:sz="4" w:space="0" w:color="auto"/>
            </w:tcBorders>
            <w:shd w:val="clear" w:color="auto" w:fill="auto"/>
            <w:vAlign w:val="center"/>
          </w:tcPr>
          <w:p w14:paraId="7BDF1E23" w14:textId="1E0478E3" w:rsidR="0085328E" w:rsidRPr="00781112" w:rsidRDefault="002B7490" w:rsidP="00A018D4">
            <w:pPr>
              <w:jc w:val="center"/>
              <w:rPr>
                <w:rFonts w:cs="Arial"/>
                <w:color w:val="000000" w:themeColor="text1"/>
                <w:szCs w:val="16"/>
              </w:rPr>
            </w:pPr>
            <w:r w:rsidRPr="00781112">
              <w:rPr>
                <w:rFonts w:cs="Arial"/>
                <w:color w:val="000000" w:themeColor="text1"/>
                <w:szCs w:val="16"/>
              </w:rPr>
              <w:t>67.41%</w:t>
            </w:r>
          </w:p>
        </w:tc>
      </w:tr>
    </w:tbl>
    <w:p w14:paraId="53B4B4AE" w14:textId="77777777" w:rsidR="007870F8" w:rsidRPr="00781112" w:rsidRDefault="007870F8" w:rsidP="004369B2">
      <w:pPr>
        <w:rPr>
          <w:color w:val="000000" w:themeColor="text1"/>
        </w:rPr>
      </w:pPr>
    </w:p>
    <w:p w14:paraId="0DB74FA5" w14:textId="79B945B9" w:rsidR="00F4192A" w:rsidRPr="00781112" w:rsidRDefault="00F4192A" w:rsidP="004369B2">
      <w:pPr>
        <w:rPr>
          <w:color w:val="000000" w:themeColor="text1"/>
        </w:rPr>
      </w:pPr>
      <w:r w:rsidRPr="00781112">
        <w:rPr>
          <w:b/>
          <w:color w:val="000000" w:themeColor="text1"/>
        </w:rPr>
        <w:t>Targets</w:t>
      </w:r>
    </w:p>
    <w:tbl>
      <w:tblPr>
        <w:tblW w:w="403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B07TARGETS"/>
      </w:tblPr>
      <w:tblGrid>
        <w:gridCol w:w="679"/>
        <w:gridCol w:w="1914"/>
        <w:gridCol w:w="2040"/>
        <w:gridCol w:w="2040"/>
        <w:gridCol w:w="2041"/>
      </w:tblGrid>
      <w:tr w:rsidR="00B67FCE" w:rsidRPr="00781112" w14:paraId="7154778B" w14:textId="326343BD" w:rsidTr="00845B9B">
        <w:trPr>
          <w:trHeight w:val="333"/>
        </w:trPr>
        <w:tc>
          <w:tcPr>
            <w:tcW w:w="311" w:type="pct"/>
            <w:tcBorders>
              <w:bottom w:val="single" w:sz="4" w:space="0" w:color="auto"/>
            </w:tcBorders>
            <w:shd w:val="clear" w:color="auto" w:fill="auto"/>
            <w:vAlign w:val="center"/>
          </w:tcPr>
          <w:p w14:paraId="4C772A88" w14:textId="77777777" w:rsidR="00B67FCE" w:rsidRPr="00781112" w:rsidRDefault="00B67FCE" w:rsidP="00D62058">
            <w:pPr>
              <w:jc w:val="center"/>
              <w:rPr>
                <w:b/>
                <w:color w:val="000000" w:themeColor="text1"/>
              </w:rPr>
            </w:pPr>
            <w:r w:rsidRPr="00781112">
              <w:rPr>
                <w:b/>
                <w:color w:val="000000" w:themeColor="text1"/>
              </w:rPr>
              <w:t>FFY</w:t>
            </w:r>
          </w:p>
        </w:tc>
        <w:tc>
          <w:tcPr>
            <w:tcW w:w="1118" w:type="pct"/>
            <w:shd w:val="clear" w:color="auto" w:fill="auto"/>
            <w:vAlign w:val="center"/>
          </w:tcPr>
          <w:p w14:paraId="12A78916" w14:textId="4FE79E21" w:rsidR="00B67FCE" w:rsidRPr="00781112" w:rsidRDefault="00B67FCE" w:rsidP="00D62058">
            <w:pPr>
              <w:jc w:val="center"/>
              <w:rPr>
                <w:b/>
                <w:color w:val="000000" w:themeColor="text1"/>
              </w:rPr>
            </w:pPr>
            <w:r w:rsidRPr="00781112">
              <w:rPr>
                <w:b/>
                <w:color w:val="000000" w:themeColor="text1"/>
              </w:rPr>
              <w:t>2022</w:t>
            </w:r>
          </w:p>
        </w:tc>
        <w:tc>
          <w:tcPr>
            <w:tcW w:w="1190" w:type="pct"/>
            <w:vAlign w:val="center"/>
          </w:tcPr>
          <w:p w14:paraId="252A750A" w14:textId="25138A81" w:rsidR="00B67FCE" w:rsidRPr="00781112" w:rsidRDefault="00B67FCE" w:rsidP="00D62058">
            <w:pPr>
              <w:jc w:val="center"/>
              <w:rPr>
                <w:b/>
                <w:color w:val="000000" w:themeColor="text1"/>
              </w:rPr>
            </w:pPr>
            <w:r w:rsidRPr="00781112">
              <w:rPr>
                <w:rFonts w:cs="Arial"/>
                <w:b/>
                <w:color w:val="000000" w:themeColor="text1"/>
                <w:szCs w:val="16"/>
              </w:rPr>
              <w:t>2023</w:t>
            </w:r>
          </w:p>
        </w:tc>
        <w:tc>
          <w:tcPr>
            <w:tcW w:w="1190" w:type="pct"/>
            <w:vAlign w:val="center"/>
          </w:tcPr>
          <w:p w14:paraId="68D8D021" w14:textId="79B543D0" w:rsidR="00B67FCE" w:rsidRPr="00781112" w:rsidRDefault="00B67FCE" w:rsidP="00D62058">
            <w:pPr>
              <w:jc w:val="center"/>
              <w:rPr>
                <w:b/>
                <w:color w:val="000000" w:themeColor="text1"/>
              </w:rPr>
            </w:pPr>
            <w:r w:rsidRPr="00781112">
              <w:rPr>
                <w:rFonts w:cs="Arial"/>
                <w:b/>
                <w:color w:val="000000" w:themeColor="text1"/>
                <w:szCs w:val="16"/>
              </w:rPr>
              <w:t>2024</w:t>
            </w:r>
          </w:p>
        </w:tc>
        <w:tc>
          <w:tcPr>
            <w:tcW w:w="1190" w:type="pct"/>
            <w:vAlign w:val="center"/>
          </w:tcPr>
          <w:p w14:paraId="60B57779" w14:textId="39F7714F" w:rsidR="00B67FCE" w:rsidRPr="00781112" w:rsidRDefault="00B67FCE" w:rsidP="00D62058">
            <w:pPr>
              <w:jc w:val="center"/>
              <w:rPr>
                <w:b/>
                <w:color w:val="000000" w:themeColor="text1"/>
              </w:rPr>
            </w:pPr>
            <w:r w:rsidRPr="00781112">
              <w:rPr>
                <w:rFonts w:cs="Arial"/>
                <w:b/>
                <w:color w:val="000000" w:themeColor="text1"/>
                <w:szCs w:val="16"/>
              </w:rPr>
              <w:t>2025</w:t>
            </w:r>
          </w:p>
        </w:tc>
      </w:tr>
      <w:tr w:rsidR="00B67FCE" w:rsidRPr="00781112" w14:paraId="18C73B9A" w14:textId="4A314190" w:rsidTr="00845B9B">
        <w:trPr>
          <w:trHeight w:val="340"/>
        </w:trPr>
        <w:tc>
          <w:tcPr>
            <w:tcW w:w="311" w:type="pct"/>
            <w:shd w:val="clear" w:color="auto" w:fill="auto"/>
            <w:vAlign w:val="center"/>
          </w:tcPr>
          <w:p w14:paraId="507B0BCD" w14:textId="415A5723" w:rsidR="00B67FCE" w:rsidRPr="00781112" w:rsidRDefault="00B67FCE" w:rsidP="00BA3DBE">
            <w:pPr>
              <w:jc w:val="center"/>
              <w:rPr>
                <w:rFonts w:cs="Arial"/>
                <w:color w:val="000000" w:themeColor="text1"/>
                <w:szCs w:val="16"/>
              </w:rPr>
            </w:pPr>
            <w:r w:rsidRPr="00781112">
              <w:rPr>
                <w:rFonts w:cs="Arial"/>
                <w:color w:val="000000" w:themeColor="text1"/>
                <w:szCs w:val="16"/>
              </w:rPr>
              <w:t>Target A1 &gt;=</w:t>
            </w:r>
          </w:p>
        </w:tc>
        <w:tc>
          <w:tcPr>
            <w:tcW w:w="1118" w:type="pct"/>
            <w:shd w:val="clear" w:color="auto" w:fill="auto"/>
            <w:vAlign w:val="center"/>
          </w:tcPr>
          <w:p w14:paraId="1B809E80" w14:textId="23651174" w:rsidR="00B67FCE" w:rsidRPr="00781112" w:rsidRDefault="00B67FCE" w:rsidP="00D62058">
            <w:pPr>
              <w:jc w:val="center"/>
              <w:rPr>
                <w:color w:val="000000" w:themeColor="text1"/>
              </w:rPr>
            </w:pPr>
            <w:r w:rsidRPr="00781112">
              <w:rPr>
                <w:color w:val="000000" w:themeColor="text1"/>
              </w:rPr>
              <w:t>75.32%</w:t>
            </w:r>
          </w:p>
        </w:tc>
        <w:tc>
          <w:tcPr>
            <w:tcW w:w="1190" w:type="pct"/>
            <w:vAlign w:val="center"/>
          </w:tcPr>
          <w:p w14:paraId="5EAD01EF" w14:textId="12066A13" w:rsidR="00B67FCE" w:rsidRPr="00781112" w:rsidRDefault="00B67FCE" w:rsidP="00D62058">
            <w:pPr>
              <w:jc w:val="center"/>
              <w:rPr>
                <w:color w:val="000000" w:themeColor="text1"/>
              </w:rPr>
            </w:pPr>
            <w:r w:rsidRPr="00781112">
              <w:rPr>
                <w:color w:val="000000" w:themeColor="text1"/>
                <w:szCs w:val="16"/>
              </w:rPr>
              <w:t>75.32%</w:t>
            </w:r>
          </w:p>
        </w:tc>
        <w:tc>
          <w:tcPr>
            <w:tcW w:w="1190" w:type="pct"/>
            <w:vAlign w:val="center"/>
          </w:tcPr>
          <w:p w14:paraId="2E3018C0" w14:textId="3758E6A1" w:rsidR="00B67FCE" w:rsidRPr="00781112" w:rsidRDefault="00B67FCE" w:rsidP="00D62058">
            <w:pPr>
              <w:jc w:val="center"/>
              <w:rPr>
                <w:color w:val="000000" w:themeColor="text1"/>
              </w:rPr>
            </w:pPr>
            <w:r w:rsidRPr="00781112">
              <w:rPr>
                <w:color w:val="000000" w:themeColor="text1"/>
                <w:szCs w:val="16"/>
              </w:rPr>
              <w:t>75.32%</w:t>
            </w:r>
          </w:p>
        </w:tc>
        <w:tc>
          <w:tcPr>
            <w:tcW w:w="1190" w:type="pct"/>
            <w:vAlign w:val="center"/>
          </w:tcPr>
          <w:p w14:paraId="063238F2" w14:textId="239B2312" w:rsidR="00B67FCE" w:rsidRPr="00781112" w:rsidRDefault="00B67FCE" w:rsidP="00D62058">
            <w:pPr>
              <w:jc w:val="center"/>
              <w:rPr>
                <w:color w:val="000000" w:themeColor="text1"/>
              </w:rPr>
            </w:pPr>
            <w:r w:rsidRPr="00781112">
              <w:rPr>
                <w:color w:val="000000" w:themeColor="text1"/>
                <w:szCs w:val="16"/>
              </w:rPr>
              <w:t>76.81%</w:t>
            </w:r>
          </w:p>
        </w:tc>
      </w:tr>
      <w:tr w:rsidR="00B67FCE" w:rsidRPr="00781112" w14:paraId="7C704220" w14:textId="4A1FC69E" w:rsidTr="00845B9B">
        <w:trPr>
          <w:trHeight w:val="340"/>
        </w:trPr>
        <w:tc>
          <w:tcPr>
            <w:tcW w:w="311" w:type="pct"/>
            <w:shd w:val="clear" w:color="auto" w:fill="auto"/>
            <w:vAlign w:val="center"/>
          </w:tcPr>
          <w:p w14:paraId="253AADF0" w14:textId="721E9C65" w:rsidR="00B67FCE" w:rsidRPr="00781112" w:rsidRDefault="00B67FCE" w:rsidP="00BA3DBE">
            <w:pPr>
              <w:jc w:val="center"/>
              <w:rPr>
                <w:rFonts w:cs="Arial"/>
                <w:color w:val="000000" w:themeColor="text1"/>
                <w:szCs w:val="16"/>
              </w:rPr>
            </w:pPr>
            <w:r w:rsidRPr="00781112">
              <w:rPr>
                <w:rFonts w:cs="Arial"/>
                <w:color w:val="000000" w:themeColor="text1"/>
                <w:szCs w:val="16"/>
              </w:rPr>
              <w:t>Target A2 &gt;=</w:t>
            </w:r>
          </w:p>
        </w:tc>
        <w:tc>
          <w:tcPr>
            <w:tcW w:w="1118" w:type="pct"/>
            <w:shd w:val="clear" w:color="auto" w:fill="auto"/>
            <w:vAlign w:val="center"/>
          </w:tcPr>
          <w:p w14:paraId="572F97E5" w14:textId="71E20118" w:rsidR="00B67FCE" w:rsidRPr="00781112" w:rsidRDefault="00B67FCE" w:rsidP="00D62058">
            <w:pPr>
              <w:jc w:val="center"/>
              <w:rPr>
                <w:rFonts w:cs="Arial"/>
                <w:color w:val="000000" w:themeColor="text1"/>
                <w:szCs w:val="16"/>
              </w:rPr>
            </w:pPr>
            <w:r w:rsidRPr="00781112">
              <w:rPr>
                <w:rFonts w:cs="Arial"/>
                <w:color w:val="000000" w:themeColor="text1"/>
                <w:szCs w:val="16"/>
              </w:rPr>
              <w:t>63.25%</w:t>
            </w:r>
          </w:p>
        </w:tc>
        <w:tc>
          <w:tcPr>
            <w:tcW w:w="1190" w:type="pct"/>
            <w:vAlign w:val="center"/>
          </w:tcPr>
          <w:p w14:paraId="40137C22" w14:textId="775C9D4C" w:rsidR="00B67FCE" w:rsidRPr="00781112" w:rsidRDefault="00B67FCE" w:rsidP="00D62058">
            <w:pPr>
              <w:jc w:val="center"/>
              <w:rPr>
                <w:rFonts w:cs="Arial"/>
                <w:color w:val="000000" w:themeColor="text1"/>
                <w:szCs w:val="16"/>
              </w:rPr>
            </w:pPr>
            <w:r w:rsidRPr="00781112">
              <w:rPr>
                <w:color w:val="000000" w:themeColor="text1"/>
                <w:szCs w:val="16"/>
              </w:rPr>
              <w:t>63.25%</w:t>
            </w:r>
          </w:p>
        </w:tc>
        <w:tc>
          <w:tcPr>
            <w:tcW w:w="1190" w:type="pct"/>
            <w:vAlign w:val="center"/>
          </w:tcPr>
          <w:p w14:paraId="468DEAEF" w14:textId="0B21BE62" w:rsidR="00B67FCE" w:rsidRPr="00781112" w:rsidRDefault="00B67FCE" w:rsidP="00D62058">
            <w:pPr>
              <w:jc w:val="center"/>
              <w:rPr>
                <w:rFonts w:cs="Arial"/>
                <w:color w:val="000000" w:themeColor="text1"/>
                <w:szCs w:val="16"/>
              </w:rPr>
            </w:pPr>
            <w:r w:rsidRPr="00781112">
              <w:rPr>
                <w:color w:val="000000" w:themeColor="text1"/>
                <w:szCs w:val="16"/>
              </w:rPr>
              <w:t>63.25%</w:t>
            </w:r>
          </w:p>
        </w:tc>
        <w:tc>
          <w:tcPr>
            <w:tcW w:w="1190" w:type="pct"/>
            <w:vAlign w:val="center"/>
          </w:tcPr>
          <w:p w14:paraId="4D7AB0B5" w14:textId="5F153351" w:rsidR="00B67FCE" w:rsidRPr="00781112" w:rsidRDefault="00B67FCE" w:rsidP="00D62058">
            <w:pPr>
              <w:jc w:val="center"/>
              <w:rPr>
                <w:rFonts w:cs="Arial"/>
                <w:color w:val="000000" w:themeColor="text1"/>
                <w:szCs w:val="16"/>
              </w:rPr>
            </w:pPr>
            <w:r w:rsidRPr="00781112">
              <w:rPr>
                <w:color w:val="000000" w:themeColor="text1"/>
                <w:szCs w:val="16"/>
              </w:rPr>
              <w:t>64.92%</w:t>
            </w:r>
          </w:p>
        </w:tc>
      </w:tr>
      <w:tr w:rsidR="00B67FCE" w:rsidRPr="00781112" w14:paraId="6D44D644" w14:textId="2AAE55F2" w:rsidTr="00845B9B">
        <w:trPr>
          <w:trHeight w:val="340"/>
        </w:trPr>
        <w:tc>
          <w:tcPr>
            <w:tcW w:w="311" w:type="pct"/>
            <w:shd w:val="clear" w:color="auto" w:fill="auto"/>
            <w:vAlign w:val="center"/>
          </w:tcPr>
          <w:p w14:paraId="2E46543E" w14:textId="484E799D" w:rsidR="00B67FCE" w:rsidRPr="00781112" w:rsidRDefault="00B67FCE" w:rsidP="00BA3DBE">
            <w:pPr>
              <w:jc w:val="center"/>
              <w:rPr>
                <w:rFonts w:cs="Arial"/>
                <w:color w:val="000000" w:themeColor="text1"/>
                <w:szCs w:val="16"/>
              </w:rPr>
            </w:pPr>
            <w:r w:rsidRPr="00781112">
              <w:rPr>
                <w:rFonts w:cs="Arial"/>
                <w:color w:val="000000" w:themeColor="text1"/>
                <w:szCs w:val="16"/>
              </w:rPr>
              <w:t>Target B1 &gt;=</w:t>
            </w:r>
          </w:p>
        </w:tc>
        <w:tc>
          <w:tcPr>
            <w:tcW w:w="1118" w:type="pct"/>
            <w:shd w:val="clear" w:color="auto" w:fill="auto"/>
            <w:vAlign w:val="center"/>
          </w:tcPr>
          <w:p w14:paraId="5B1AAB6F" w14:textId="09987858" w:rsidR="00B67FCE" w:rsidRPr="00781112" w:rsidRDefault="00B67FCE" w:rsidP="00D62058">
            <w:pPr>
              <w:jc w:val="center"/>
              <w:rPr>
                <w:rFonts w:cs="Arial"/>
                <w:color w:val="000000" w:themeColor="text1"/>
                <w:szCs w:val="16"/>
              </w:rPr>
            </w:pPr>
            <w:r w:rsidRPr="00781112">
              <w:rPr>
                <w:rFonts w:cs="Arial"/>
                <w:color w:val="000000" w:themeColor="text1"/>
                <w:szCs w:val="16"/>
              </w:rPr>
              <w:t>78.87%</w:t>
            </w:r>
          </w:p>
        </w:tc>
        <w:tc>
          <w:tcPr>
            <w:tcW w:w="1190" w:type="pct"/>
            <w:vAlign w:val="center"/>
          </w:tcPr>
          <w:p w14:paraId="7D23F948" w14:textId="1533C8CE" w:rsidR="00B67FCE" w:rsidRPr="00781112" w:rsidRDefault="00B67FCE" w:rsidP="00D62058">
            <w:pPr>
              <w:jc w:val="center"/>
              <w:rPr>
                <w:rFonts w:cs="Arial"/>
                <w:color w:val="000000" w:themeColor="text1"/>
                <w:szCs w:val="16"/>
              </w:rPr>
            </w:pPr>
            <w:r w:rsidRPr="00781112">
              <w:rPr>
                <w:color w:val="000000" w:themeColor="text1"/>
                <w:szCs w:val="16"/>
              </w:rPr>
              <w:t>78.87%</w:t>
            </w:r>
          </w:p>
        </w:tc>
        <w:tc>
          <w:tcPr>
            <w:tcW w:w="1190" w:type="pct"/>
            <w:vAlign w:val="center"/>
          </w:tcPr>
          <w:p w14:paraId="681F2D39" w14:textId="3BA1761B" w:rsidR="00B67FCE" w:rsidRPr="00781112" w:rsidRDefault="00B67FCE" w:rsidP="00D62058">
            <w:pPr>
              <w:jc w:val="center"/>
              <w:rPr>
                <w:rFonts w:cs="Arial"/>
                <w:color w:val="000000" w:themeColor="text1"/>
                <w:szCs w:val="16"/>
              </w:rPr>
            </w:pPr>
            <w:r w:rsidRPr="00781112">
              <w:rPr>
                <w:color w:val="000000" w:themeColor="text1"/>
                <w:szCs w:val="16"/>
              </w:rPr>
              <w:t>78.87%</w:t>
            </w:r>
          </w:p>
        </w:tc>
        <w:tc>
          <w:tcPr>
            <w:tcW w:w="1190" w:type="pct"/>
            <w:vAlign w:val="center"/>
          </w:tcPr>
          <w:p w14:paraId="0F16DD78" w14:textId="0278257D" w:rsidR="00B67FCE" w:rsidRPr="00781112" w:rsidRDefault="00B67FCE" w:rsidP="00D62058">
            <w:pPr>
              <w:jc w:val="center"/>
              <w:rPr>
                <w:rFonts w:cs="Arial"/>
                <w:color w:val="000000" w:themeColor="text1"/>
                <w:szCs w:val="16"/>
              </w:rPr>
            </w:pPr>
            <w:r w:rsidRPr="00781112">
              <w:rPr>
                <w:color w:val="000000" w:themeColor="text1"/>
                <w:szCs w:val="16"/>
              </w:rPr>
              <w:t>80.28%</w:t>
            </w:r>
          </w:p>
        </w:tc>
      </w:tr>
      <w:tr w:rsidR="00B67FCE" w:rsidRPr="00781112" w14:paraId="23425CD0" w14:textId="2D15C5CA" w:rsidTr="00845B9B">
        <w:trPr>
          <w:trHeight w:val="340"/>
        </w:trPr>
        <w:tc>
          <w:tcPr>
            <w:tcW w:w="311" w:type="pct"/>
            <w:shd w:val="clear" w:color="auto" w:fill="auto"/>
            <w:vAlign w:val="center"/>
          </w:tcPr>
          <w:p w14:paraId="7DAA620C" w14:textId="6D6F79FD" w:rsidR="00B67FCE" w:rsidRPr="00781112" w:rsidRDefault="00B67FCE" w:rsidP="00BA3DBE">
            <w:pPr>
              <w:jc w:val="center"/>
              <w:rPr>
                <w:rFonts w:cs="Arial"/>
                <w:color w:val="000000" w:themeColor="text1"/>
                <w:szCs w:val="16"/>
              </w:rPr>
            </w:pPr>
            <w:r w:rsidRPr="00781112">
              <w:rPr>
                <w:rFonts w:cs="Arial"/>
                <w:color w:val="000000" w:themeColor="text1"/>
                <w:szCs w:val="16"/>
              </w:rPr>
              <w:t>Target B2 &gt;=</w:t>
            </w:r>
          </w:p>
        </w:tc>
        <w:tc>
          <w:tcPr>
            <w:tcW w:w="1118" w:type="pct"/>
            <w:shd w:val="clear" w:color="auto" w:fill="auto"/>
            <w:vAlign w:val="center"/>
          </w:tcPr>
          <w:p w14:paraId="0C8065AA" w14:textId="2AC4B20C" w:rsidR="00B67FCE" w:rsidRPr="00781112" w:rsidRDefault="00B67FCE" w:rsidP="00D62058">
            <w:pPr>
              <w:jc w:val="center"/>
              <w:rPr>
                <w:rFonts w:cs="Arial"/>
                <w:color w:val="000000" w:themeColor="text1"/>
                <w:szCs w:val="16"/>
              </w:rPr>
            </w:pPr>
            <w:r w:rsidRPr="00781112">
              <w:rPr>
                <w:rFonts w:cs="Arial"/>
                <w:color w:val="000000" w:themeColor="text1"/>
                <w:szCs w:val="16"/>
              </w:rPr>
              <w:t>66.95%</w:t>
            </w:r>
          </w:p>
        </w:tc>
        <w:tc>
          <w:tcPr>
            <w:tcW w:w="1190" w:type="pct"/>
            <w:vAlign w:val="center"/>
          </w:tcPr>
          <w:p w14:paraId="3751A50F" w14:textId="3383D4A8" w:rsidR="00B67FCE" w:rsidRPr="00781112" w:rsidRDefault="00B67FCE" w:rsidP="00D62058">
            <w:pPr>
              <w:jc w:val="center"/>
              <w:rPr>
                <w:rFonts w:cs="Arial"/>
                <w:color w:val="000000" w:themeColor="text1"/>
                <w:szCs w:val="16"/>
              </w:rPr>
            </w:pPr>
            <w:r w:rsidRPr="00781112">
              <w:rPr>
                <w:color w:val="000000" w:themeColor="text1"/>
                <w:szCs w:val="16"/>
              </w:rPr>
              <w:t>66.95%</w:t>
            </w:r>
          </w:p>
        </w:tc>
        <w:tc>
          <w:tcPr>
            <w:tcW w:w="1190" w:type="pct"/>
            <w:vAlign w:val="center"/>
          </w:tcPr>
          <w:p w14:paraId="5235FFA6" w14:textId="4138DEB0" w:rsidR="00B67FCE" w:rsidRPr="00781112" w:rsidRDefault="00B67FCE" w:rsidP="00D62058">
            <w:pPr>
              <w:jc w:val="center"/>
              <w:rPr>
                <w:rFonts w:cs="Arial"/>
                <w:color w:val="000000" w:themeColor="text1"/>
                <w:szCs w:val="16"/>
              </w:rPr>
            </w:pPr>
            <w:r w:rsidRPr="00781112">
              <w:rPr>
                <w:color w:val="000000" w:themeColor="text1"/>
                <w:szCs w:val="16"/>
              </w:rPr>
              <w:t>66.95%</w:t>
            </w:r>
          </w:p>
        </w:tc>
        <w:tc>
          <w:tcPr>
            <w:tcW w:w="1190" w:type="pct"/>
            <w:vAlign w:val="center"/>
          </w:tcPr>
          <w:p w14:paraId="7C9D5CEA" w14:textId="1B842876" w:rsidR="00B67FCE" w:rsidRPr="00781112" w:rsidRDefault="00B67FCE" w:rsidP="00D62058">
            <w:pPr>
              <w:jc w:val="center"/>
              <w:rPr>
                <w:rFonts w:cs="Arial"/>
                <w:color w:val="000000" w:themeColor="text1"/>
                <w:szCs w:val="16"/>
              </w:rPr>
            </w:pPr>
            <w:r w:rsidRPr="00781112">
              <w:rPr>
                <w:color w:val="000000" w:themeColor="text1"/>
                <w:szCs w:val="16"/>
              </w:rPr>
              <w:t>68.58%</w:t>
            </w:r>
          </w:p>
        </w:tc>
      </w:tr>
      <w:tr w:rsidR="00B67FCE" w:rsidRPr="00781112" w14:paraId="3A0A624F" w14:textId="2DA1E496" w:rsidTr="00845B9B">
        <w:trPr>
          <w:trHeight w:val="340"/>
        </w:trPr>
        <w:tc>
          <w:tcPr>
            <w:tcW w:w="311" w:type="pct"/>
            <w:shd w:val="clear" w:color="auto" w:fill="auto"/>
            <w:vAlign w:val="center"/>
          </w:tcPr>
          <w:p w14:paraId="04DCCFAA" w14:textId="5591B965" w:rsidR="00B67FCE" w:rsidRPr="00781112" w:rsidRDefault="00B67FCE" w:rsidP="00BA3DBE">
            <w:pPr>
              <w:jc w:val="center"/>
              <w:rPr>
                <w:rFonts w:cs="Arial"/>
                <w:color w:val="000000" w:themeColor="text1"/>
                <w:szCs w:val="16"/>
              </w:rPr>
            </w:pPr>
            <w:r w:rsidRPr="00781112">
              <w:rPr>
                <w:rFonts w:cs="Arial"/>
                <w:color w:val="000000" w:themeColor="text1"/>
                <w:szCs w:val="16"/>
              </w:rPr>
              <w:t>Target C1 &gt;=</w:t>
            </w:r>
          </w:p>
        </w:tc>
        <w:tc>
          <w:tcPr>
            <w:tcW w:w="1118" w:type="pct"/>
            <w:shd w:val="clear" w:color="auto" w:fill="auto"/>
            <w:vAlign w:val="center"/>
          </w:tcPr>
          <w:p w14:paraId="26176209" w14:textId="03FEA13C" w:rsidR="00B67FCE" w:rsidRPr="00781112" w:rsidRDefault="00B67FCE" w:rsidP="00D62058">
            <w:pPr>
              <w:jc w:val="center"/>
              <w:rPr>
                <w:rFonts w:cs="Arial"/>
                <w:color w:val="000000" w:themeColor="text1"/>
                <w:szCs w:val="16"/>
              </w:rPr>
            </w:pPr>
            <w:r w:rsidRPr="00781112">
              <w:rPr>
                <w:rFonts w:cs="Arial"/>
                <w:color w:val="000000" w:themeColor="text1"/>
                <w:szCs w:val="16"/>
              </w:rPr>
              <w:t>67.56%</w:t>
            </w:r>
          </w:p>
        </w:tc>
        <w:tc>
          <w:tcPr>
            <w:tcW w:w="1190" w:type="pct"/>
            <w:vAlign w:val="center"/>
          </w:tcPr>
          <w:p w14:paraId="36CB20B0" w14:textId="212CC3E5" w:rsidR="00B67FCE" w:rsidRPr="00781112" w:rsidRDefault="00B67FCE" w:rsidP="00D62058">
            <w:pPr>
              <w:jc w:val="center"/>
              <w:rPr>
                <w:rFonts w:cs="Arial"/>
                <w:color w:val="000000" w:themeColor="text1"/>
                <w:szCs w:val="16"/>
              </w:rPr>
            </w:pPr>
            <w:r w:rsidRPr="00781112">
              <w:rPr>
                <w:color w:val="000000" w:themeColor="text1"/>
                <w:szCs w:val="16"/>
              </w:rPr>
              <w:t>69.18%</w:t>
            </w:r>
          </w:p>
        </w:tc>
        <w:tc>
          <w:tcPr>
            <w:tcW w:w="1190" w:type="pct"/>
            <w:vAlign w:val="center"/>
          </w:tcPr>
          <w:p w14:paraId="29B1E3BE" w14:textId="0FFFD561" w:rsidR="00B67FCE" w:rsidRPr="00781112" w:rsidRDefault="00B67FCE" w:rsidP="00D62058">
            <w:pPr>
              <w:jc w:val="center"/>
              <w:rPr>
                <w:rFonts w:cs="Arial"/>
                <w:color w:val="000000" w:themeColor="text1"/>
                <w:szCs w:val="16"/>
              </w:rPr>
            </w:pPr>
            <w:r w:rsidRPr="00781112">
              <w:rPr>
                <w:color w:val="000000" w:themeColor="text1"/>
                <w:szCs w:val="16"/>
              </w:rPr>
              <w:t>70.80%</w:t>
            </w:r>
          </w:p>
        </w:tc>
        <w:tc>
          <w:tcPr>
            <w:tcW w:w="1190" w:type="pct"/>
            <w:vAlign w:val="center"/>
          </w:tcPr>
          <w:p w14:paraId="287AC7C4" w14:textId="5C0E3064" w:rsidR="00B67FCE" w:rsidRPr="00781112" w:rsidRDefault="00B67FCE" w:rsidP="00D62058">
            <w:pPr>
              <w:jc w:val="center"/>
              <w:rPr>
                <w:rFonts w:cs="Arial"/>
                <w:color w:val="000000" w:themeColor="text1"/>
                <w:szCs w:val="16"/>
              </w:rPr>
            </w:pPr>
            <w:r w:rsidRPr="00781112">
              <w:rPr>
                <w:color w:val="000000" w:themeColor="text1"/>
                <w:szCs w:val="16"/>
              </w:rPr>
              <w:t>72.42%</w:t>
            </w:r>
          </w:p>
        </w:tc>
      </w:tr>
      <w:tr w:rsidR="00B67FCE" w:rsidRPr="00781112" w14:paraId="7FD0F8D0" w14:textId="6F160F3D" w:rsidTr="00845B9B">
        <w:trPr>
          <w:trHeight w:val="340"/>
        </w:trPr>
        <w:tc>
          <w:tcPr>
            <w:tcW w:w="311" w:type="pct"/>
            <w:shd w:val="clear" w:color="auto" w:fill="auto"/>
            <w:vAlign w:val="center"/>
          </w:tcPr>
          <w:p w14:paraId="16DEC104" w14:textId="6A28B34F" w:rsidR="00B67FCE" w:rsidRPr="00781112" w:rsidRDefault="00B67FCE" w:rsidP="00BA3DBE">
            <w:pPr>
              <w:jc w:val="center"/>
              <w:rPr>
                <w:rFonts w:cs="Arial"/>
                <w:color w:val="000000" w:themeColor="text1"/>
                <w:szCs w:val="16"/>
              </w:rPr>
            </w:pPr>
            <w:r w:rsidRPr="00781112">
              <w:rPr>
                <w:rFonts w:cs="Arial"/>
                <w:color w:val="000000" w:themeColor="text1"/>
                <w:szCs w:val="16"/>
              </w:rPr>
              <w:t>Target C2 &gt;=</w:t>
            </w:r>
          </w:p>
        </w:tc>
        <w:tc>
          <w:tcPr>
            <w:tcW w:w="1118" w:type="pct"/>
            <w:shd w:val="clear" w:color="auto" w:fill="auto"/>
            <w:vAlign w:val="center"/>
          </w:tcPr>
          <w:p w14:paraId="7A9F674E" w14:textId="54CCEACA" w:rsidR="00B67FCE" w:rsidRPr="00781112" w:rsidRDefault="00B67FCE" w:rsidP="00AD5583">
            <w:pPr>
              <w:jc w:val="center"/>
              <w:rPr>
                <w:rFonts w:cs="Arial"/>
                <w:color w:val="000000" w:themeColor="text1"/>
                <w:szCs w:val="16"/>
              </w:rPr>
            </w:pPr>
            <w:r w:rsidRPr="00781112">
              <w:rPr>
                <w:rFonts w:cs="Arial"/>
                <w:color w:val="000000" w:themeColor="text1"/>
                <w:szCs w:val="16"/>
              </w:rPr>
              <w:t>58.51%</w:t>
            </w:r>
          </w:p>
        </w:tc>
        <w:tc>
          <w:tcPr>
            <w:tcW w:w="1190" w:type="pct"/>
            <w:vAlign w:val="center"/>
          </w:tcPr>
          <w:p w14:paraId="1A528F77" w14:textId="13F14B9B" w:rsidR="00B67FCE" w:rsidRPr="00781112" w:rsidRDefault="00B67FCE" w:rsidP="00AD5583">
            <w:pPr>
              <w:jc w:val="center"/>
              <w:rPr>
                <w:rFonts w:cs="Arial"/>
                <w:color w:val="000000" w:themeColor="text1"/>
                <w:szCs w:val="16"/>
              </w:rPr>
            </w:pPr>
            <w:r w:rsidRPr="00781112">
              <w:rPr>
                <w:color w:val="000000" w:themeColor="text1"/>
                <w:szCs w:val="16"/>
              </w:rPr>
              <w:t>58.51%</w:t>
            </w:r>
          </w:p>
          <w:p w14:paraId="3C5378CB" w14:textId="5A59E833" w:rsidR="00B67FCE" w:rsidRPr="00781112" w:rsidRDefault="00B67FCE" w:rsidP="00AD5583">
            <w:pPr>
              <w:jc w:val="center"/>
              <w:rPr>
                <w:rFonts w:cs="Arial"/>
                <w:color w:val="000000" w:themeColor="text1"/>
                <w:szCs w:val="16"/>
              </w:rPr>
            </w:pPr>
          </w:p>
        </w:tc>
        <w:tc>
          <w:tcPr>
            <w:tcW w:w="1190" w:type="pct"/>
            <w:vAlign w:val="center"/>
          </w:tcPr>
          <w:p w14:paraId="694DD14B" w14:textId="0FC2BAFA" w:rsidR="00B67FCE" w:rsidRPr="00781112" w:rsidRDefault="00B67FCE" w:rsidP="00AD5583">
            <w:pPr>
              <w:jc w:val="center"/>
              <w:rPr>
                <w:rFonts w:cs="Arial"/>
                <w:color w:val="000000" w:themeColor="text1"/>
                <w:szCs w:val="16"/>
              </w:rPr>
            </w:pPr>
            <w:r w:rsidRPr="00781112">
              <w:rPr>
                <w:color w:val="000000" w:themeColor="text1"/>
                <w:szCs w:val="16"/>
              </w:rPr>
              <w:t>58.51%</w:t>
            </w:r>
          </w:p>
        </w:tc>
        <w:tc>
          <w:tcPr>
            <w:tcW w:w="1190" w:type="pct"/>
            <w:vAlign w:val="center"/>
          </w:tcPr>
          <w:p w14:paraId="69632A5F" w14:textId="59530F4E" w:rsidR="00B67FCE" w:rsidRPr="00781112" w:rsidRDefault="00B67FCE" w:rsidP="00AD5583">
            <w:pPr>
              <w:jc w:val="center"/>
              <w:rPr>
                <w:rFonts w:cs="Arial"/>
                <w:color w:val="000000" w:themeColor="text1"/>
                <w:szCs w:val="16"/>
              </w:rPr>
            </w:pPr>
            <w:r w:rsidRPr="00781112">
              <w:rPr>
                <w:color w:val="000000" w:themeColor="text1"/>
                <w:szCs w:val="16"/>
              </w:rPr>
              <w:t>60.22%</w:t>
            </w:r>
          </w:p>
        </w:tc>
      </w:tr>
    </w:tbl>
    <w:p w14:paraId="49CD323A" w14:textId="0F9742B3" w:rsidR="002D145D" w:rsidRPr="00781112" w:rsidRDefault="002D145D" w:rsidP="004369B2">
      <w:pPr>
        <w:rPr>
          <w:b/>
          <w:color w:val="000000" w:themeColor="text1"/>
        </w:rPr>
      </w:pPr>
      <w:r w:rsidRPr="00781112">
        <w:rPr>
          <w:b/>
          <w:color w:val="000000" w:themeColor="text1"/>
        </w:rPr>
        <w:t xml:space="preserve">Targets: Description of Stakeholder Input </w:t>
      </w:r>
    </w:p>
    <w:p w14:paraId="6276C0F6" w14:textId="56252E01" w:rsidR="002D145D" w:rsidRPr="00781112" w:rsidRDefault="002B7490" w:rsidP="002D145D">
      <w:pPr>
        <w:rPr>
          <w:rFonts w:cs="Arial"/>
          <w:color w:val="000000" w:themeColor="text1"/>
          <w:szCs w:val="16"/>
        </w:rPr>
      </w:pPr>
      <w:r w:rsidRPr="00781112">
        <w:rPr>
          <w:rFonts w:cs="Arial"/>
          <w:color w:val="000000" w:themeColor="text1"/>
          <w:szCs w:val="16"/>
        </w:rPr>
        <w:t xml:space="preserve">CDE met with parent and field members of CSEAC to review targets, results, and evaluate progress of all Indicators in the SPP/APR. </w:t>
      </w:r>
      <w:r w:rsidRPr="00781112">
        <w:rPr>
          <w:rFonts w:cs="Arial"/>
          <w:color w:val="000000" w:themeColor="text1"/>
          <w:szCs w:val="16"/>
        </w:rPr>
        <w:br/>
      </w:r>
      <w:r w:rsidRPr="00781112">
        <w:rPr>
          <w:rFonts w:cs="Arial"/>
          <w:color w:val="000000" w:themeColor="text1"/>
          <w:szCs w:val="16"/>
        </w:rPr>
        <w:br/>
        <w:t>For FFY 2020, the following mechanisms were used to gather broad stakeholder input on target setting and improvement strategies:</w:t>
      </w:r>
      <w:r w:rsidRPr="00781112">
        <w:rPr>
          <w:rFonts w:cs="Arial"/>
          <w:color w:val="000000" w:themeColor="text1"/>
          <w:szCs w:val="16"/>
        </w:rPr>
        <w:br/>
        <w:t>Identified CDE internal stakeholders and content experts for each indicator:</w:t>
      </w:r>
      <w:r w:rsidRPr="00781112">
        <w:rPr>
          <w:rFonts w:cs="Arial"/>
          <w:color w:val="000000" w:themeColor="text1"/>
          <w:szCs w:val="16"/>
        </w:rPr>
        <w:br/>
        <w:t>1. Scheduled meetings for each CDE internal stakeholder indicator team.</w:t>
      </w:r>
      <w:r w:rsidRPr="00781112">
        <w:rPr>
          <w:rFonts w:cs="Arial"/>
          <w:color w:val="000000" w:themeColor="text1"/>
          <w:szCs w:val="16"/>
        </w:rPr>
        <w:br/>
        <w:t>2. Met with each CDE stakeholder team, explain rules and parameters, Colorado history of indicator, past and current improvement strategies, facilitate discussion, and solicit feedback and develop options for each of the SPP/APR targets.</w:t>
      </w:r>
      <w:r w:rsidRPr="00781112">
        <w:rPr>
          <w:rFonts w:cs="Arial"/>
          <w:color w:val="000000" w:themeColor="text1"/>
          <w:szCs w:val="16"/>
        </w:rPr>
        <w:br/>
        <w:t>3. Met with each CDE stakeholder team to facilitate discussion and come to consensus on targets and improvement strategies to present to the external stakeholder groups.</w:t>
      </w:r>
      <w:r w:rsidRPr="00781112">
        <w:rPr>
          <w:rFonts w:cs="Arial"/>
          <w:color w:val="000000" w:themeColor="text1"/>
          <w:szCs w:val="16"/>
        </w:rPr>
        <w:br/>
        <w:t xml:space="preserve">4. Requested and collected improvement strategies for each indicator from each CDE internal stakeholder team. </w:t>
      </w:r>
      <w:r w:rsidRPr="00781112">
        <w:rPr>
          <w:rFonts w:cs="Arial"/>
          <w:color w:val="000000" w:themeColor="text1"/>
          <w:szCs w:val="16"/>
        </w:rPr>
        <w:br/>
      </w:r>
      <w:r w:rsidRPr="00781112">
        <w:rPr>
          <w:rFonts w:cs="Arial"/>
          <w:color w:val="000000" w:themeColor="text1"/>
          <w:szCs w:val="16"/>
        </w:rPr>
        <w:br/>
        <w:t>Built a survey to collect evidence and information from external stakeholder groups and the public to gain feedback on current SPP/APR indicators to collect the following data:</w:t>
      </w:r>
      <w:r w:rsidRPr="00781112">
        <w:rPr>
          <w:rFonts w:cs="Arial"/>
          <w:color w:val="000000" w:themeColor="text1"/>
          <w:szCs w:val="16"/>
        </w:rPr>
        <w:br/>
        <w:t xml:space="preserve">1. Are targets too high, too low, </w:t>
      </w:r>
      <w:proofErr w:type="gramStart"/>
      <w:r w:rsidRPr="00781112">
        <w:rPr>
          <w:rFonts w:cs="Arial"/>
          <w:color w:val="000000" w:themeColor="text1"/>
          <w:szCs w:val="16"/>
        </w:rPr>
        <w:t>just</w:t>
      </w:r>
      <w:proofErr w:type="gramEnd"/>
      <w:r w:rsidRPr="00781112">
        <w:rPr>
          <w:rFonts w:cs="Arial"/>
          <w:color w:val="000000" w:themeColor="text1"/>
          <w:szCs w:val="16"/>
        </w:rPr>
        <w:t xml:space="preserve"> right?</w:t>
      </w:r>
      <w:r w:rsidRPr="00781112">
        <w:rPr>
          <w:rFonts w:cs="Arial"/>
          <w:color w:val="000000" w:themeColor="text1"/>
          <w:szCs w:val="16"/>
        </w:rPr>
        <w:br/>
        <w:t>2. If the proposed improvement strategies are reasonably calculated to help Colorado reach the proposed targets?</w:t>
      </w:r>
      <w:r w:rsidRPr="00781112">
        <w:rPr>
          <w:rFonts w:cs="Arial"/>
          <w:color w:val="000000" w:themeColor="text1"/>
          <w:szCs w:val="16"/>
        </w:rPr>
        <w:br/>
        <w:t>3. Is the proposed choice of demographic category to be analyzed for representation an appropriate selection?</w:t>
      </w:r>
      <w:r w:rsidRPr="00781112">
        <w:rPr>
          <w:rFonts w:cs="Arial"/>
          <w:color w:val="000000" w:themeColor="text1"/>
          <w:szCs w:val="16"/>
        </w:rPr>
        <w:br/>
      </w:r>
      <w:r w:rsidRPr="00781112">
        <w:rPr>
          <w:rFonts w:cs="Arial"/>
          <w:color w:val="000000" w:themeColor="text1"/>
          <w:szCs w:val="16"/>
        </w:rPr>
        <w:br/>
      </w:r>
      <w:r w:rsidRPr="00781112">
        <w:rPr>
          <w:rFonts w:cs="Arial"/>
          <w:color w:val="000000" w:themeColor="text1"/>
          <w:szCs w:val="16"/>
        </w:rPr>
        <w:br/>
        <w:t>Built a web page to include:</w:t>
      </w:r>
      <w:r w:rsidRPr="00781112">
        <w:rPr>
          <w:rFonts w:cs="Arial"/>
          <w:color w:val="000000" w:themeColor="text1"/>
          <w:szCs w:val="16"/>
        </w:rPr>
        <w:br/>
        <w:t>1. basic information regarding the SPP/APR and the 6-year target resetting process.</w:t>
      </w:r>
      <w:r w:rsidRPr="00781112">
        <w:rPr>
          <w:rFonts w:cs="Arial"/>
          <w:color w:val="000000" w:themeColor="text1"/>
          <w:szCs w:val="16"/>
        </w:rPr>
        <w:br/>
        <w:t>2. asyncronys access to a series of webinars explaining each of the SPP/APR indicators, proposed targets, and improvement strategies.</w:t>
      </w:r>
      <w:r w:rsidRPr="00781112">
        <w:rPr>
          <w:rFonts w:cs="Arial"/>
          <w:color w:val="000000" w:themeColor="text1"/>
          <w:szCs w:val="16"/>
        </w:rPr>
        <w:br/>
        <w:t>3. a link to an indicator survey to gather information from the public during the comment period. This survey was designed to solicit the following information: (a) Are the proposed targets too high, too low, or appropriate? (b) Are the proposed improvement strategies reasonably calculated to help Colorado reach the proposed targets? (c) Is the proposed demographic group to be analyzed for representation an appropriate selection?</w:t>
      </w:r>
      <w:r w:rsidRPr="00781112">
        <w:rPr>
          <w:rFonts w:cs="Arial"/>
          <w:color w:val="000000" w:themeColor="text1"/>
          <w:szCs w:val="16"/>
        </w:rPr>
        <w:br/>
      </w:r>
      <w:r w:rsidRPr="00781112">
        <w:rPr>
          <w:rFonts w:cs="Arial"/>
          <w:color w:val="000000" w:themeColor="text1"/>
          <w:szCs w:val="16"/>
        </w:rPr>
        <w:br/>
        <w:t>Presented and requested input on agreed on targets and improvement strategies to the following indicator specific advisory councils: Preschool School Special Education Advisory Committee (PSSEAC), and the Secondary Transition Task Force Advisory Committee. Review and incorporate feedback into the final draft of the new targets and share proposed version with ESSU Executive Director for approval.</w:t>
      </w:r>
      <w:r w:rsidRPr="00781112">
        <w:rPr>
          <w:rFonts w:cs="Arial"/>
          <w:color w:val="000000" w:themeColor="text1"/>
          <w:szCs w:val="16"/>
        </w:rPr>
        <w:br/>
        <w:t>Presented proposed targets and gathered additional feedback to the following State advisory groups and advocacy groups: Colorado Special Education Advisory Committee (CSEAC) and Parent Partnerships for Equity Advisory Committee, The Arc of Colorado, PEAK Parent Center, and Disability Law Colorado.</w:t>
      </w:r>
      <w:r w:rsidRPr="00781112">
        <w:rPr>
          <w:rFonts w:cs="Arial"/>
          <w:color w:val="000000" w:themeColor="text1"/>
          <w:szCs w:val="16"/>
        </w:rPr>
        <w:br/>
        <w:t>Presented proposed targets for all indicators to Colorado LEA Special Education Directors.</w:t>
      </w:r>
      <w:r w:rsidRPr="00781112">
        <w:rPr>
          <w:rFonts w:cs="Arial"/>
          <w:color w:val="000000" w:themeColor="text1"/>
          <w:szCs w:val="16"/>
        </w:rPr>
        <w:br/>
        <w:t>Held a 2-month public comment period to solicit public comments through a broad CDE-wide communication plan made up of a dedicated webpage with short videos and surveys for each indicator, CDE Facebook page, CDE Twitter Account, a CDE webpage news story, CDE’s Weekly Newsletter, and notifications to our parent advocacy agencies.</w:t>
      </w:r>
      <w:r w:rsidRPr="00781112">
        <w:rPr>
          <w:rFonts w:cs="Arial"/>
          <w:color w:val="000000" w:themeColor="text1"/>
          <w:szCs w:val="16"/>
        </w:rPr>
        <w:br/>
        <w:t xml:space="preserve"> </w:t>
      </w:r>
      <w:r w:rsidRPr="00781112">
        <w:rPr>
          <w:rFonts w:cs="Arial"/>
          <w:color w:val="000000" w:themeColor="text1"/>
          <w:szCs w:val="16"/>
        </w:rPr>
        <w:br/>
        <w:t xml:space="preserve">Reviewed and considered public comments received through the indicator survey mechanism, finalize all targets with ESSU Executive Director, and </w:t>
      </w:r>
      <w:r w:rsidRPr="00781112">
        <w:rPr>
          <w:rFonts w:cs="Arial"/>
          <w:color w:val="000000" w:themeColor="text1"/>
          <w:szCs w:val="16"/>
        </w:rPr>
        <w:lastRenderedPageBreak/>
        <w:t>published targets on CDE webpage.</w:t>
      </w:r>
      <w:r w:rsidRPr="00781112">
        <w:rPr>
          <w:rFonts w:cs="Arial"/>
          <w:color w:val="000000" w:themeColor="text1"/>
          <w:szCs w:val="16"/>
        </w:rPr>
        <w:br/>
      </w:r>
      <w:r w:rsidRPr="00781112">
        <w:rPr>
          <w:rFonts w:cs="Arial"/>
          <w:color w:val="000000" w:themeColor="text1"/>
          <w:szCs w:val="16"/>
        </w:rPr>
        <w:br/>
        <w:t xml:space="preserve">45 parent members were engaged in small group virtual presentations were held with parent members from each of these groups: the Colorado Special Education Advisory Committee (CSEAC), PEAK, The ARC of Colorado, Disability Law Colorado, Parent Partnerships for Equity, and the Preschool School Special Education Advisory Committee (PSSEAC). During these meetings, participants were encouraged to ask questions about the history and performance </w:t>
      </w:r>
      <w:proofErr w:type="gramStart"/>
      <w:r w:rsidRPr="00781112">
        <w:rPr>
          <w:rFonts w:cs="Arial"/>
          <w:color w:val="000000" w:themeColor="text1"/>
          <w:szCs w:val="16"/>
        </w:rPr>
        <w:t>on</w:t>
      </w:r>
      <w:proofErr w:type="gramEnd"/>
      <w:r w:rsidRPr="00781112">
        <w:rPr>
          <w:rFonts w:cs="Arial"/>
          <w:color w:val="000000" w:themeColor="text1"/>
          <w:szCs w:val="16"/>
        </w:rPr>
        <w:t xml:space="preserve"> each indicator and to complete the surveys for the indicators. Follow-up emails, with the link to the dedicated webpage, were sent to each group when the public comment period opened, so that they </w:t>
      </w:r>
      <w:proofErr w:type="gramStart"/>
      <w:r w:rsidRPr="00781112">
        <w:rPr>
          <w:rFonts w:cs="Arial"/>
          <w:color w:val="000000" w:themeColor="text1"/>
          <w:szCs w:val="16"/>
        </w:rPr>
        <w:t>can</w:t>
      </w:r>
      <w:proofErr w:type="gramEnd"/>
      <w:r w:rsidRPr="00781112">
        <w:rPr>
          <w:rFonts w:cs="Arial"/>
          <w:color w:val="000000" w:themeColor="text1"/>
          <w:szCs w:val="16"/>
        </w:rPr>
        <w:t xml:space="preserve"> share with their constituents.</w:t>
      </w:r>
    </w:p>
    <w:p w14:paraId="1512BEE4" w14:textId="77777777" w:rsidR="007870F8" w:rsidRPr="00781112" w:rsidRDefault="007870F8" w:rsidP="004369B2">
      <w:pPr>
        <w:rPr>
          <w:color w:val="000000" w:themeColor="text1"/>
        </w:rPr>
      </w:pPr>
    </w:p>
    <w:p w14:paraId="4D0201C3" w14:textId="07142713" w:rsidR="008751D3" w:rsidRPr="00781112" w:rsidRDefault="0047313F">
      <w:pPr>
        <w:rPr>
          <w:b/>
          <w:color w:val="000000" w:themeColor="text1"/>
        </w:rPr>
      </w:pPr>
      <w:r>
        <w:rPr>
          <w:b/>
          <w:color w:val="000000" w:themeColor="text1"/>
        </w:rPr>
        <w:t>FFY 2022 SPP/APR Data</w:t>
      </w:r>
    </w:p>
    <w:p w14:paraId="75F01957" w14:textId="463160A4" w:rsidR="004B2C2D" w:rsidRPr="00781112" w:rsidRDefault="004B2C2D">
      <w:pPr>
        <w:rPr>
          <w:rFonts w:cs="Arial"/>
          <w:b/>
          <w:color w:val="000000" w:themeColor="text1"/>
          <w:szCs w:val="16"/>
        </w:rPr>
      </w:pPr>
      <w:r w:rsidRPr="00781112">
        <w:rPr>
          <w:rFonts w:cs="Arial"/>
          <w:b/>
          <w:color w:val="000000" w:themeColor="text1"/>
          <w:szCs w:val="16"/>
        </w:rPr>
        <w:t>Number of preschool children aged 3 through 5 with IEPs assessed</w:t>
      </w:r>
    </w:p>
    <w:p w14:paraId="6F555236" w14:textId="5F84A3B7" w:rsidR="004B2C2D" w:rsidRPr="00781112" w:rsidRDefault="004B2C2D" w:rsidP="004369B2">
      <w:pPr>
        <w:rPr>
          <w:color w:val="000000" w:themeColor="text1"/>
        </w:rPr>
      </w:pPr>
      <w:r w:rsidRPr="00781112">
        <w:rPr>
          <w:rFonts w:cs="Arial"/>
          <w:color w:val="000000" w:themeColor="text1"/>
          <w:szCs w:val="16"/>
        </w:rPr>
        <w:t>4,461</w:t>
      </w:r>
    </w:p>
    <w:p w14:paraId="6AF5CF56" w14:textId="77777777" w:rsidR="00A80FEB" w:rsidRPr="00781112" w:rsidRDefault="00A80FEB" w:rsidP="004369B2">
      <w:pPr>
        <w:rPr>
          <w:color w:val="000000" w:themeColor="text1"/>
        </w:rPr>
      </w:pPr>
      <w:r w:rsidRPr="00781112">
        <w:rPr>
          <w:b/>
          <w:color w:val="000000" w:themeColor="text1"/>
        </w:rPr>
        <w:t>Outcome A: Positive social-emotional skills (including social relationships)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B07OUTCOMEA"/>
      </w:tblPr>
      <w:tblGrid>
        <w:gridCol w:w="7350"/>
        <w:gridCol w:w="1720"/>
        <w:gridCol w:w="1720"/>
      </w:tblGrid>
      <w:tr w:rsidR="005C29F8" w:rsidRPr="00781112" w14:paraId="7F9D0F86" w14:textId="5773C98B" w:rsidTr="0033429D">
        <w:trPr>
          <w:trHeight w:val="287"/>
          <w:tblHeader/>
        </w:trPr>
        <w:tc>
          <w:tcPr>
            <w:tcW w:w="3406" w:type="pct"/>
            <w:shd w:val="clear" w:color="auto" w:fill="auto"/>
            <w:vAlign w:val="bottom"/>
          </w:tcPr>
          <w:p w14:paraId="732006A2" w14:textId="4E4F994E" w:rsidR="008751D3" w:rsidRPr="00781112" w:rsidRDefault="00043AAB" w:rsidP="0024351A">
            <w:pPr>
              <w:rPr>
                <w:rFonts w:cs="Arial"/>
                <w:b/>
                <w:color w:val="000000" w:themeColor="text1"/>
                <w:szCs w:val="16"/>
              </w:rPr>
            </w:pPr>
            <w:r w:rsidRPr="00781112">
              <w:rPr>
                <w:rFonts w:cs="Arial"/>
                <w:b/>
                <w:color w:val="000000" w:themeColor="text1"/>
                <w:szCs w:val="16"/>
              </w:rPr>
              <w:t xml:space="preserve">Outcome A </w:t>
            </w:r>
            <w:r w:rsidRPr="00781112">
              <w:rPr>
                <w:rFonts w:cs="Arial"/>
                <w:b/>
                <w:bCs/>
                <w:color w:val="000000" w:themeColor="text1"/>
                <w:szCs w:val="16"/>
              </w:rPr>
              <w:t xml:space="preserve">Progress </w:t>
            </w:r>
            <w:r w:rsidR="009028CA" w:rsidRPr="00781112">
              <w:rPr>
                <w:rFonts w:cs="Arial"/>
                <w:b/>
                <w:bCs/>
                <w:color w:val="000000" w:themeColor="text1"/>
                <w:szCs w:val="16"/>
              </w:rPr>
              <w:t>C</w:t>
            </w:r>
            <w:r w:rsidRPr="00781112">
              <w:rPr>
                <w:rFonts w:cs="Arial"/>
                <w:b/>
                <w:bCs/>
                <w:color w:val="000000" w:themeColor="text1"/>
                <w:szCs w:val="16"/>
              </w:rPr>
              <w:t>ategor</w:t>
            </w:r>
            <w:r w:rsidR="00E91363" w:rsidRPr="00781112">
              <w:rPr>
                <w:rFonts w:cs="Arial"/>
                <w:b/>
                <w:bCs/>
                <w:color w:val="000000" w:themeColor="text1"/>
                <w:szCs w:val="16"/>
              </w:rPr>
              <w:t>y</w:t>
            </w:r>
          </w:p>
        </w:tc>
        <w:tc>
          <w:tcPr>
            <w:tcW w:w="797" w:type="pct"/>
            <w:shd w:val="clear" w:color="auto" w:fill="auto"/>
            <w:vAlign w:val="bottom"/>
          </w:tcPr>
          <w:p w14:paraId="2EAB6060" w14:textId="77777777" w:rsidR="008751D3" w:rsidRPr="00781112" w:rsidRDefault="008751D3" w:rsidP="004369B2">
            <w:pPr>
              <w:jc w:val="center"/>
              <w:rPr>
                <w:rFonts w:cs="Arial"/>
                <w:b/>
                <w:color w:val="000000" w:themeColor="text1"/>
                <w:szCs w:val="16"/>
              </w:rPr>
            </w:pPr>
            <w:r w:rsidRPr="00781112">
              <w:rPr>
                <w:rFonts w:cs="Arial"/>
                <w:b/>
                <w:color w:val="000000" w:themeColor="text1"/>
                <w:szCs w:val="16"/>
              </w:rPr>
              <w:t>Number of children</w:t>
            </w:r>
          </w:p>
        </w:tc>
        <w:tc>
          <w:tcPr>
            <w:tcW w:w="797" w:type="pct"/>
            <w:shd w:val="clear" w:color="auto" w:fill="auto"/>
            <w:vAlign w:val="bottom"/>
          </w:tcPr>
          <w:p w14:paraId="1007C28C" w14:textId="52952731" w:rsidR="008751D3" w:rsidRPr="00781112" w:rsidRDefault="008751D3" w:rsidP="004369B2">
            <w:pPr>
              <w:jc w:val="center"/>
              <w:rPr>
                <w:rFonts w:cs="Arial"/>
                <w:b/>
                <w:color w:val="000000" w:themeColor="text1"/>
                <w:szCs w:val="16"/>
              </w:rPr>
            </w:pPr>
            <w:r w:rsidRPr="00781112">
              <w:rPr>
                <w:rFonts w:cs="Arial"/>
                <w:b/>
                <w:color w:val="000000" w:themeColor="text1"/>
                <w:szCs w:val="16"/>
              </w:rPr>
              <w:t>Percentage of Children</w:t>
            </w:r>
          </w:p>
        </w:tc>
      </w:tr>
      <w:tr w:rsidR="005C29F8" w:rsidRPr="00781112" w14:paraId="0D115F3B" w14:textId="14BF41AA" w:rsidTr="00AB0D6A">
        <w:trPr>
          <w:trHeight w:val="361"/>
        </w:trPr>
        <w:tc>
          <w:tcPr>
            <w:tcW w:w="3406" w:type="pct"/>
            <w:shd w:val="clear" w:color="auto" w:fill="auto"/>
            <w:vAlign w:val="center"/>
          </w:tcPr>
          <w:p w14:paraId="476980EA" w14:textId="77777777" w:rsidR="00A86385" w:rsidRPr="00781112" w:rsidRDefault="00A86385" w:rsidP="00A86385">
            <w:pPr>
              <w:rPr>
                <w:rFonts w:cs="Arial"/>
                <w:szCs w:val="16"/>
              </w:rPr>
            </w:pPr>
            <w:r w:rsidRPr="00781112">
              <w:rPr>
                <w:rFonts w:cs="Arial"/>
                <w:szCs w:val="16"/>
              </w:rPr>
              <w:t>a. Preschool children who did not improve functioning</w:t>
            </w:r>
          </w:p>
        </w:tc>
        <w:tc>
          <w:tcPr>
            <w:tcW w:w="797" w:type="pct"/>
            <w:shd w:val="clear" w:color="auto" w:fill="auto"/>
            <w:vAlign w:val="center"/>
          </w:tcPr>
          <w:p w14:paraId="358366F4" w14:textId="107FC5B1" w:rsidR="00A86385" w:rsidRPr="00781112" w:rsidRDefault="002B7490" w:rsidP="00A018D4">
            <w:pPr>
              <w:jc w:val="center"/>
              <w:rPr>
                <w:rFonts w:cs="Arial"/>
                <w:szCs w:val="16"/>
              </w:rPr>
            </w:pPr>
            <w:r w:rsidRPr="00781112">
              <w:rPr>
                <w:rFonts w:cs="Arial"/>
                <w:szCs w:val="16"/>
              </w:rPr>
              <w:t>22</w:t>
            </w:r>
          </w:p>
        </w:tc>
        <w:tc>
          <w:tcPr>
            <w:tcW w:w="797" w:type="pct"/>
            <w:shd w:val="clear" w:color="auto" w:fill="auto"/>
            <w:vAlign w:val="center"/>
          </w:tcPr>
          <w:p w14:paraId="0846D135" w14:textId="1043D337" w:rsidR="00A86385" w:rsidRPr="00781112" w:rsidRDefault="002B7490" w:rsidP="00A018D4">
            <w:pPr>
              <w:jc w:val="center"/>
              <w:rPr>
                <w:rFonts w:cs="Arial"/>
                <w:szCs w:val="16"/>
              </w:rPr>
            </w:pPr>
            <w:r w:rsidRPr="00781112">
              <w:rPr>
                <w:rFonts w:cs="Arial"/>
                <w:szCs w:val="16"/>
              </w:rPr>
              <w:t>0.49%</w:t>
            </w:r>
          </w:p>
        </w:tc>
      </w:tr>
      <w:tr w:rsidR="005C29F8" w:rsidRPr="00781112" w14:paraId="779019AB" w14:textId="1FD48572" w:rsidTr="00AB0D6A">
        <w:trPr>
          <w:trHeight w:val="361"/>
        </w:trPr>
        <w:tc>
          <w:tcPr>
            <w:tcW w:w="3406" w:type="pct"/>
            <w:shd w:val="clear" w:color="auto" w:fill="auto"/>
            <w:vAlign w:val="center"/>
          </w:tcPr>
          <w:p w14:paraId="6E7F23F0" w14:textId="77777777" w:rsidR="00A86385" w:rsidRPr="00781112" w:rsidRDefault="00A86385" w:rsidP="00A86385">
            <w:pPr>
              <w:rPr>
                <w:rFonts w:cs="Arial"/>
                <w:szCs w:val="16"/>
              </w:rPr>
            </w:pPr>
            <w:r w:rsidRPr="00781112">
              <w:rPr>
                <w:rFonts w:cs="Arial"/>
                <w:szCs w:val="16"/>
              </w:rPr>
              <w:t>b. Preschool children who improved functioning but not sufficient to move nearer to functioning comparable to same-aged peers</w:t>
            </w:r>
          </w:p>
        </w:tc>
        <w:tc>
          <w:tcPr>
            <w:tcW w:w="797" w:type="pct"/>
            <w:shd w:val="clear" w:color="auto" w:fill="auto"/>
            <w:vAlign w:val="center"/>
          </w:tcPr>
          <w:p w14:paraId="1E928F4C" w14:textId="54E616E3" w:rsidR="00A86385" w:rsidRPr="00781112" w:rsidRDefault="002B7490" w:rsidP="00A018D4">
            <w:pPr>
              <w:jc w:val="center"/>
              <w:rPr>
                <w:rFonts w:cs="Arial"/>
                <w:szCs w:val="16"/>
              </w:rPr>
            </w:pPr>
            <w:r w:rsidRPr="00781112">
              <w:rPr>
                <w:rFonts w:cs="Arial"/>
                <w:szCs w:val="16"/>
              </w:rPr>
              <w:t>802</w:t>
            </w:r>
          </w:p>
        </w:tc>
        <w:tc>
          <w:tcPr>
            <w:tcW w:w="797" w:type="pct"/>
            <w:shd w:val="clear" w:color="auto" w:fill="auto"/>
            <w:vAlign w:val="center"/>
          </w:tcPr>
          <w:p w14:paraId="371019D1" w14:textId="49035C13" w:rsidR="00A86385" w:rsidRPr="00781112" w:rsidRDefault="002B7490" w:rsidP="00A018D4">
            <w:pPr>
              <w:jc w:val="center"/>
              <w:rPr>
                <w:rFonts w:cs="Arial"/>
                <w:szCs w:val="16"/>
              </w:rPr>
            </w:pPr>
            <w:r w:rsidRPr="00781112">
              <w:rPr>
                <w:rFonts w:cs="Arial"/>
                <w:szCs w:val="16"/>
              </w:rPr>
              <w:t>17.98%</w:t>
            </w:r>
          </w:p>
        </w:tc>
      </w:tr>
      <w:tr w:rsidR="005C29F8" w:rsidRPr="00781112" w14:paraId="3A078806" w14:textId="7FBB31A0" w:rsidTr="00AB0D6A">
        <w:trPr>
          <w:trHeight w:val="361"/>
        </w:trPr>
        <w:tc>
          <w:tcPr>
            <w:tcW w:w="3406" w:type="pct"/>
            <w:shd w:val="clear" w:color="auto" w:fill="auto"/>
            <w:vAlign w:val="center"/>
          </w:tcPr>
          <w:p w14:paraId="6E35A4C3" w14:textId="77777777" w:rsidR="00A86385" w:rsidRPr="00781112" w:rsidRDefault="00A86385" w:rsidP="00A86385">
            <w:pPr>
              <w:rPr>
                <w:rFonts w:cs="Arial"/>
                <w:szCs w:val="16"/>
              </w:rPr>
            </w:pPr>
            <w:r w:rsidRPr="00781112">
              <w:rPr>
                <w:rFonts w:cs="Arial"/>
                <w:szCs w:val="16"/>
              </w:rPr>
              <w:t>c. Preschool children who improved functioning to a level nearer to same-aged peers but did not reach it</w:t>
            </w:r>
          </w:p>
        </w:tc>
        <w:tc>
          <w:tcPr>
            <w:tcW w:w="797" w:type="pct"/>
            <w:shd w:val="clear" w:color="auto" w:fill="auto"/>
            <w:vAlign w:val="center"/>
          </w:tcPr>
          <w:p w14:paraId="1AFEBF8F" w14:textId="2E4650C8" w:rsidR="00A86385" w:rsidRPr="00781112" w:rsidRDefault="002B7490" w:rsidP="00A018D4">
            <w:pPr>
              <w:jc w:val="center"/>
              <w:rPr>
                <w:rFonts w:cs="Arial"/>
                <w:szCs w:val="16"/>
              </w:rPr>
            </w:pPr>
            <w:r w:rsidRPr="00781112">
              <w:rPr>
                <w:rFonts w:cs="Arial"/>
                <w:szCs w:val="16"/>
              </w:rPr>
              <w:t>750</w:t>
            </w:r>
          </w:p>
        </w:tc>
        <w:tc>
          <w:tcPr>
            <w:tcW w:w="797" w:type="pct"/>
            <w:shd w:val="clear" w:color="auto" w:fill="auto"/>
            <w:vAlign w:val="center"/>
          </w:tcPr>
          <w:p w14:paraId="4B6BCB00" w14:textId="047D3E20" w:rsidR="00A86385" w:rsidRPr="00781112" w:rsidRDefault="002B7490" w:rsidP="00A018D4">
            <w:pPr>
              <w:jc w:val="center"/>
              <w:rPr>
                <w:rFonts w:cs="Arial"/>
                <w:szCs w:val="16"/>
              </w:rPr>
            </w:pPr>
            <w:r w:rsidRPr="00781112">
              <w:rPr>
                <w:rFonts w:cs="Arial"/>
                <w:szCs w:val="16"/>
              </w:rPr>
              <w:t>16.81%</w:t>
            </w:r>
          </w:p>
        </w:tc>
      </w:tr>
      <w:tr w:rsidR="005C29F8" w:rsidRPr="00781112" w14:paraId="37EE0376" w14:textId="01578CDB" w:rsidTr="00AB0D6A">
        <w:trPr>
          <w:trHeight w:val="361"/>
        </w:trPr>
        <w:tc>
          <w:tcPr>
            <w:tcW w:w="3406" w:type="pct"/>
            <w:shd w:val="clear" w:color="auto" w:fill="auto"/>
            <w:vAlign w:val="center"/>
          </w:tcPr>
          <w:p w14:paraId="4DFA1510" w14:textId="77777777" w:rsidR="00A86385" w:rsidRPr="00781112" w:rsidRDefault="00A86385" w:rsidP="00A86385">
            <w:pPr>
              <w:rPr>
                <w:rFonts w:cs="Arial"/>
                <w:szCs w:val="16"/>
              </w:rPr>
            </w:pPr>
            <w:r w:rsidRPr="00781112">
              <w:rPr>
                <w:rFonts w:cs="Arial"/>
                <w:szCs w:val="16"/>
              </w:rPr>
              <w:t>d. Preschool children who improved functioning to reach a level comparable to same-aged peers</w:t>
            </w:r>
          </w:p>
        </w:tc>
        <w:tc>
          <w:tcPr>
            <w:tcW w:w="797" w:type="pct"/>
            <w:shd w:val="clear" w:color="auto" w:fill="auto"/>
            <w:vAlign w:val="center"/>
          </w:tcPr>
          <w:p w14:paraId="0E06DA36" w14:textId="47CC0ED8" w:rsidR="00A86385" w:rsidRPr="00781112" w:rsidRDefault="002B7490" w:rsidP="00A018D4">
            <w:pPr>
              <w:jc w:val="center"/>
              <w:rPr>
                <w:rFonts w:cs="Arial"/>
                <w:szCs w:val="16"/>
              </w:rPr>
            </w:pPr>
            <w:r w:rsidRPr="00781112">
              <w:rPr>
                <w:rFonts w:cs="Arial"/>
                <w:szCs w:val="16"/>
              </w:rPr>
              <w:t>1,401</w:t>
            </w:r>
          </w:p>
        </w:tc>
        <w:tc>
          <w:tcPr>
            <w:tcW w:w="797" w:type="pct"/>
            <w:shd w:val="clear" w:color="auto" w:fill="auto"/>
            <w:vAlign w:val="center"/>
          </w:tcPr>
          <w:p w14:paraId="16C35679" w14:textId="25F05A91" w:rsidR="00A86385" w:rsidRPr="00781112" w:rsidRDefault="002B7490" w:rsidP="00A018D4">
            <w:pPr>
              <w:jc w:val="center"/>
              <w:rPr>
                <w:rFonts w:cs="Arial"/>
                <w:szCs w:val="16"/>
              </w:rPr>
            </w:pPr>
            <w:r w:rsidRPr="00781112">
              <w:rPr>
                <w:rFonts w:cs="Arial"/>
                <w:szCs w:val="16"/>
              </w:rPr>
              <w:t>31.41%</w:t>
            </w:r>
          </w:p>
        </w:tc>
      </w:tr>
      <w:tr w:rsidR="005C29F8" w:rsidRPr="00781112" w14:paraId="2EAC8E4E" w14:textId="5ED91A2D" w:rsidTr="00AB0D6A">
        <w:trPr>
          <w:trHeight w:val="361"/>
        </w:trPr>
        <w:tc>
          <w:tcPr>
            <w:tcW w:w="3406" w:type="pct"/>
            <w:shd w:val="clear" w:color="auto" w:fill="auto"/>
            <w:vAlign w:val="center"/>
          </w:tcPr>
          <w:p w14:paraId="4107A866" w14:textId="77777777" w:rsidR="00A86385" w:rsidRPr="00781112" w:rsidRDefault="00A86385" w:rsidP="00A86385">
            <w:pPr>
              <w:rPr>
                <w:rFonts w:cs="Arial"/>
                <w:szCs w:val="16"/>
              </w:rPr>
            </w:pPr>
            <w:r w:rsidRPr="00781112">
              <w:rPr>
                <w:rFonts w:cs="Arial"/>
                <w:szCs w:val="16"/>
              </w:rPr>
              <w:t>e. Preschool children who maintained functioning at a level comparable to same-aged peers</w:t>
            </w:r>
          </w:p>
        </w:tc>
        <w:tc>
          <w:tcPr>
            <w:tcW w:w="797" w:type="pct"/>
            <w:shd w:val="clear" w:color="auto" w:fill="auto"/>
            <w:vAlign w:val="center"/>
          </w:tcPr>
          <w:p w14:paraId="5DD4256C" w14:textId="3B268EB2" w:rsidR="00A86385" w:rsidRPr="00781112" w:rsidRDefault="002B7490" w:rsidP="00A018D4">
            <w:pPr>
              <w:jc w:val="center"/>
              <w:rPr>
                <w:rFonts w:cs="Arial"/>
                <w:szCs w:val="16"/>
              </w:rPr>
            </w:pPr>
            <w:r w:rsidRPr="00781112">
              <w:rPr>
                <w:rFonts w:cs="Arial"/>
                <w:szCs w:val="16"/>
              </w:rPr>
              <w:t>1,486</w:t>
            </w:r>
          </w:p>
        </w:tc>
        <w:tc>
          <w:tcPr>
            <w:tcW w:w="797" w:type="pct"/>
            <w:shd w:val="clear" w:color="auto" w:fill="auto"/>
            <w:vAlign w:val="center"/>
          </w:tcPr>
          <w:p w14:paraId="49CE1ADC" w14:textId="7D7D7E9C" w:rsidR="00A86385" w:rsidRPr="00781112" w:rsidRDefault="002B7490" w:rsidP="00A018D4">
            <w:pPr>
              <w:jc w:val="center"/>
              <w:rPr>
                <w:rFonts w:cs="Arial"/>
                <w:szCs w:val="16"/>
              </w:rPr>
            </w:pPr>
            <w:r w:rsidRPr="00781112">
              <w:rPr>
                <w:rFonts w:cs="Arial"/>
                <w:szCs w:val="16"/>
              </w:rPr>
              <w:t>33.31%</w:t>
            </w:r>
          </w:p>
        </w:tc>
      </w:tr>
    </w:tbl>
    <w:p w14:paraId="2CDC19A8" w14:textId="77777777" w:rsidR="00A80FEB" w:rsidRPr="00781112" w:rsidRDefault="00A80FEB" w:rsidP="00A80FEB">
      <w:pPr>
        <w:rPr>
          <w:rFonts w:cs="Arial"/>
          <w:b/>
          <w:color w:val="000000" w:themeColor="text1"/>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B07OUTCOMEADATA"/>
      </w:tblPr>
      <w:tblGrid>
        <w:gridCol w:w="2245"/>
        <w:gridCol w:w="1149"/>
        <w:gridCol w:w="1234"/>
        <w:gridCol w:w="1232"/>
        <w:gridCol w:w="1234"/>
        <w:gridCol w:w="1232"/>
        <w:gridCol w:w="1234"/>
        <w:gridCol w:w="1230"/>
      </w:tblGrid>
      <w:tr w:rsidR="00AA4F85" w:rsidRPr="00781112" w14:paraId="3D9EEDAD" w14:textId="30B2445F" w:rsidTr="00AA4F85">
        <w:trPr>
          <w:trHeight w:val="354"/>
          <w:tblHeader/>
        </w:trPr>
        <w:tc>
          <w:tcPr>
            <w:tcW w:w="1040" w:type="pct"/>
            <w:shd w:val="clear" w:color="auto" w:fill="auto"/>
            <w:vAlign w:val="bottom"/>
          </w:tcPr>
          <w:p w14:paraId="12D11B46" w14:textId="1FAAAC6F" w:rsidR="00AA4F85" w:rsidRPr="00781112" w:rsidRDefault="00AA4F85" w:rsidP="00AA4F85">
            <w:pPr>
              <w:rPr>
                <w:rFonts w:cs="Arial"/>
                <w:color w:val="000000" w:themeColor="text1"/>
                <w:szCs w:val="16"/>
              </w:rPr>
            </w:pPr>
            <w:r w:rsidRPr="00781112">
              <w:rPr>
                <w:rFonts w:cs="Arial"/>
                <w:b/>
                <w:color w:val="000000" w:themeColor="text1"/>
                <w:szCs w:val="16"/>
              </w:rPr>
              <w:t>Outcome A</w:t>
            </w:r>
          </w:p>
        </w:tc>
        <w:tc>
          <w:tcPr>
            <w:tcW w:w="532" w:type="pct"/>
            <w:shd w:val="clear" w:color="auto" w:fill="auto"/>
            <w:vAlign w:val="bottom"/>
          </w:tcPr>
          <w:p w14:paraId="7B100CB7" w14:textId="77777777" w:rsidR="00AA4F85" w:rsidRPr="00781112" w:rsidRDefault="00AA4F85" w:rsidP="00AA4F85">
            <w:pPr>
              <w:jc w:val="center"/>
              <w:rPr>
                <w:rFonts w:cs="Arial"/>
                <w:b/>
                <w:color w:val="000000" w:themeColor="text1"/>
                <w:szCs w:val="16"/>
              </w:rPr>
            </w:pPr>
            <w:r w:rsidRPr="00781112">
              <w:rPr>
                <w:rFonts w:cs="Arial"/>
                <w:b/>
                <w:color w:val="000000" w:themeColor="text1"/>
                <w:szCs w:val="16"/>
              </w:rPr>
              <w:t>Numerator</w:t>
            </w:r>
          </w:p>
        </w:tc>
        <w:tc>
          <w:tcPr>
            <w:tcW w:w="572" w:type="pct"/>
            <w:shd w:val="clear" w:color="auto" w:fill="auto"/>
            <w:vAlign w:val="bottom"/>
          </w:tcPr>
          <w:p w14:paraId="31C4C2D7" w14:textId="77777777" w:rsidR="00AA4F85" w:rsidRPr="00781112" w:rsidRDefault="00AA4F85" w:rsidP="00AA4F85">
            <w:pPr>
              <w:jc w:val="center"/>
              <w:rPr>
                <w:rFonts w:cs="Arial"/>
                <w:b/>
                <w:color w:val="000000" w:themeColor="text1"/>
                <w:szCs w:val="16"/>
              </w:rPr>
            </w:pPr>
            <w:r w:rsidRPr="00781112">
              <w:rPr>
                <w:rFonts w:cs="Arial"/>
                <w:b/>
                <w:color w:val="000000" w:themeColor="text1"/>
                <w:szCs w:val="16"/>
              </w:rPr>
              <w:t>Denominator</w:t>
            </w:r>
          </w:p>
        </w:tc>
        <w:tc>
          <w:tcPr>
            <w:tcW w:w="571" w:type="pct"/>
            <w:shd w:val="clear" w:color="auto" w:fill="auto"/>
            <w:vAlign w:val="bottom"/>
          </w:tcPr>
          <w:p w14:paraId="1634F3BC" w14:textId="2B2BC2EB" w:rsidR="00AA4F85" w:rsidRPr="00CC1061" w:rsidRDefault="00AA4F85" w:rsidP="00AA4F85">
            <w:pPr>
              <w:jc w:val="center"/>
              <w:rPr>
                <w:rFonts w:cs="Arial"/>
                <w:b/>
                <w:bCs/>
                <w:color w:val="000000" w:themeColor="text1"/>
                <w:szCs w:val="16"/>
              </w:rPr>
            </w:pPr>
            <w:r w:rsidRPr="00CC1061">
              <w:rPr>
                <w:b/>
                <w:bCs/>
              </w:rPr>
              <w:t>FFY 2021 Data</w:t>
            </w:r>
          </w:p>
        </w:tc>
        <w:tc>
          <w:tcPr>
            <w:tcW w:w="572" w:type="pct"/>
            <w:shd w:val="clear" w:color="auto" w:fill="auto"/>
            <w:vAlign w:val="bottom"/>
          </w:tcPr>
          <w:p w14:paraId="41DCEE89" w14:textId="48E181FE" w:rsidR="00AA4F85" w:rsidRPr="00CC1061" w:rsidRDefault="00AA4F85" w:rsidP="00AA4F85">
            <w:pPr>
              <w:jc w:val="center"/>
              <w:rPr>
                <w:rFonts w:cs="Arial"/>
                <w:b/>
                <w:bCs/>
                <w:color w:val="000000" w:themeColor="text1"/>
                <w:szCs w:val="16"/>
              </w:rPr>
            </w:pPr>
            <w:r w:rsidRPr="00CC1061">
              <w:rPr>
                <w:b/>
                <w:bCs/>
              </w:rPr>
              <w:t>FFY 2022 Target</w:t>
            </w:r>
          </w:p>
        </w:tc>
        <w:tc>
          <w:tcPr>
            <w:tcW w:w="571" w:type="pct"/>
            <w:shd w:val="clear" w:color="auto" w:fill="auto"/>
            <w:vAlign w:val="bottom"/>
          </w:tcPr>
          <w:p w14:paraId="64737D68" w14:textId="0E44D833" w:rsidR="00AA4F85" w:rsidRPr="00CC1061" w:rsidRDefault="00AA4F85" w:rsidP="00AA4F85">
            <w:pPr>
              <w:jc w:val="center"/>
              <w:rPr>
                <w:rFonts w:cs="Arial"/>
                <w:b/>
                <w:bCs/>
                <w:color w:val="000000" w:themeColor="text1"/>
                <w:szCs w:val="16"/>
              </w:rPr>
            </w:pPr>
            <w:r w:rsidRPr="00CC1061">
              <w:rPr>
                <w:b/>
                <w:bCs/>
              </w:rPr>
              <w:t>FFY 2022 Data</w:t>
            </w:r>
          </w:p>
        </w:tc>
        <w:tc>
          <w:tcPr>
            <w:tcW w:w="572" w:type="pct"/>
            <w:shd w:val="clear" w:color="auto" w:fill="auto"/>
            <w:vAlign w:val="bottom"/>
          </w:tcPr>
          <w:p w14:paraId="4592E227" w14:textId="424684DB" w:rsidR="00AA4F85" w:rsidRPr="00781112" w:rsidRDefault="00AA4F85" w:rsidP="00AA4F85">
            <w:pPr>
              <w:jc w:val="center"/>
              <w:rPr>
                <w:rFonts w:cs="Arial"/>
                <w:b/>
                <w:color w:val="000000" w:themeColor="text1"/>
                <w:szCs w:val="16"/>
              </w:rPr>
            </w:pPr>
            <w:r w:rsidRPr="00781112">
              <w:rPr>
                <w:rFonts w:cs="Arial"/>
                <w:b/>
                <w:color w:val="000000" w:themeColor="text1"/>
                <w:szCs w:val="16"/>
              </w:rPr>
              <w:t>Status</w:t>
            </w:r>
          </w:p>
        </w:tc>
        <w:tc>
          <w:tcPr>
            <w:tcW w:w="571" w:type="pct"/>
            <w:shd w:val="clear" w:color="auto" w:fill="auto"/>
            <w:vAlign w:val="bottom"/>
          </w:tcPr>
          <w:p w14:paraId="41F5B2E6" w14:textId="7085A5D7" w:rsidR="00AA4F85" w:rsidRPr="00781112" w:rsidRDefault="00AA4F85" w:rsidP="00AA4F85">
            <w:pPr>
              <w:jc w:val="center"/>
              <w:rPr>
                <w:rFonts w:cs="Arial"/>
                <w:b/>
                <w:color w:val="000000" w:themeColor="text1"/>
                <w:szCs w:val="16"/>
              </w:rPr>
            </w:pPr>
            <w:r w:rsidRPr="00781112">
              <w:rPr>
                <w:rFonts w:cs="Arial"/>
                <w:b/>
                <w:color w:val="000000" w:themeColor="text1"/>
                <w:szCs w:val="16"/>
              </w:rPr>
              <w:t>Slippage</w:t>
            </w:r>
          </w:p>
        </w:tc>
      </w:tr>
      <w:tr w:rsidR="005C29F8" w:rsidRPr="00781112" w14:paraId="18B94B2E" w14:textId="09DCF8DA" w:rsidTr="00AA4F85">
        <w:trPr>
          <w:trHeight w:val="361"/>
        </w:trPr>
        <w:tc>
          <w:tcPr>
            <w:tcW w:w="1040" w:type="pct"/>
            <w:shd w:val="clear" w:color="auto" w:fill="auto"/>
          </w:tcPr>
          <w:p w14:paraId="423BC0C1" w14:textId="77777777" w:rsidR="00071D42" w:rsidRPr="00781112" w:rsidRDefault="00A86385" w:rsidP="00A018D4">
            <w:pPr>
              <w:rPr>
                <w:rFonts w:cs="Arial"/>
                <w:color w:val="000000" w:themeColor="text1"/>
                <w:szCs w:val="16"/>
              </w:rPr>
            </w:pPr>
            <w:r w:rsidRPr="00781112">
              <w:rPr>
                <w:rFonts w:cs="Arial"/>
                <w:color w:val="000000" w:themeColor="text1"/>
                <w:szCs w:val="16"/>
              </w:rPr>
              <w:t xml:space="preserve">A1. Of those children who entered or exited the program below age expectations in Outcome A, the percent who substantially increased their rate of growth by the time they turned 6 years of age or exited the program. </w:t>
            </w:r>
            <w:r w:rsidRPr="00266107">
              <w:rPr>
                <w:rFonts w:cs="Arial"/>
                <w:i/>
                <w:iCs/>
                <w:color w:val="000000" w:themeColor="text1"/>
                <w:szCs w:val="16"/>
              </w:rPr>
              <w:t>Calculation:(</w:t>
            </w:r>
            <w:proofErr w:type="spellStart"/>
            <w:r w:rsidRPr="00266107">
              <w:rPr>
                <w:rFonts w:cs="Arial"/>
                <w:i/>
                <w:iCs/>
                <w:color w:val="000000" w:themeColor="text1"/>
                <w:szCs w:val="16"/>
              </w:rPr>
              <w:t>c+d</w:t>
            </w:r>
            <w:proofErr w:type="spellEnd"/>
            <w:r w:rsidRPr="00266107">
              <w:rPr>
                <w:rFonts w:cs="Arial"/>
                <w:i/>
                <w:iCs/>
                <w:color w:val="000000" w:themeColor="text1"/>
                <w:szCs w:val="16"/>
              </w:rPr>
              <w:t>)/(</w:t>
            </w:r>
            <w:proofErr w:type="spellStart"/>
            <w:r w:rsidRPr="00266107">
              <w:rPr>
                <w:rFonts w:cs="Arial"/>
                <w:i/>
                <w:iCs/>
                <w:color w:val="000000" w:themeColor="text1"/>
                <w:szCs w:val="16"/>
              </w:rPr>
              <w:t>a+b+c+d</w:t>
            </w:r>
            <w:proofErr w:type="spellEnd"/>
            <w:r w:rsidRPr="00266107">
              <w:rPr>
                <w:rFonts w:cs="Arial"/>
                <w:i/>
                <w:iCs/>
                <w:color w:val="000000" w:themeColor="text1"/>
                <w:szCs w:val="16"/>
              </w:rPr>
              <w:t>)</w:t>
            </w:r>
          </w:p>
        </w:tc>
        <w:tc>
          <w:tcPr>
            <w:tcW w:w="532" w:type="pct"/>
            <w:shd w:val="clear" w:color="auto" w:fill="auto"/>
            <w:vAlign w:val="center"/>
          </w:tcPr>
          <w:p w14:paraId="4154B7AF" w14:textId="22483590" w:rsidR="00A86385" w:rsidRPr="00781112" w:rsidRDefault="002B7490" w:rsidP="00A86385">
            <w:pPr>
              <w:jc w:val="center"/>
              <w:rPr>
                <w:rFonts w:cs="Arial"/>
                <w:color w:val="000000" w:themeColor="text1"/>
                <w:szCs w:val="16"/>
              </w:rPr>
            </w:pPr>
            <w:r w:rsidRPr="00781112">
              <w:rPr>
                <w:rFonts w:cs="Arial"/>
                <w:color w:val="000000" w:themeColor="text1"/>
                <w:szCs w:val="16"/>
              </w:rPr>
              <w:t>2,151</w:t>
            </w:r>
          </w:p>
        </w:tc>
        <w:tc>
          <w:tcPr>
            <w:tcW w:w="572" w:type="pct"/>
            <w:shd w:val="clear" w:color="auto" w:fill="auto"/>
            <w:vAlign w:val="center"/>
          </w:tcPr>
          <w:p w14:paraId="6A178831" w14:textId="564F7234" w:rsidR="00A86385" w:rsidRPr="00781112" w:rsidRDefault="002B7490" w:rsidP="00A86385">
            <w:pPr>
              <w:jc w:val="center"/>
              <w:rPr>
                <w:rFonts w:cs="Arial"/>
                <w:color w:val="000000" w:themeColor="text1"/>
                <w:szCs w:val="16"/>
              </w:rPr>
            </w:pPr>
            <w:r w:rsidRPr="00781112">
              <w:rPr>
                <w:rFonts w:cs="Arial"/>
                <w:color w:val="000000" w:themeColor="text1"/>
                <w:szCs w:val="16"/>
              </w:rPr>
              <w:t>2,975</w:t>
            </w:r>
          </w:p>
        </w:tc>
        <w:tc>
          <w:tcPr>
            <w:tcW w:w="571" w:type="pct"/>
            <w:shd w:val="clear" w:color="auto" w:fill="auto"/>
            <w:vAlign w:val="center"/>
          </w:tcPr>
          <w:p w14:paraId="5EEC0208" w14:textId="526E193A" w:rsidR="00A86385" w:rsidRPr="00781112" w:rsidRDefault="002B7490" w:rsidP="00A86385">
            <w:pPr>
              <w:jc w:val="center"/>
              <w:rPr>
                <w:rFonts w:cs="Arial"/>
                <w:color w:val="000000" w:themeColor="text1"/>
                <w:szCs w:val="16"/>
              </w:rPr>
            </w:pPr>
            <w:r w:rsidRPr="00781112">
              <w:rPr>
                <w:rFonts w:cs="Arial"/>
                <w:color w:val="000000" w:themeColor="text1"/>
                <w:szCs w:val="16"/>
              </w:rPr>
              <w:t>72.14%</w:t>
            </w:r>
          </w:p>
        </w:tc>
        <w:tc>
          <w:tcPr>
            <w:tcW w:w="572" w:type="pct"/>
            <w:shd w:val="clear" w:color="auto" w:fill="auto"/>
            <w:vAlign w:val="center"/>
          </w:tcPr>
          <w:p w14:paraId="4FDFC172" w14:textId="02E04CF5" w:rsidR="00A86385" w:rsidRPr="00781112" w:rsidRDefault="003D7F56">
            <w:pPr>
              <w:jc w:val="center"/>
              <w:rPr>
                <w:color w:val="000000" w:themeColor="text1"/>
              </w:rPr>
            </w:pPr>
            <w:r w:rsidRPr="00781112">
              <w:rPr>
                <w:color w:val="000000" w:themeColor="text1"/>
              </w:rPr>
              <w:t>75.32%</w:t>
            </w:r>
          </w:p>
        </w:tc>
        <w:tc>
          <w:tcPr>
            <w:tcW w:w="571" w:type="pct"/>
            <w:shd w:val="clear" w:color="auto" w:fill="auto"/>
            <w:vAlign w:val="center"/>
          </w:tcPr>
          <w:p w14:paraId="23D0B4EA" w14:textId="4DE98DDB" w:rsidR="00A86385" w:rsidRPr="00781112" w:rsidRDefault="002B7490" w:rsidP="00A86385">
            <w:pPr>
              <w:jc w:val="center"/>
              <w:rPr>
                <w:rFonts w:cs="Arial"/>
                <w:color w:val="000000" w:themeColor="text1"/>
                <w:szCs w:val="16"/>
              </w:rPr>
            </w:pPr>
            <w:r w:rsidRPr="00781112">
              <w:rPr>
                <w:rFonts w:cs="Arial"/>
                <w:color w:val="000000" w:themeColor="text1"/>
                <w:szCs w:val="16"/>
              </w:rPr>
              <w:t>72.30%</w:t>
            </w:r>
          </w:p>
        </w:tc>
        <w:tc>
          <w:tcPr>
            <w:tcW w:w="572" w:type="pct"/>
            <w:shd w:val="clear" w:color="auto" w:fill="auto"/>
            <w:vAlign w:val="center"/>
          </w:tcPr>
          <w:p w14:paraId="64F5CB78" w14:textId="13F3F70F" w:rsidR="00A86385" w:rsidRPr="00781112" w:rsidRDefault="002B7490" w:rsidP="00A86385">
            <w:pPr>
              <w:jc w:val="center"/>
              <w:rPr>
                <w:rFonts w:cs="Arial"/>
                <w:color w:val="000000" w:themeColor="text1"/>
                <w:szCs w:val="16"/>
              </w:rPr>
            </w:pPr>
            <w:r w:rsidRPr="00781112">
              <w:rPr>
                <w:rFonts w:cs="Arial"/>
                <w:color w:val="000000" w:themeColor="text1"/>
                <w:szCs w:val="16"/>
              </w:rPr>
              <w:t>Did not meet target</w:t>
            </w:r>
          </w:p>
        </w:tc>
        <w:tc>
          <w:tcPr>
            <w:tcW w:w="571" w:type="pct"/>
            <w:shd w:val="clear" w:color="auto" w:fill="auto"/>
            <w:vAlign w:val="center"/>
          </w:tcPr>
          <w:p w14:paraId="7D4367C2" w14:textId="1159AE87" w:rsidR="00A86385" w:rsidRPr="00781112" w:rsidRDefault="002B7490" w:rsidP="00A86385">
            <w:pPr>
              <w:jc w:val="center"/>
              <w:rPr>
                <w:rFonts w:cs="Arial"/>
                <w:color w:val="000000" w:themeColor="text1"/>
                <w:szCs w:val="16"/>
              </w:rPr>
            </w:pPr>
            <w:r w:rsidRPr="00781112">
              <w:rPr>
                <w:rFonts w:cs="Arial"/>
                <w:color w:val="000000" w:themeColor="text1"/>
                <w:szCs w:val="16"/>
              </w:rPr>
              <w:t>No Slippage</w:t>
            </w:r>
          </w:p>
        </w:tc>
      </w:tr>
      <w:tr w:rsidR="005C29F8" w:rsidRPr="00781112" w14:paraId="79C043DE" w14:textId="1DF06FE5" w:rsidTr="00AA4F85">
        <w:trPr>
          <w:trHeight w:val="361"/>
        </w:trPr>
        <w:tc>
          <w:tcPr>
            <w:tcW w:w="1040" w:type="pct"/>
            <w:shd w:val="clear" w:color="auto" w:fill="auto"/>
          </w:tcPr>
          <w:p w14:paraId="319F62FD" w14:textId="77777777" w:rsidR="00071D42" w:rsidRPr="00781112" w:rsidRDefault="00A86385" w:rsidP="00A018D4">
            <w:pPr>
              <w:rPr>
                <w:rFonts w:cs="Arial"/>
                <w:color w:val="000000" w:themeColor="text1"/>
                <w:szCs w:val="16"/>
              </w:rPr>
            </w:pPr>
            <w:r w:rsidRPr="00781112">
              <w:rPr>
                <w:rFonts w:cs="Arial"/>
                <w:color w:val="000000" w:themeColor="text1"/>
                <w:szCs w:val="16"/>
              </w:rPr>
              <w:t xml:space="preserve">A2. The percent of preschool children who were functioning within age expectations in Outcome A by the time they turned 6 years of age or exited the program. </w:t>
            </w:r>
            <w:r w:rsidRPr="00266107">
              <w:rPr>
                <w:rFonts w:cs="Arial"/>
                <w:i/>
                <w:iCs/>
                <w:color w:val="000000" w:themeColor="text1"/>
                <w:szCs w:val="16"/>
              </w:rPr>
              <w:t>Calculation: (</w:t>
            </w:r>
            <w:proofErr w:type="spellStart"/>
            <w:r w:rsidRPr="00266107">
              <w:rPr>
                <w:rFonts w:cs="Arial"/>
                <w:i/>
                <w:iCs/>
                <w:color w:val="000000" w:themeColor="text1"/>
                <w:szCs w:val="16"/>
              </w:rPr>
              <w:t>d+e</w:t>
            </w:r>
            <w:proofErr w:type="spellEnd"/>
            <w:r w:rsidRPr="00266107">
              <w:rPr>
                <w:rFonts w:cs="Arial"/>
                <w:i/>
                <w:iCs/>
                <w:color w:val="000000" w:themeColor="text1"/>
                <w:szCs w:val="16"/>
              </w:rPr>
              <w:t>)/(</w:t>
            </w:r>
            <w:proofErr w:type="spellStart"/>
            <w:r w:rsidRPr="00266107">
              <w:rPr>
                <w:rFonts w:cs="Arial"/>
                <w:i/>
                <w:iCs/>
                <w:color w:val="000000" w:themeColor="text1"/>
                <w:szCs w:val="16"/>
              </w:rPr>
              <w:t>a+b+c+d+e</w:t>
            </w:r>
            <w:proofErr w:type="spellEnd"/>
            <w:r w:rsidRPr="00266107">
              <w:rPr>
                <w:rFonts w:cs="Arial"/>
                <w:i/>
                <w:iCs/>
                <w:color w:val="000000" w:themeColor="text1"/>
                <w:szCs w:val="16"/>
              </w:rPr>
              <w:t>)</w:t>
            </w:r>
          </w:p>
        </w:tc>
        <w:tc>
          <w:tcPr>
            <w:tcW w:w="532" w:type="pct"/>
            <w:shd w:val="clear" w:color="auto" w:fill="auto"/>
            <w:vAlign w:val="center"/>
          </w:tcPr>
          <w:p w14:paraId="1EA4F3E8" w14:textId="01AC6416" w:rsidR="00A86385" w:rsidRPr="00781112" w:rsidRDefault="002B7490" w:rsidP="00A86385">
            <w:pPr>
              <w:jc w:val="center"/>
              <w:rPr>
                <w:rFonts w:cs="Arial"/>
                <w:color w:val="000000" w:themeColor="text1"/>
                <w:szCs w:val="16"/>
              </w:rPr>
            </w:pPr>
            <w:r w:rsidRPr="00781112">
              <w:rPr>
                <w:rFonts w:cs="Arial"/>
                <w:color w:val="000000" w:themeColor="text1"/>
                <w:szCs w:val="16"/>
              </w:rPr>
              <w:t>2,887</w:t>
            </w:r>
          </w:p>
        </w:tc>
        <w:tc>
          <w:tcPr>
            <w:tcW w:w="572" w:type="pct"/>
            <w:shd w:val="clear" w:color="auto" w:fill="auto"/>
            <w:vAlign w:val="center"/>
          </w:tcPr>
          <w:p w14:paraId="392DC3C7" w14:textId="706433AB" w:rsidR="00A86385" w:rsidRPr="00781112" w:rsidRDefault="002B7490" w:rsidP="00A86385">
            <w:pPr>
              <w:jc w:val="center"/>
              <w:rPr>
                <w:rFonts w:cs="Arial"/>
                <w:color w:val="000000" w:themeColor="text1"/>
                <w:szCs w:val="16"/>
              </w:rPr>
            </w:pPr>
            <w:r w:rsidRPr="00781112">
              <w:rPr>
                <w:rFonts w:cs="Arial"/>
                <w:color w:val="000000" w:themeColor="text1"/>
                <w:szCs w:val="16"/>
              </w:rPr>
              <w:t>4,461</w:t>
            </w:r>
          </w:p>
        </w:tc>
        <w:tc>
          <w:tcPr>
            <w:tcW w:w="571" w:type="pct"/>
            <w:shd w:val="clear" w:color="auto" w:fill="auto"/>
            <w:vAlign w:val="center"/>
          </w:tcPr>
          <w:p w14:paraId="480CDC79" w14:textId="4F1F0DEC" w:rsidR="00A86385" w:rsidRPr="00781112" w:rsidRDefault="002B7490" w:rsidP="00A86385">
            <w:pPr>
              <w:jc w:val="center"/>
              <w:rPr>
                <w:rFonts w:cs="Arial"/>
                <w:color w:val="000000" w:themeColor="text1"/>
                <w:szCs w:val="16"/>
              </w:rPr>
            </w:pPr>
            <w:r w:rsidRPr="00781112">
              <w:rPr>
                <w:rFonts w:cs="Arial"/>
                <w:color w:val="000000" w:themeColor="text1"/>
                <w:szCs w:val="16"/>
              </w:rPr>
              <w:t>65.18%</w:t>
            </w:r>
          </w:p>
        </w:tc>
        <w:tc>
          <w:tcPr>
            <w:tcW w:w="572" w:type="pct"/>
            <w:shd w:val="clear" w:color="auto" w:fill="auto"/>
            <w:vAlign w:val="center"/>
          </w:tcPr>
          <w:p w14:paraId="4E37244D" w14:textId="286AF534" w:rsidR="00A86385" w:rsidRPr="00781112" w:rsidRDefault="003D7F56">
            <w:pPr>
              <w:jc w:val="center"/>
              <w:rPr>
                <w:color w:val="000000" w:themeColor="text1"/>
              </w:rPr>
            </w:pPr>
            <w:r w:rsidRPr="00781112">
              <w:rPr>
                <w:color w:val="000000" w:themeColor="text1"/>
              </w:rPr>
              <w:t>63.25%</w:t>
            </w:r>
          </w:p>
        </w:tc>
        <w:tc>
          <w:tcPr>
            <w:tcW w:w="571" w:type="pct"/>
            <w:shd w:val="clear" w:color="auto" w:fill="auto"/>
            <w:vAlign w:val="center"/>
          </w:tcPr>
          <w:p w14:paraId="2BBC817C" w14:textId="65BC2730" w:rsidR="00A86385" w:rsidRPr="00781112" w:rsidRDefault="002B7490" w:rsidP="00A86385">
            <w:pPr>
              <w:jc w:val="center"/>
              <w:rPr>
                <w:rFonts w:cs="Arial"/>
                <w:color w:val="000000" w:themeColor="text1"/>
                <w:szCs w:val="16"/>
              </w:rPr>
            </w:pPr>
            <w:r w:rsidRPr="00781112">
              <w:rPr>
                <w:rFonts w:cs="Arial"/>
                <w:color w:val="000000" w:themeColor="text1"/>
                <w:szCs w:val="16"/>
              </w:rPr>
              <w:t>64.72%</w:t>
            </w:r>
          </w:p>
        </w:tc>
        <w:tc>
          <w:tcPr>
            <w:tcW w:w="572" w:type="pct"/>
            <w:shd w:val="clear" w:color="auto" w:fill="auto"/>
            <w:vAlign w:val="center"/>
          </w:tcPr>
          <w:p w14:paraId="3AC16CE0" w14:textId="7E3856A4" w:rsidR="00A86385" w:rsidRPr="00781112" w:rsidRDefault="002B7490" w:rsidP="00A86385">
            <w:pPr>
              <w:jc w:val="center"/>
              <w:rPr>
                <w:rFonts w:cs="Arial"/>
                <w:color w:val="000000" w:themeColor="text1"/>
                <w:szCs w:val="16"/>
              </w:rPr>
            </w:pPr>
            <w:r w:rsidRPr="00781112">
              <w:rPr>
                <w:rFonts w:cs="Arial"/>
                <w:color w:val="000000" w:themeColor="text1"/>
                <w:szCs w:val="16"/>
              </w:rPr>
              <w:t>Met target</w:t>
            </w:r>
          </w:p>
        </w:tc>
        <w:tc>
          <w:tcPr>
            <w:tcW w:w="571" w:type="pct"/>
            <w:shd w:val="clear" w:color="auto" w:fill="auto"/>
            <w:vAlign w:val="center"/>
          </w:tcPr>
          <w:p w14:paraId="2C0165C1" w14:textId="5260DB98" w:rsidR="00A86385" w:rsidRPr="00781112" w:rsidRDefault="002B7490" w:rsidP="00A86385">
            <w:pPr>
              <w:jc w:val="center"/>
              <w:rPr>
                <w:rFonts w:cs="Arial"/>
                <w:color w:val="000000" w:themeColor="text1"/>
                <w:szCs w:val="16"/>
              </w:rPr>
            </w:pPr>
            <w:r w:rsidRPr="00781112">
              <w:rPr>
                <w:rFonts w:cs="Arial"/>
                <w:color w:val="000000" w:themeColor="text1"/>
                <w:szCs w:val="16"/>
              </w:rPr>
              <w:t>No Slippage</w:t>
            </w:r>
          </w:p>
        </w:tc>
      </w:tr>
    </w:tbl>
    <w:p w14:paraId="43C6FD6E" w14:textId="77777777" w:rsidR="00A80FEB" w:rsidRPr="00781112" w:rsidRDefault="00A80FEB" w:rsidP="004369B2">
      <w:pPr>
        <w:rPr>
          <w:color w:val="000000" w:themeColor="text1"/>
        </w:rPr>
      </w:pPr>
      <w:r w:rsidRPr="00781112">
        <w:rPr>
          <w:b/>
          <w:color w:val="000000" w:themeColor="text1"/>
        </w:rPr>
        <w:t>Outcome B: Acquisition and use of knowledge and skills (including early language/communication)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B07OUTCOMEB"/>
      </w:tblPr>
      <w:tblGrid>
        <w:gridCol w:w="7227"/>
        <w:gridCol w:w="1783"/>
        <w:gridCol w:w="1780"/>
      </w:tblGrid>
      <w:tr w:rsidR="005C29F8" w:rsidRPr="00781112" w14:paraId="637A7029" w14:textId="2CDA80A7" w:rsidTr="0033429D">
        <w:trPr>
          <w:trHeight w:val="361"/>
          <w:tblHeader/>
        </w:trPr>
        <w:tc>
          <w:tcPr>
            <w:tcW w:w="3349" w:type="pct"/>
            <w:shd w:val="clear" w:color="auto" w:fill="auto"/>
            <w:vAlign w:val="bottom"/>
          </w:tcPr>
          <w:p w14:paraId="43F5435F" w14:textId="01DC1145" w:rsidR="00E13B95" w:rsidRPr="00781112" w:rsidRDefault="003E11AE" w:rsidP="0024351A">
            <w:pPr>
              <w:rPr>
                <w:rFonts w:cs="Arial"/>
                <w:color w:val="000000" w:themeColor="text1"/>
                <w:szCs w:val="16"/>
              </w:rPr>
            </w:pPr>
            <w:r w:rsidRPr="00781112">
              <w:rPr>
                <w:rFonts w:cs="Arial"/>
                <w:b/>
                <w:color w:val="000000" w:themeColor="text1"/>
                <w:szCs w:val="16"/>
              </w:rPr>
              <w:t xml:space="preserve">Outcome B </w:t>
            </w:r>
            <w:r w:rsidRPr="00781112">
              <w:rPr>
                <w:rFonts w:cs="Arial"/>
                <w:b/>
                <w:bCs/>
                <w:color w:val="000000" w:themeColor="text1"/>
                <w:szCs w:val="16"/>
              </w:rPr>
              <w:t xml:space="preserve">Progress </w:t>
            </w:r>
            <w:r w:rsidR="009028CA" w:rsidRPr="00781112">
              <w:rPr>
                <w:rFonts w:cs="Arial"/>
                <w:b/>
                <w:bCs/>
                <w:color w:val="000000" w:themeColor="text1"/>
                <w:szCs w:val="16"/>
              </w:rPr>
              <w:t>C</w:t>
            </w:r>
            <w:r w:rsidRPr="00781112">
              <w:rPr>
                <w:rFonts w:cs="Arial"/>
                <w:b/>
                <w:bCs/>
                <w:color w:val="000000" w:themeColor="text1"/>
                <w:szCs w:val="16"/>
              </w:rPr>
              <w:t>ategor</w:t>
            </w:r>
            <w:r w:rsidR="00E91363" w:rsidRPr="00781112">
              <w:rPr>
                <w:rFonts w:cs="Arial"/>
                <w:b/>
                <w:bCs/>
                <w:color w:val="000000" w:themeColor="text1"/>
                <w:szCs w:val="16"/>
              </w:rPr>
              <w:t>y</w:t>
            </w:r>
          </w:p>
        </w:tc>
        <w:tc>
          <w:tcPr>
            <w:tcW w:w="826" w:type="pct"/>
            <w:shd w:val="clear" w:color="auto" w:fill="auto"/>
            <w:vAlign w:val="bottom"/>
          </w:tcPr>
          <w:p w14:paraId="33266842" w14:textId="77777777" w:rsidR="00E13B95" w:rsidRPr="00781112" w:rsidRDefault="00E13B95" w:rsidP="0024351A">
            <w:pPr>
              <w:jc w:val="center"/>
              <w:rPr>
                <w:rFonts w:cs="Arial"/>
                <w:b/>
                <w:color w:val="000000" w:themeColor="text1"/>
                <w:szCs w:val="16"/>
              </w:rPr>
            </w:pPr>
            <w:r w:rsidRPr="00781112">
              <w:rPr>
                <w:rFonts w:cs="Arial"/>
                <w:b/>
                <w:color w:val="000000" w:themeColor="text1"/>
                <w:szCs w:val="16"/>
              </w:rPr>
              <w:t>Number of Children</w:t>
            </w:r>
          </w:p>
        </w:tc>
        <w:tc>
          <w:tcPr>
            <w:tcW w:w="825" w:type="pct"/>
            <w:shd w:val="clear" w:color="auto" w:fill="auto"/>
            <w:vAlign w:val="bottom"/>
          </w:tcPr>
          <w:p w14:paraId="55864E39" w14:textId="3FAA808D" w:rsidR="00E13B95" w:rsidRPr="00781112" w:rsidRDefault="00E13B95" w:rsidP="0024351A">
            <w:pPr>
              <w:jc w:val="center"/>
              <w:rPr>
                <w:rFonts w:cs="Arial"/>
                <w:b/>
                <w:color w:val="000000" w:themeColor="text1"/>
                <w:szCs w:val="16"/>
              </w:rPr>
            </w:pPr>
            <w:r w:rsidRPr="00781112">
              <w:rPr>
                <w:rFonts w:cs="Arial"/>
                <w:b/>
                <w:color w:val="000000" w:themeColor="text1"/>
                <w:szCs w:val="16"/>
              </w:rPr>
              <w:t>Percentage of Children</w:t>
            </w:r>
          </w:p>
        </w:tc>
      </w:tr>
      <w:tr w:rsidR="005C29F8" w:rsidRPr="00781112" w14:paraId="5E399615" w14:textId="1C73CC75" w:rsidTr="00AB0D6A">
        <w:trPr>
          <w:trHeight w:val="361"/>
        </w:trPr>
        <w:tc>
          <w:tcPr>
            <w:tcW w:w="3349" w:type="pct"/>
            <w:shd w:val="clear" w:color="auto" w:fill="auto"/>
          </w:tcPr>
          <w:p w14:paraId="6B2DB9F8" w14:textId="77777777" w:rsidR="00A86385" w:rsidRPr="00781112" w:rsidRDefault="00A86385" w:rsidP="00A86385">
            <w:pPr>
              <w:rPr>
                <w:rFonts w:cs="Arial"/>
                <w:color w:val="000000" w:themeColor="text1"/>
                <w:szCs w:val="16"/>
              </w:rPr>
            </w:pPr>
            <w:r w:rsidRPr="00781112">
              <w:rPr>
                <w:rFonts w:cs="Arial"/>
                <w:color w:val="000000" w:themeColor="text1"/>
                <w:szCs w:val="16"/>
              </w:rPr>
              <w:t>a. Preschool children who did not improve functioning</w:t>
            </w:r>
          </w:p>
        </w:tc>
        <w:tc>
          <w:tcPr>
            <w:tcW w:w="826" w:type="pct"/>
            <w:shd w:val="clear" w:color="auto" w:fill="auto"/>
            <w:vAlign w:val="center"/>
          </w:tcPr>
          <w:p w14:paraId="54446092" w14:textId="4023E756" w:rsidR="00A86385" w:rsidRPr="00781112" w:rsidRDefault="002B7490" w:rsidP="00A018D4">
            <w:pPr>
              <w:jc w:val="center"/>
              <w:rPr>
                <w:rFonts w:cs="Arial"/>
                <w:color w:val="000000" w:themeColor="text1"/>
                <w:szCs w:val="16"/>
              </w:rPr>
            </w:pPr>
            <w:r w:rsidRPr="00781112">
              <w:rPr>
                <w:rFonts w:cs="Arial"/>
                <w:color w:val="000000" w:themeColor="text1"/>
                <w:szCs w:val="16"/>
              </w:rPr>
              <w:t>3</w:t>
            </w:r>
          </w:p>
        </w:tc>
        <w:tc>
          <w:tcPr>
            <w:tcW w:w="825" w:type="pct"/>
            <w:shd w:val="clear" w:color="auto" w:fill="auto"/>
            <w:vAlign w:val="center"/>
          </w:tcPr>
          <w:p w14:paraId="21775FA0" w14:textId="7E6665F3" w:rsidR="00A86385" w:rsidRPr="00781112" w:rsidRDefault="002B7490" w:rsidP="00A018D4">
            <w:pPr>
              <w:jc w:val="center"/>
              <w:rPr>
                <w:rFonts w:cs="Arial"/>
                <w:color w:val="000000" w:themeColor="text1"/>
                <w:szCs w:val="16"/>
              </w:rPr>
            </w:pPr>
            <w:r w:rsidRPr="00781112">
              <w:rPr>
                <w:rFonts w:cs="Arial"/>
                <w:color w:val="000000" w:themeColor="text1"/>
                <w:szCs w:val="16"/>
              </w:rPr>
              <w:t>0.07%</w:t>
            </w:r>
          </w:p>
        </w:tc>
      </w:tr>
      <w:tr w:rsidR="005C29F8" w:rsidRPr="00781112" w14:paraId="0EABFD05" w14:textId="7B9C3CA9" w:rsidTr="00AB0D6A">
        <w:trPr>
          <w:trHeight w:val="361"/>
        </w:trPr>
        <w:tc>
          <w:tcPr>
            <w:tcW w:w="3349" w:type="pct"/>
            <w:shd w:val="clear" w:color="auto" w:fill="auto"/>
          </w:tcPr>
          <w:p w14:paraId="623F83AF" w14:textId="77777777" w:rsidR="00A86385" w:rsidRPr="00781112" w:rsidRDefault="00A86385" w:rsidP="00A86385">
            <w:pPr>
              <w:rPr>
                <w:rFonts w:cs="Arial"/>
                <w:color w:val="000000" w:themeColor="text1"/>
                <w:szCs w:val="16"/>
              </w:rPr>
            </w:pPr>
            <w:r w:rsidRPr="00781112">
              <w:rPr>
                <w:rFonts w:cs="Arial"/>
                <w:color w:val="000000" w:themeColor="text1"/>
                <w:szCs w:val="16"/>
              </w:rPr>
              <w:t>b. Preschool children who improved functioning but not sufficient to move nearer to functioning comparable to same-aged peers</w:t>
            </w:r>
          </w:p>
        </w:tc>
        <w:tc>
          <w:tcPr>
            <w:tcW w:w="826" w:type="pct"/>
            <w:shd w:val="clear" w:color="auto" w:fill="auto"/>
            <w:vAlign w:val="center"/>
          </w:tcPr>
          <w:p w14:paraId="39ABCB88" w14:textId="036353D5" w:rsidR="00A86385" w:rsidRPr="00781112" w:rsidRDefault="002B7490" w:rsidP="00A018D4">
            <w:pPr>
              <w:jc w:val="center"/>
              <w:rPr>
                <w:rFonts w:cs="Arial"/>
                <w:color w:val="000000" w:themeColor="text1"/>
                <w:szCs w:val="16"/>
              </w:rPr>
            </w:pPr>
            <w:r w:rsidRPr="00781112">
              <w:rPr>
                <w:rFonts w:cs="Arial"/>
                <w:color w:val="000000" w:themeColor="text1"/>
                <w:szCs w:val="16"/>
              </w:rPr>
              <w:t>840</w:t>
            </w:r>
          </w:p>
        </w:tc>
        <w:tc>
          <w:tcPr>
            <w:tcW w:w="825" w:type="pct"/>
            <w:shd w:val="clear" w:color="auto" w:fill="auto"/>
            <w:vAlign w:val="center"/>
          </w:tcPr>
          <w:p w14:paraId="33D020CC" w14:textId="0314A001" w:rsidR="00A86385" w:rsidRPr="00781112" w:rsidRDefault="002B7490" w:rsidP="00A018D4">
            <w:pPr>
              <w:jc w:val="center"/>
              <w:rPr>
                <w:rFonts w:cs="Arial"/>
                <w:color w:val="000000" w:themeColor="text1"/>
                <w:szCs w:val="16"/>
              </w:rPr>
            </w:pPr>
            <w:r w:rsidRPr="00781112">
              <w:rPr>
                <w:rFonts w:cs="Arial"/>
                <w:color w:val="000000" w:themeColor="text1"/>
                <w:szCs w:val="16"/>
              </w:rPr>
              <w:t>18.83%</w:t>
            </w:r>
          </w:p>
        </w:tc>
      </w:tr>
      <w:tr w:rsidR="005C29F8" w:rsidRPr="00781112" w14:paraId="2AFEEE7C" w14:textId="52870042" w:rsidTr="00AB0D6A">
        <w:trPr>
          <w:trHeight w:val="361"/>
        </w:trPr>
        <w:tc>
          <w:tcPr>
            <w:tcW w:w="3349" w:type="pct"/>
            <w:shd w:val="clear" w:color="auto" w:fill="auto"/>
          </w:tcPr>
          <w:p w14:paraId="77166FC5" w14:textId="77777777" w:rsidR="00A86385" w:rsidRPr="00781112" w:rsidRDefault="00A86385" w:rsidP="00A86385">
            <w:pPr>
              <w:rPr>
                <w:rFonts w:cs="Arial"/>
                <w:color w:val="000000" w:themeColor="text1"/>
                <w:szCs w:val="16"/>
              </w:rPr>
            </w:pPr>
            <w:r w:rsidRPr="00781112">
              <w:rPr>
                <w:rFonts w:cs="Arial"/>
                <w:color w:val="000000" w:themeColor="text1"/>
                <w:szCs w:val="16"/>
              </w:rPr>
              <w:t>c. Preschool children who improved functioning to a level nearer to same-aged peers but did not reach it</w:t>
            </w:r>
          </w:p>
        </w:tc>
        <w:tc>
          <w:tcPr>
            <w:tcW w:w="826" w:type="pct"/>
            <w:shd w:val="clear" w:color="auto" w:fill="auto"/>
            <w:vAlign w:val="center"/>
          </w:tcPr>
          <w:p w14:paraId="32CAD94B" w14:textId="37477BEB" w:rsidR="00A86385" w:rsidRPr="00781112" w:rsidRDefault="002B7490" w:rsidP="00A018D4">
            <w:pPr>
              <w:jc w:val="center"/>
              <w:rPr>
                <w:rFonts w:cs="Arial"/>
                <w:color w:val="000000" w:themeColor="text1"/>
                <w:szCs w:val="16"/>
              </w:rPr>
            </w:pPr>
            <w:r w:rsidRPr="00781112">
              <w:rPr>
                <w:rFonts w:cs="Arial"/>
                <w:color w:val="000000" w:themeColor="text1"/>
                <w:szCs w:val="16"/>
              </w:rPr>
              <w:t>808</w:t>
            </w:r>
          </w:p>
        </w:tc>
        <w:tc>
          <w:tcPr>
            <w:tcW w:w="825" w:type="pct"/>
            <w:shd w:val="clear" w:color="auto" w:fill="auto"/>
            <w:vAlign w:val="center"/>
          </w:tcPr>
          <w:p w14:paraId="2021CF20" w14:textId="181B68B8" w:rsidR="00A86385" w:rsidRPr="00781112" w:rsidRDefault="002B7490" w:rsidP="00A018D4">
            <w:pPr>
              <w:jc w:val="center"/>
              <w:rPr>
                <w:rFonts w:cs="Arial"/>
                <w:color w:val="000000" w:themeColor="text1"/>
                <w:szCs w:val="16"/>
              </w:rPr>
            </w:pPr>
            <w:r w:rsidRPr="00781112">
              <w:rPr>
                <w:rFonts w:cs="Arial"/>
                <w:color w:val="000000" w:themeColor="text1"/>
                <w:szCs w:val="16"/>
              </w:rPr>
              <w:t>18.11%</w:t>
            </w:r>
          </w:p>
        </w:tc>
      </w:tr>
      <w:tr w:rsidR="005C29F8" w:rsidRPr="00781112" w14:paraId="5D450E84" w14:textId="4C13CEB9" w:rsidTr="00AB0D6A">
        <w:trPr>
          <w:trHeight w:val="361"/>
        </w:trPr>
        <w:tc>
          <w:tcPr>
            <w:tcW w:w="3349" w:type="pct"/>
            <w:shd w:val="clear" w:color="auto" w:fill="auto"/>
          </w:tcPr>
          <w:p w14:paraId="110FD587" w14:textId="77777777" w:rsidR="00A86385" w:rsidRPr="00781112" w:rsidRDefault="00A86385" w:rsidP="00A86385">
            <w:pPr>
              <w:rPr>
                <w:rFonts w:cs="Arial"/>
                <w:color w:val="000000" w:themeColor="text1"/>
                <w:szCs w:val="16"/>
              </w:rPr>
            </w:pPr>
            <w:r w:rsidRPr="00781112">
              <w:rPr>
                <w:rFonts w:cs="Arial"/>
                <w:color w:val="000000" w:themeColor="text1"/>
                <w:szCs w:val="16"/>
              </w:rPr>
              <w:t>d. Preschool children who improved functioning to reach a level comparable to same-aged peers</w:t>
            </w:r>
          </w:p>
        </w:tc>
        <w:tc>
          <w:tcPr>
            <w:tcW w:w="826" w:type="pct"/>
            <w:shd w:val="clear" w:color="auto" w:fill="auto"/>
            <w:vAlign w:val="center"/>
          </w:tcPr>
          <w:p w14:paraId="277F64A6" w14:textId="32E985A0" w:rsidR="00A86385" w:rsidRPr="00781112" w:rsidRDefault="002B7490" w:rsidP="00A018D4">
            <w:pPr>
              <w:jc w:val="center"/>
              <w:rPr>
                <w:rFonts w:cs="Arial"/>
                <w:color w:val="000000" w:themeColor="text1"/>
                <w:szCs w:val="16"/>
              </w:rPr>
            </w:pPr>
            <w:r w:rsidRPr="00781112">
              <w:rPr>
                <w:rFonts w:cs="Arial"/>
                <w:color w:val="000000" w:themeColor="text1"/>
                <w:szCs w:val="16"/>
              </w:rPr>
              <w:t>1,537</w:t>
            </w:r>
          </w:p>
        </w:tc>
        <w:tc>
          <w:tcPr>
            <w:tcW w:w="825" w:type="pct"/>
            <w:shd w:val="clear" w:color="auto" w:fill="auto"/>
            <w:vAlign w:val="center"/>
          </w:tcPr>
          <w:p w14:paraId="2EEE6FB7" w14:textId="6E8D11C4" w:rsidR="00A86385" w:rsidRPr="00781112" w:rsidRDefault="002B7490" w:rsidP="00A018D4">
            <w:pPr>
              <w:jc w:val="center"/>
              <w:rPr>
                <w:rFonts w:cs="Arial"/>
                <w:color w:val="000000" w:themeColor="text1"/>
                <w:szCs w:val="16"/>
              </w:rPr>
            </w:pPr>
            <w:r w:rsidRPr="00781112">
              <w:rPr>
                <w:rFonts w:cs="Arial"/>
                <w:color w:val="000000" w:themeColor="text1"/>
                <w:szCs w:val="16"/>
              </w:rPr>
              <w:t>34.45%</w:t>
            </w:r>
          </w:p>
        </w:tc>
      </w:tr>
      <w:tr w:rsidR="005C29F8" w:rsidRPr="00781112" w14:paraId="108FFB57" w14:textId="0C409786" w:rsidTr="00AB0D6A">
        <w:trPr>
          <w:trHeight w:val="361"/>
        </w:trPr>
        <w:tc>
          <w:tcPr>
            <w:tcW w:w="3349" w:type="pct"/>
            <w:shd w:val="clear" w:color="auto" w:fill="auto"/>
          </w:tcPr>
          <w:p w14:paraId="3D4AD278" w14:textId="77777777" w:rsidR="00A86385" w:rsidRPr="00781112" w:rsidRDefault="00A86385" w:rsidP="00A86385">
            <w:pPr>
              <w:rPr>
                <w:rFonts w:cs="Arial"/>
                <w:color w:val="000000" w:themeColor="text1"/>
                <w:szCs w:val="16"/>
              </w:rPr>
            </w:pPr>
            <w:r w:rsidRPr="00781112">
              <w:rPr>
                <w:rFonts w:cs="Arial"/>
                <w:color w:val="000000" w:themeColor="text1"/>
                <w:szCs w:val="16"/>
              </w:rPr>
              <w:t>e. Preschool children who maintained functioning at a level comparable to same-aged peers</w:t>
            </w:r>
          </w:p>
        </w:tc>
        <w:tc>
          <w:tcPr>
            <w:tcW w:w="826" w:type="pct"/>
            <w:shd w:val="clear" w:color="auto" w:fill="auto"/>
            <w:vAlign w:val="center"/>
          </w:tcPr>
          <w:p w14:paraId="7A790A60" w14:textId="08E1839F" w:rsidR="00A86385" w:rsidRPr="00781112" w:rsidRDefault="002B7490" w:rsidP="00A018D4">
            <w:pPr>
              <w:jc w:val="center"/>
              <w:rPr>
                <w:rFonts w:cs="Arial"/>
                <w:color w:val="000000" w:themeColor="text1"/>
                <w:szCs w:val="16"/>
              </w:rPr>
            </w:pPr>
            <w:r w:rsidRPr="00781112">
              <w:rPr>
                <w:rFonts w:cs="Arial"/>
                <w:color w:val="000000" w:themeColor="text1"/>
                <w:szCs w:val="16"/>
              </w:rPr>
              <w:t>1,273</w:t>
            </w:r>
          </w:p>
        </w:tc>
        <w:tc>
          <w:tcPr>
            <w:tcW w:w="825" w:type="pct"/>
            <w:shd w:val="clear" w:color="auto" w:fill="auto"/>
            <w:vAlign w:val="center"/>
          </w:tcPr>
          <w:p w14:paraId="2501B391" w14:textId="1634A6F5" w:rsidR="00A86385" w:rsidRPr="00781112" w:rsidRDefault="002B7490" w:rsidP="00A018D4">
            <w:pPr>
              <w:jc w:val="center"/>
              <w:rPr>
                <w:rFonts w:cs="Arial"/>
                <w:color w:val="000000" w:themeColor="text1"/>
                <w:szCs w:val="16"/>
              </w:rPr>
            </w:pPr>
            <w:r w:rsidRPr="00781112">
              <w:rPr>
                <w:rFonts w:cs="Arial"/>
                <w:color w:val="000000" w:themeColor="text1"/>
                <w:szCs w:val="16"/>
              </w:rPr>
              <w:t>28.54%</w:t>
            </w:r>
          </w:p>
        </w:tc>
      </w:tr>
    </w:tbl>
    <w:p w14:paraId="7EA9F2D2" w14:textId="77777777" w:rsidR="00A80FEB" w:rsidRPr="00781112" w:rsidRDefault="00A80FEB" w:rsidP="00A80FEB">
      <w:pPr>
        <w:rPr>
          <w:rFonts w:cs="Arial"/>
          <w:b/>
          <w:color w:val="000000" w:themeColor="text1"/>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B07OUTCOMEBDATA"/>
      </w:tblPr>
      <w:tblGrid>
        <w:gridCol w:w="2159"/>
        <w:gridCol w:w="1262"/>
        <w:gridCol w:w="1262"/>
        <w:gridCol w:w="1172"/>
        <w:gridCol w:w="1260"/>
        <w:gridCol w:w="1260"/>
        <w:gridCol w:w="1049"/>
        <w:gridCol w:w="1366"/>
      </w:tblGrid>
      <w:tr w:rsidR="00AA4F85" w:rsidRPr="00781112" w14:paraId="29447607" w14:textId="4B3B706C" w:rsidTr="00AA4F85">
        <w:trPr>
          <w:tblHeader/>
        </w:trPr>
        <w:tc>
          <w:tcPr>
            <w:tcW w:w="1000" w:type="pct"/>
            <w:shd w:val="clear" w:color="auto" w:fill="auto"/>
            <w:vAlign w:val="bottom"/>
          </w:tcPr>
          <w:p w14:paraId="58D567A9" w14:textId="7BD30860" w:rsidR="00AA4F85" w:rsidRPr="00781112" w:rsidRDefault="00AA4F85" w:rsidP="00AA4F85">
            <w:pPr>
              <w:rPr>
                <w:b/>
                <w:color w:val="000000" w:themeColor="text1"/>
              </w:rPr>
            </w:pPr>
            <w:r w:rsidRPr="00781112">
              <w:rPr>
                <w:b/>
                <w:color w:val="000000" w:themeColor="text1"/>
              </w:rPr>
              <w:t>Outcome B</w:t>
            </w:r>
          </w:p>
        </w:tc>
        <w:tc>
          <w:tcPr>
            <w:tcW w:w="585" w:type="pct"/>
            <w:shd w:val="clear" w:color="auto" w:fill="auto"/>
            <w:vAlign w:val="bottom"/>
          </w:tcPr>
          <w:p w14:paraId="0DF6A486" w14:textId="77777777" w:rsidR="00AA4F85" w:rsidRPr="00781112" w:rsidRDefault="00AA4F85" w:rsidP="00AA4F85">
            <w:pPr>
              <w:rPr>
                <w:b/>
                <w:color w:val="000000" w:themeColor="text1"/>
              </w:rPr>
            </w:pPr>
            <w:r w:rsidRPr="00781112">
              <w:rPr>
                <w:b/>
                <w:color w:val="000000" w:themeColor="text1"/>
              </w:rPr>
              <w:t>Numerator</w:t>
            </w:r>
          </w:p>
        </w:tc>
        <w:tc>
          <w:tcPr>
            <w:tcW w:w="585" w:type="pct"/>
            <w:shd w:val="clear" w:color="auto" w:fill="auto"/>
            <w:vAlign w:val="bottom"/>
          </w:tcPr>
          <w:p w14:paraId="4A127242" w14:textId="77777777" w:rsidR="00AA4F85" w:rsidRPr="00781112" w:rsidRDefault="00AA4F85" w:rsidP="00AA4F85">
            <w:pPr>
              <w:rPr>
                <w:b/>
                <w:color w:val="000000" w:themeColor="text1"/>
              </w:rPr>
            </w:pPr>
            <w:r w:rsidRPr="00781112">
              <w:rPr>
                <w:b/>
                <w:color w:val="000000" w:themeColor="text1"/>
              </w:rPr>
              <w:t>Denominator</w:t>
            </w:r>
          </w:p>
        </w:tc>
        <w:tc>
          <w:tcPr>
            <w:tcW w:w="543" w:type="pct"/>
            <w:shd w:val="clear" w:color="auto" w:fill="auto"/>
            <w:vAlign w:val="bottom"/>
          </w:tcPr>
          <w:p w14:paraId="03649132" w14:textId="0226D7BA" w:rsidR="00AA4F85" w:rsidRPr="00CC1061" w:rsidRDefault="00AA4F85" w:rsidP="00CC1061">
            <w:pPr>
              <w:jc w:val="center"/>
              <w:rPr>
                <w:b/>
                <w:bCs/>
                <w:color w:val="000000" w:themeColor="text1"/>
              </w:rPr>
            </w:pPr>
            <w:r w:rsidRPr="00CC1061">
              <w:rPr>
                <w:b/>
                <w:bCs/>
              </w:rPr>
              <w:t>FFY 2021 Data</w:t>
            </w:r>
          </w:p>
        </w:tc>
        <w:tc>
          <w:tcPr>
            <w:tcW w:w="584" w:type="pct"/>
            <w:shd w:val="clear" w:color="auto" w:fill="auto"/>
            <w:vAlign w:val="bottom"/>
          </w:tcPr>
          <w:p w14:paraId="3AFAEBC5" w14:textId="272E9AB7" w:rsidR="00AA4F85" w:rsidRPr="00CC1061" w:rsidRDefault="00AA4F85" w:rsidP="00CC1061">
            <w:pPr>
              <w:jc w:val="center"/>
              <w:rPr>
                <w:b/>
                <w:bCs/>
                <w:color w:val="000000" w:themeColor="text1"/>
              </w:rPr>
            </w:pPr>
            <w:r w:rsidRPr="00CC1061">
              <w:rPr>
                <w:b/>
                <w:bCs/>
              </w:rPr>
              <w:t>FFY 2022 Target</w:t>
            </w:r>
          </w:p>
        </w:tc>
        <w:tc>
          <w:tcPr>
            <w:tcW w:w="584" w:type="pct"/>
            <w:shd w:val="clear" w:color="auto" w:fill="auto"/>
            <w:vAlign w:val="bottom"/>
          </w:tcPr>
          <w:p w14:paraId="40B6360D" w14:textId="41F23566" w:rsidR="00AA4F85" w:rsidRPr="00CC1061" w:rsidRDefault="00AA4F85" w:rsidP="00CC1061">
            <w:pPr>
              <w:jc w:val="center"/>
              <w:rPr>
                <w:b/>
                <w:bCs/>
                <w:color w:val="000000" w:themeColor="text1"/>
              </w:rPr>
            </w:pPr>
            <w:r w:rsidRPr="00CC1061">
              <w:rPr>
                <w:b/>
                <w:bCs/>
              </w:rPr>
              <w:t>FFY 2022 Data</w:t>
            </w:r>
          </w:p>
        </w:tc>
        <w:tc>
          <w:tcPr>
            <w:tcW w:w="486" w:type="pct"/>
            <w:shd w:val="clear" w:color="auto" w:fill="auto"/>
            <w:vAlign w:val="bottom"/>
          </w:tcPr>
          <w:p w14:paraId="17C85F8A" w14:textId="625B06E9" w:rsidR="00AA4F85" w:rsidRPr="00781112" w:rsidRDefault="00AA4F85" w:rsidP="00AA4F85">
            <w:pPr>
              <w:rPr>
                <w:b/>
                <w:color w:val="000000" w:themeColor="text1"/>
              </w:rPr>
            </w:pPr>
            <w:r w:rsidRPr="00781112">
              <w:rPr>
                <w:b/>
                <w:color w:val="000000" w:themeColor="text1"/>
              </w:rPr>
              <w:t>Status</w:t>
            </w:r>
          </w:p>
        </w:tc>
        <w:tc>
          <w:tcPr>
            <w:tcW w:w="633" w:type="pct"/>
            <w:shd w:val="clear" w:color="auto" w:fill="auto"/>
            <w:vAlign w:val="bottom"/>
          </w:tcPr>
          <w:p w14:paraId="4254BB19" w14:textId="15C403FF" w:rsidR="00AA4F85" w:rsidRPr="00781112" w:rsidRDefault="00AA4F85" w:rsidP="00AA4F85">
            <w:pPr>
              <w:rPr>
                <w:b/>
                <w:color w:val="000000" w:themeColor="text1"/>
              </w:rPr>
            </w:pPr>
            <w:r w:rsidRPr="00781112">
              <w:rPr>
                <w:b/>
                <w:color w:val="000000" w:themeColor="text1"/>
              </w:rPr>
              <w:t>Slippage</w:t>
            </w:r>
          </w:p>
        </w:tc>
      </w:tr>
      <w:tr w:rsidR="005C29F8" w:rsidRPr="00781112" w14:paraId="6493B1D4" w14:textId="479A7C15" w:rsidTr="00AA4F85">
        <w:tc>
          <w:tcPr>
            <w:tcW w:w="1000" w:type="pct"/>
            <w:shd w:val="clear" w:color="auto" w:fill="auto"/>
          </w:tcPr>
          <w:p w14:paraId="095FBDAA" w14:textId="77777777" w:rsidR="00071D42" w:rsidRPr="00781112" w:rsidRDefault="00A86385" w:rsidP="00A018D4">
            <w:pPr>
              <w:rPr>
                <w:rFonts w:cs="Arial"/>
                <w:color w:val="000000" w:themeColor="text1"/>
                <w:szCs w:val="16"/>
              </w:rPr>
            </w:pPr>
            <w:r w:rsidRPr="00781112">
              <w:rPr>
                <w:rFonts w:cs="Arial"/>
                <w:color w:val="000000" w:themeColor="text1"/>
                <w:szCs w:val="16"/>
              </w:rPr>
              <w:t xml:space="preserve">B1. Of those children who entered or exited the program below age expectations in Outcome B, the percent who </w:t>
            </w:r>
            <w:r w:rsidRPr="00781112">
              <w:rPr>
                <w:rFonts w:cs="Arial"/>
                <w:color w:val="000000" w:themeColor="text1"/>
                <w:szCs w:val="16"/>
              </w:rPr>
              <w:lastRenderedPageBreak/>
              <w:t xml:space="preserve">substantially increased their rate of growth by the time they turned 6 years of age or exited the program. </w:t>
            </w:r>
            <w:r w:rsidRPr="00266107">
              <w:rPr>
                <w:rFonts w:cs="Arial"/>
                <w:i/>
                <w:iCs/>
                <w:color w:val="000000" w:themeColor="text1"/>
                <w:szCs w:val="16"/>
              </w:rPr>
              <w:t>Calculation: (</w:t>
            </w:r>
            <w:proofErr w:type="spellStart"/>
            <w:r w:rsidRPr="00266107">
              <w:rPr>
                <w:rFonts w:cs="Arial"/>
                <w:i/>
                <w:iCs/>
                <w:color w:val="000000" w:themeColor="text1"/>
                <w:szCs w:val="16"/>
              </w:rPr>
              <w:t>c+d</w:t>
            </w:r>
            <w:proofErr w:type="spellEnd"/>
            <w:r w:rsidRPr="00266107">
              <w:rPr>
                <w:rFonts w:cs="Arial"/>
                <w:i/>
                <w:iCs/>
                <w:color w:val="000000" w:themeColor="text1"/>
                <w:szCs w:val="16"/>
              </w:rPr>
              <w:t>)/(</w:t>
            </w:r>
            <w:proofErr w:type="spellStart"/>
            <w:r w:rsidRPr="00266107">
              <w:rPr>
                <w:rFonts w:cs="Arial"/>
                <w:i/>
                <w:iCs/>
                <w:color w:val="000000" w:themeColor="text1"/>
                <w:szCs w:val="16"/>
              </w:rPr>
              <w:t>a+b+c+d</w:t>
            </w:r>
            <w:proofErr w:type="spellEnd"/>
            <w:r w:rsidRPr="00266107">
              <w:rPr>
                <w:rFonts w:cs="Arial"/>
                <w:i/>
                <w:iCs/>
                <w:color w:val="000000" w:themeColor="text1"/>
                <w:szCs w:val="16"/>
              </w:rPr>
              <w:t>)</w:t>
            </w:r>
          </w:p>
        </w:tc>
        <w:tc>
          <w:tcPr>
            <w:tcW w:w="585" w:type="pct"/>
            <w:shd w:val="clear" w:color="auto" w:fill="auto"/>
            <w:vAlign w:val="center"/>
          </w:tcPr>
          <w:p w14:paraId="250FBF70" w14:textId="269E9F95" w:rsidR="00A86385" w:rsidRPr="00781112" w:rsidRDefault="002B7490" w:rsidP="00A018D4">
            <w:pPr>
              <w:jc w:val="center"/>
              <w:rPr>
                <w:rFonts w:cs="Arial"/>
                <w:color w:val="000000" w:themeColor="text1"/>
                <w:szCs w:val="16"/>
              </w:rPr>
            </w:pPr>
            <w:r w:rsidRPr="00781112">
              <w:rPr>
                <w:rFonts w:cs="Arial"/>
                <w:color w:val="000000" w:themeColor="text1"/>
                <w:szCs w:val="16"/>
              </w:rPr>
              <w:lastRenderedPageBreak/>
              <w:t>2,345</w:t>
            </w:r>
          </w:p>
        </w:tc>
        <w:tc>
          <w:tcPr>
            <w:tcW w:w="585" w:type="pct"/>
            <w:shd w:val="clear" w:color="auto" w:fill="auto"/>
            <w:vAlign w:val="center"/>
          </w:tcPr>
          <w:p w14:paraId="682FF5CA" w14:textId="4D1E8D34" w:rsidR="00A86385" w:rsidRPr="00781112" w:rsidRDefault="002B7490" w:rsidP="00A018D4">
            <w:pPr>
              <w:jc w:val="center"/>
              <w:rPr>
                <w:rFonts w:cs="Arial"/>
                <w:color w:val="000000" w:themeColor="text1"/>
                <w:szCs w:val="16"/>
              </w:rPr>
            </w:pPr>
            <w:r w:rsidRPr="00781112">
              <w:rPr>
                <w:rFonts w:cs="Arial"/>
                <w:color w:val="000000" w:themeColor="text1"/>
                <w:szCs w:val="16"/>
              </w:rPr>
              <w:t>3,188</w:t>
            </w:r>
          </w:p>
        </w:tc>
        <w:tc>
          <w:tcPr>
            <w:tcW w:w="543" w:type="pct"/>
            <w:shd w:val="clear" w:color="auto" w:fill="auto"/>
            <w:vAlign w:val="center"/>
          </w:tcPr>
          <w:p w14:paraId="07D855DC" w14:textId="52076A3B" w:rsidR="00A86385" w:rsidRPr="00781112" w:rsidRDefault="002B7490" w:rsidP="00A018D4">
            <w:pPr>
              <w:jc w:val="center"/>
              <w:rPr>
                <w:rFonts w:cs="Arial"/>
                <w:color w:val="000000" w:themeColor="text1"/>
                <w:szCs w:val="16"/>
              </w:rPr>
            </w:pPr>
            <w:r w:rsidRPr="00781112">
              <w:rPr>
                <w:rFonts w:cs="Arial"/>
                <w:color w:val="000000" w:themeColor="text1"/>
                <w:szCs w:val="16"/>
              </w:rPr>
              <w:t>73.85%</w:t>
            </w:r>
          </w:p>
        </w:tc>
        <w:tc>
          <w:tcPr>
            <w:tcW w:w="584" w:type="pct"/>
            <w:shd w:val="clear" w:color="auto" w:fill="auto"/>
            <w:vAlign w:val="center"/>
          </w:tcPr>
          <w:p w14:paraId="2830610A" w14:textId="6D7B3DE8" w:rsidR="00A86385" w:rsidRPr="00781112" w:rsidRDefault="002B7490" w:rsidP="00A018D4">
            <w:pPr>
              <w:jc w:val="center"/>
              <w:rPr>
                <w:rFonts w:cs="Arial"/>
                <w:color w:val="000000" w:themeColor="text1"/>
                <w:szCs w:val="16"/>
              </w:rPr>
            </w:pPr>
            <w:r w:rsidRPr="00781112">
              <w:rPr>
                <w:rFonts w:cs="Arial"/>
                <w:color w:val="000000" w:themeColor="text1"/>
                <w:szCs w:val="16"/>
              </w:rPr>
              <w:t>78.87%</w:t>
            </w:r>
          </w:p>
        </w:tc>
        <w:tc>
          <w:tcPr>
            <w:tcW w:w="584" w:type="pct"/>
            <w:shd w:val="clear" w:color="auto" w:fill="auto"/>
            <w:vAlign w:val="center"/>
          </w:tcPr>
          <w:p w14:paraId="12F538E0" w14:textId="1332D172" w:rsidR="00A86385" w:rsidRPr="00781112" w:rsidRDefault="002B7490" w:rsidP="00A018D4">
            <w:pPr>
              <w:jc w:val="center"/>
              <w:rPr>
                <w:rFonts w:cs="Arial"/>
                <w:color w:val="000000" w:themeColor="text1"/>
                <w:szCs w:val="16"/>
              </w:rPr>
            </w:pPr>
            <w:r w:rsidRPr="00781112">
              <w:rPr>
                <w:rFonts w:cs="Arial"/>
                <w:color w:val="000000" w:themeColor="text1"/>
                <w:szCs w:val="16"/>
              </w:rPr>
              <w:t>73.56%</w:t>
            </w:r>
          </w:p>
        </w:tc>
        <w:tc>
          <w:tcPr>
            <w:tcW w:w="486" w:type="pct"/>
            <w:shd w:val="clear" w:color="auto" w:fill="auto"/>
            <w:vAlign w:val="center"/>
          </w:tcPr>
          <w:p w14:paraId="68592CBC" w14:textId="66F66CA8" w:rsidR="00A86385" w:rsidRPr="00781112" w:rsidRDefault="002B7490" w:rsidP="00A018D4">
            <w:pPr>
              <w:jc w:val="center"/>
              <w:rPr>
                <w:rFonts w:cs="Arial"/>
                <w:color w:val="000000" w:themeColor="text1"/>
                <w:szCs w:val="16"/>
              </w:rPr>
            </w:pPr>
            <w:r w:rsidRPr="00781112">
              <w:rPr>
                <w:rFonts w:cs="Arial"/>
                <w:color w:val="000000" w:themeColor="text1"/>
                <w:szCs w:val="16"/>
              </w:rPr>
              <w:t>Did not meet target</w:t>
            </w:r>
          </w:p>
        </w:tc>
        <w:tc>
          <w:tcPr>
            <w:tcW w:w="633" w:type="pct"/>
            <w:shd w:val="clear" w:color="auto" w:fill="auto"/>
            <w:vAlign w:val="center"/>
          </w:tcPr>
          <w:p w14:paraId="0C970ED8" w14:textId="7AA3F255" w:rsidR="00A86385" w:rsidRPr="00781112" w:rsidRDefault="002B7490" w:rsidP="00A018D4">
            <w:pPr>
              <w:jc w:val="center"/>
              <w:rPr>
                <w:rFonts w:cs="Arial"/>
                <w:color w:val="000000" w:themeColor="text1"/>
                <w:szCs w:val="16"/>
              </w:rPr>
            </w:pPr>
            <w:r w:rsidRPr="00781112">
              <w:rPr>
                <w:rFonts w:cs="Arial"/>
                <w:color w:val="000000" w:themeColor="text1"/>
                <w:szCs w:val="16"/>
              </w:rPr>
              <w:t>No Slippage</w:t>
            </w:r>
          </w:p>
        </w:tc>
      </w:tr>
      <w:tr w:rsidR="005C29F8" w:rsidRPr="00781112" w14:paraId="41A2A4C8" w14:textId="1A212673" w:rsidTr="00AA4F85">
        <w:tc>
          <w:tcPr>
            <w:tcW w:w="1000" w:type="pct"/>
            <w:shd w:val="clear" w:color="auto" w:fill="auto"/>
          </w:tcPr>
          <w:p w14:paraId="2DEF6925" w14:textId="77777777" w:rsidR="00071D42" w:rsidRPr="00781112" w:rsidRDefault="00A86385" w:rsidP="00A018D4">
            <w:pPr>
              <w:rPr>
                <w:rFonts w:cs="Arial"/>
                <w:color w:val="000000" w:themeColor="text1"/>
                <w:szCs w:val="16"/>
              </w:rPr>
            </w:pPr>
            <w:r w:rsidRPr="00781112">
              <w:rPr>
                <w:rFonts w:cs="Arial"/>
                <w:color w:val="000000" w:themeColor="text1"/>
                <w:szCs w:val="16"/>
              </w:rPr>
              <w:t xml:space="preserve">B2. The percent of preschool children who were functioning within age expectations in Outcome B by the time they turned 6 years of age or exited the program. </w:t>
            </w:r>
            <w:r w:rsidRPr="00266107">
              <w:rPr>
                <w:rFonts w:cs="Arial"/>
                <w:i/>
                <w:iCs/>
                <w:color w:val="000000" w:themeColor="text1"/>
                <w:szCs w:val="16"/>
              </w:rPr>
              <w:t>Calculation: (</w:t>
            </w:r>
            <w:proofErr w:type="spellStart"/>
            <w:r w:rsidRPr="00266107">
              <w:rPr>
                <w:rFonts w:cs="Arial"/>
                <w:i/>
                <w:iCs/>
                <w:color w:val="000000" w:themeColor="text1"/>
                <w:szCs w:val="16"/>
              </w:rPr>
              <w:t>d+e</w:t>
            </w:r>
            <w:proofErr w:type="spellEnd"/>
            <w:r w:rsidRPr="00266107">
              <w:rPr>
                <w:rFonts w:cs="Arial"/>
                <w:i/>
                <w:iCs/>
                <w:color w:val="000000" w:themeColor="text1"/>
                <w:szCs w:val="16"/>
              </w:rPr>
              <w:t>)/(</w:t>
            </w:r>
            <w:proofErr w:type="spellStart"/>
            <w:r w:rsidRPr="00266107">
              <w:rPr>
                <w:rFonts w:cs="Arial"/>
                <w:i/>
                <w:iCs/>
                <w:color w:val="000000" w:themeColor="text1"/>
                <w:szCs w:val="16"/>
              </w:rPr>
              <w:t>a+b+c+d+e</w:t>
            </w:r>
            <w:proofErr w:type="spellEnd"/>
            <w:r w:rsidRPr="00266107">
              <w:rPr>
                <w:rFonts w:cs="Arial"/>
                <w:i/>
                <w:iCs/>
                <w:color w:val="000000" w:themeColor="text1"/>
                <w:szCs w:val="16"/>
              </w:rPr>
              <w:t>)</w:t>
            </w:r>
          </w:p>
        </w:tc>
        <w:tc>
          <w:tcPr>
            <w:tcW w:w="585" w:type="pct"/>
            <w:shd w:val="clear" w:color="auto" w:fill="auto"/>
            <w:vAlign w:val="center"/>
          </w:tcPr>
          <w:p w14:paraId="3ABF54A2" w14:textId="3376A45C" w:rsidR="00A86385" w:rsidRPr="00781112" w:rsidRDefault="002B7490" w:rsidP="00A018D4">
            <w:pPr>
              <w:jc w:val="center"/>
              <w:rPr>
                <w:rFonts w:cs="Arial"/>
                <w:color w:val="000000" w:themeColor="text1"/>
                <w:szCs w:val="16"/>
              </w:rPr>
            </w:pPr>
            <w:r w:rsidRPr="00781112">
              <w:rPr>
                <w:rFonts w:cs="Arial"/>
                <w:color w:val="000000" w:themeColor="text1"/>
                <w:szCs w:val="16"/>
              </w:rPr>
              <w:t>2,810</w:t>
            </w:r>
          </w:p>
        </w:tc>
        <w:tc>
          <w:tcPr>
            <w:tcW w:w="585" w:type="pct"/>
            <w:shd w:val="clear" w:color="auto" w:fill="auto"/>
            <w:vAlign w:val="center"/>
          </w:tcPr>
          <w:p w14:paraId="591EA1FE" w14:textId="556EFD96" w:rsidR="00A86385" w:rsidRPr="00781112" w:rsidRDefault="002B7490" w:rsidP="00A018D4">
            <w:pPr>
              <w:jc w:val="center"/>
              <w:rPr>
                <w:rFonts w:cs="Arial"/>
                <w:color w:val="000000" w:themeColor="text1"/>
                <w:szCs w:val="16"/>
              </w:rPr>
            </w:pPr>
            <w:r w:rsidRPr="00781112">
              <w:rPr>
                <w:rFonts w:cs="Arial"/>
                <w:color w:val="000000" w:themeColor="text1"/>
                <w:szCs w:val="16"/>
              </w:rPr>
              <w:t>4,461</w:t>
            </w:r>
          </w:p>
        </w:tc>
        <w:tc>
          <w:tcPr>
            <w:tcW w:w="543" w:type="pct"/>
            <w:shd w:val="clear" w:color="auto" w:fill="auto"/>
            <w:vAlign w:val="center"/>
          </w:tcPr>
          <w:p w14:paraId="0B86042E" w14:textId="01488A08" w:rsidR="00A86385" w:rsidRPr="00781112" w:rsidRDefault="002B7490" w:rsidP="00A018D4">
            <w:pPr>
              <w:jc w:val="center"/>
              <w:rPr>
                <w:rFonts w:cs="Arial"/>
                <w:color w:val="000000" w:themeColor="text1"/>
                <w:szCs w:val="16"/>
              </w:rPr>
            </w:pPr>
            <w:r w:rsidRPr="00781112">
              <w:rPr>
                <w:rFonts w:cs="Arial"/>
                <w:color w:val="000000" w:themeColor="text1"/>
                <w:szCs w:val="16"/>
              </w:rPr>
              <w:t>62.17%</w:t>
            </w:r>
          </w:p>
        </w:tc>
        <w:tc>
          <w:tcPr>
            <w:tcW w:w="584" w:type="pct"/>
            <w:shd w:val="clear" w:color="auto" w:fill="auto"/>
            <w:vAlign w:val="center"/>
          </w:tcPr>
          <w:p w14:paraId="33474719" w14:textId="0E1ED729" w:rsidR="00A86385" w:rsidRPr="00781112" w:rsidRDefault="002B7490" w:rsidP="00A018D4">
            <w:pPr>
              <w:jc w:val="center"/>
              <w:rPr>
                <w:rFonts w:cs="Arial"/>
                <w:color w:val="000000" w:themeColor="text1"/>
                <w:szCs w:val="16"/>
              </w:rPr>
            </w:pPr>
            <w:r w:rsidRPr="00781112">
              <w:rPr>
                <w:rFonts w:cs="Arial"/>
                <w:color w:val="000000" w:themeColor="text1"/>
                <w:szCs w:val="16"/>
              </w:rPr>
              <w:t>66.95%</w:t>
            </w:r>
          </w:p>
        </w:tc>
        <w:tc>
          <w:tcPr>
            <w:tcW w:w="584" w:type="pct"/>
            <w:shd w:val="clear" w:color="auto" w:fill="auto"/>
            <w:vAlign w:val="center"/>
          </w:tcPr>
          <w:p w14:paraId="073970A2" w14:textId="5A7FF3FA" w:rsidR="00A86385" w:rsidRPr="00781112" w:rsidRDefault="002B7490" w:rsidP="00A018D4">
            <w:pPr>
              <w:jc w:val="center"/>
              <w:rPr>
                <w:rFonts w:cs="Arial"/>
                <w:color w:val="000000" w:themeColor="text1"/>
                <w:szCs w:val="16"/>
              </w:rPr>
            </w:pPr>
            <w:r w:rsidRPr="00781112">
              <w:rPr>
                <w:rFonts w:cs="Arial"/>
                <w:color w:val="000000" w:themeColor="text1"/>
                <w:szCs w:val="16"/>
              </w:rPr>
              <w:t>62.99%</w:t>
            </w:r>
          </w:p>
        </w:tc>
        <w:tc>
          <w:tcPr>
            <w:tcW w:w="486" w:type="pct"/>
            <w:shd w:val="clear" w:color="auto" w:fill="auto"/>
            <w:vAlign w:val="center"/>
          </w:tcPr>
          <w:p w14:paraId="2B7E9ACC" w14:textId="45CB2456" w:rsidR="00A86385" w:rsidRPr="00781112" w:rsidRDefault="002B7490" w:rsidP="00A018D4">
            <w:pPr>
              <w:jc w:val="center"/>
              <w:rPr>
                <w:rFonts w:cs="Arial"/>
                <w:color w:val="000000" w:themeColor="text1"/>
                <w:szCs w:val="16"/>
              </w:rPr>
            </w:pPr>
            <w:r w:rsidRPr="00781112">
              <w:rPr>
                <w:rFonts w:cs="Arial"/>
                <w:color w:val="000000" w:themeColor="text1"/>
                <w:szCs w:val="16"/>
              </w:rPr>
              <w:t>Did not meet target</w:t>
            </w:r>
          </w:p>
        </w:tc>
        <w:tc>
          <w:tcPr>
            <w:tcW w:w="633" w:type="pct"/>
            <w:shd w:val="clear" w:color="auto" w:fill="auto"/>
            <w:vAlign w:val="center"/>
          </w:tcPr>
          <w:p w14:paraId="04CCC32D" w14:textId="64DEC314" w:rsidR="00A86385" w:rsidRPr="00781112" w:rsidRDefault="002B7490" w:rsidP="00A018D4">
            <w:pPr>
              <w:jc w:val="center"/>
              <w:rPr>
                <w:rFonts w:cs="Arial"/>
                <w:color w:val="000000" w:themeColor="text1"/>
                <w:szCs w:val="16"/>
              </w:rPr>
            </w:pPr>
            <w:r w:rsidRPr="00781112">
              <w:rPr>
                <w:rFonts w:cs="Arial"/>
                <w:color w:val="000000" w:themeColor="text1"/>
                <w:szCs w:val="16"/>
              </w:rPr>
              <w:t>No Slippage</w:t>
            </w:r>
          </w:p>
        </w:tc>
      </w:tr>
    </w:tbl>
    <w:p w14:paraId="12AAE7F9" w14:textId="77777777" w:rsidR="00A80FEB" w:rsidRPr="00781112" w:rsidRDefault="00A80FEB" w:rsidP="004369B2">
      <w:pPr>
        <w:rPr>
          <w:color w:val="000000" w:themeColor="text1"/>
        </w:rPr>
      </w:pPr>
      <w:r w:rsidRPr="00781112">
        <w:rPr>
          <w:b/>
          <w:color w:val="000000" w:themeColor="text1"/>
        </w:rPr>
        <w:t>Outcome C: Use of appropriate behaviors to meet their needs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B07OUTCOMEC"/>
      </w:tblPr>
      <w:tblGrid>
        <w:gridCol w:w="7227"/>
        <w:gridCol w:w="1783"/>
        <w:gridCol w:w="1780"/>
      </w:tblGrid>
      <w:tr w:rsidR="005C29F8" w:rsidRPr="00781112" w14:paraId="5A5015FC" w14:textId="4FA08BD6" w:rsidTr="0033429D">
        <w:trPr>
          <w:trHeight w:val="361"/>
          <w:tblHeader/>
        </w:trPr>
        <w:tc>
          <w:tcPr>
            <w:tcW w:w="3349" w:type="pct"/>
            <w:shd w:val="clear" w:color="auto" w:fill="auto"/>
            <w:vAlign w:val="bottom"/>
          </w:tcPr>
          <w:p w14:paraId="4191FDB2" w14:textId="72ED8C9D" w:rsidR="002F2379" w:rsidRPr="00781112" w:rsidRDefault="009028CA" w:rsidP="0024351A">
            <w:pPr>
              <w:rPr>
                <w:rFonts w:cs="Arial"/>
                <w:color w:val="000000" w:themeColor="text1"/>
                <w:szCs w:val="16"/>
              </w:rPr>
            </w:pPr>
            <w:r w:rsidRPr="00781112">
              <w:rPr>
                <w:rFonts w:cs="Arial"/>
                <w:b/>
                <w:color w:val="000000" w:themeColor="text1"/>
                <w:szCs w:val="16"/>
              </w:rPr>
              <w:t xml:space="preserve">Outcome C </w:t>
            </w:r>
            <w:r w:rsidRPr="00781112">
              <w:rPr>
                <w:rFonts w:cs="Arial"/>
                <w:b/>
                <w:bCs/>
                <w:color w:val="000000" w:themeColor="text1"/>
                <w:szCs w:val="16"/>
              </w:rPr>
              <w:t>Progress Categor</w:t>
            </w:r>
            <w:r w:rsidR="00E91363" w:rsidRPr="00781112">
              <w:rPr>
                <w:rFonts w:cs="Arial"/>
                <w:b/>
                <w:bCs/>
                <w:color w:val="000000" w:themeColor="text1"/>
                <w:szCs w:val="16"/>
              </w:rPr>
              <w:t>y</w:t>
            </w:r>
          </w:p>
        </w:tc>
        <w:tc>
          <w:tcPr>
            <w:tcW w:w="826" w:type="pct"/>
            <w:shd w:val="clear" w:color="auto" w:fill="auto"/>
            <w:vAlign w:val="bottom"/>
          </w:tcPr>
          <w:p w14:paraId="18BE5F06" w14:textId="77777777" w:rsidR="002F2379" w:rsidRPr="00781112" w:rsidRDefault="002F2379" w:rsidP="0024351A">
            <w:pPr>
              <w:jc w:val="center"/>
              <w:rPr>
                <w:rFonts w:cs="Arial"/>
                <w:b/>
                <w:color w:val="000000" w:themeColor="text1"/>
                <w:szCs w:val="16"/>
              </w:rPr>
            </w:pPr>
            <w:r w:rsidRPr="00781112">
              <w:rPr>
                <w:rFonts w:cs="Arial"/>
                <w:b/>
                <w:color w:val="000000" w:themeColor="text1"/>
                <w:szCs w:val="16"/>
              </w:rPr>
              <w:t>Number of Children</w:t>
            </w:r>
          </w:p>
        </w:tc>
        <w:tc>
          <w:tcPr>
            <w:tcW w:w="825" w:type="pct"/>
            <w:shd w:val="clear" w:color="auto" w:fill="auto"/>
            <w:vAlign w:val="bottom"/>
          </w:tcPr>
          <w:p w14:paraId="5D2176F1" w14:textId="0AB04833" w:rsidR="002F2379" w:rsidRPr="00781112" w:rsidRDefault="002F2379" w:rsidP="0024351A">
            <w:pPr>
              <w:jc w:val="center"/>
              <w:rPr>
                <w:rFonts w:cs="Arial"/>
                <w:b/>
                <w:color w:val="000000" w:themeColor="text1"/>
                <w:szCs w:val="16"/>
              </w:rPr>
            </w:pPr>
            <w:r w:rsidRPr="00781112">
              <w:rPr>
                <w:rFonts w:cs="Arial"/>
                <w:b/>
                <w:color w:val="000000" w:themeColor="text1"/>
                <w:szCs w:val="16"/>
              </w:rPr>
              <w:t>Percentage of Children</w:t>
            </w:r>
          </w:p>
        </w:tc>
      </w:tr>
      <w:tr w:rsidR="005C29F8" w:rsidRPr="00781112" w14:paraId="091128D7" w14:textId="67DCF276" w:rsidTr="00AB0D6A">
        <w:trPr>
          <w:trHeight w:val="361"/>
        </w:trPr>
        <w:tc>
          <w:tcPr>
            <w:tcW w:w="3349" w:type="pct"/>
            <w:shd w:val="clear" w:color="auto" w:fill="auto"/>
          </w:tcPr>
          <w:p w14:paraId="4D685636" w14:textId="77777777" w:rsidR="00A86385" w:rsidRPr="00781112" w:rsidRDefault="00A86385" w:rsidP="00A86385">
            <w:pPr>
              <w:rPr>
                <w:rFonts w:cs="Arial"/>
                <w:color w:val="000000" w:themeColor="text1"/>
                <w:szCs w:val="16"/>
              </w:rPr>
            </w:pPr>
            <w:r w:rsidRPr="00781112">
              <w:rPr>
                <w:rFonts w:cs="Arial"/>
                <w:color w:val="000000" w:themeColor="text1"/>
                <w:szCs w:val="16"/>
              </w:rPr>
              <w:t>a. Preschool children who did not improve functioning</w:t>
            </w:r>
          </w:p>
        </w:tc>
        <w:tc>
          <w:tcPr>
            <w:tcW w:w="826" w:type="pct"/>
            <w:shd w:val="clear" w:color="auto" w:fill="auto"/>
            <w:vAlign w:val="center"/>
          </w:tcPr>
          <w:p w14:paraId="36C04483" w14:textId="33014E3B" w:rsidR="00A86385" w:rsidRPr="00781112" w:rsidRDefault="002B7490" w:rsidP="00A018D4">
            <w:pPr>
              <w:jc w:val="center"/>
              <w:rPr>
                <w:rFonts w:cs="Arial"/>
                <w:color w:val="000000" w:themeColor="text1"/>
                <w:szCs w:val="16"/>
              </w:rPr>
            </w:pPr>
            <w:r w:rsidRPr="00781112">
              <w:rPr>
                <w:rFonts w:cs="Arial"/>
                <w:color w:val="000000" w:themeColor="text1"/>
                <w:szCs w:val="16"/>
              </w:rPr>
              <w:t>53</w:t>
            </w:r>
          </w:p>
        </w:tc>
        <w:tc>
          <w:tcPr>
            <w:tcW w:w="825" w:type="pct"/>
            <w:shd w:val="clear" w:color="auto" w:fill="auto"/>
            <w:vAlign w:val="center"/>
          </w:tcPr>
          <w:p w14:paraId="224E7CD3" w14:textId="5C0B6B10" w:rsidR="00A86385" w:rsidRPr="00781112" w:rsidRDefault="002B7490" w:rsidP="00A018D4">
            <w:pPr>
              <w:jc w:val="center"/>
              <w:rPr>
                <w:rFonts w:cs="Arial"/>
                <w:color w:val="000000" w:themeColor="text1"/>
                <w:szCs w:val="16"/>
              </w:rPr>
            </w:pPr>
            <w:r w:rsidRPr="00781112">
              <w:rPr>
                <w:rFonts w:cs="Arial"/>
                <w:color w:val="000000" w:themeColor="text1"/>
                <w:szCs w:val="16"/>
              </w:rPr>
              <w:t>1.19%</w:t>
            </w:r>
          </w:p>
        </w:tc>
      </w:tr>
      <w:tr w:rsidR="005C29F8" w:rsidRPr="00781112" w14:paraId="0DFF86FC" w14:textId="381769F8" w:rsidTr="00AB0D6A">
        <w:trPr>
          <w:trHeight w:val="361"/>
        </w:trPr>
        <w:tc>
          <w:tcPr>
            <w:tcW w:w="3349" w:type="pct"/>
            <w:shd w:val="clear" w:color="auto" w:fill="auto"/>
          </w:tcPr>
          <w:p w14:paraId="72586C03" w14:textId="77777777" w:rsidR="00A86385" w:rsidRPr="00781112" w:rsidRDefault="00A86385" w:rsidP="00A86385">
            <w:pPr>
              <w:rPr>
                <w:rFonts w:cs="Arial"/>
                <w:color w:val="000000" w:themeColor="text1"/>
                <w:szCs w:val="16"/>
              </w:rPr>
            </w:pPr>
            <w:r w:rsidRPr="00781112">
              <w:rPr>
                <w:rFonts w:cs="Arial"/>
                <w:color w:val="000000" w:themeColor="text1"/>
                <w:szCs w:val="16"/>
              </w:rPr>
              <w:t>b. Preschool children who improved functioning but not sufficient to move nearer to functioning comparable to same-aged peers</w:t>
            </w:r>
          </w:p>
        </w:tc>
        <w:tc>
          <w:tcPr>
            <w:tcW w:w="826" w:type="pct"/>
            <w:shd w:val="clear" w:color="auto" w:fill="auto"/>
            <w:vAlign w:val="center"/>
          </w:tcPr>
          <w:p w14:paraId="453499DD" w14:textId="60CEBF1E" w:rsidR="00A86385" w:rsidRPr="00781112" w:rsidRDefault="002B7490" w:rsidP="00A018D4">
            <w:pPr>
              <w:jc w:val="center"/>
              <w:rPr>
                <w:rFonts w:cs="Arial"/>
                <w:color w:val="000000" w:themeColor="text1"/>
                <w:szCs w:val="16"/>
              </w:rPr>
            </w:pPr>
            <w:r w:rsidRPr="00781112">
              <w:rPr>
                <w:rFonts w:cs="Arial"/>
                <w:color w:val="000000" w:themeColor="text1"/>
                <w:szCs w:val="16"/>
              </w:rPr>
              <w:t>829</w:t>
            </w:r>
          </w:p>
        </w:tc>
        <w:tc>
          <w:tcPr>
            <w:tcW w:w="825" w:type="pct"/>
            <w:shd w:val="clear" w:color="auto" w:fill="auto"/>
            <w:vAlign w:val="center"/>
          </w:tcPr>
          <w:p w14:paraId="75491539" w14:textId="4C6956ED" w:rsidR="00A86385" w:rsidRPr="00781112" w:rsidRDefault="002B7490" w:rsidP="00A018D4">
            <w:pPr>
              <w:jc w:val="center"/>
              <w:rPr>
                <w:rFonts w:cs="Arial"/>
                <w:color w:val="000000" w:themeColor="text1"/>
                <w:szCs w:val="16"/>
              </w:rPr>
            </w:pPr>
            <w:r w:rsidRPr="00781112">
              <w:rPr>
                <w:rFonts w:cs="Arial"/>
                <w:color w:val="000000" w:themeColor="text1"/>
                <w:szCs w:val="16"/>
              </w:rPr>
              <w:t>18.58%</w:t>
            </w:r>
          </w:p>
        </w:tc>
      </w:tr>
      <w:tr w:rsidR="005C29F8" w:rsidRPr="00781112" w14:paraId="055A4C9A" w14:textId="0FC02C83" w:rsidTr="00AB0D6A">
        <w:trPr>
          <w:trHeight w:val="395"/>
        </w:trPr>
        <w:tc>
          <w:tcPr>
            <w:tcW w:w="3349" w:type="pct"/>
            <w:shd w:val="clear" w:color="auto" w:fill="auto"/>
          </w:tcPr>
          <w:p w14:paraId="1EEA20E7" w14:textId="77777777" w:rsidR="00A86385" w:rsidRPr="00781112" w:rsidRDefault="00A86385" w:rsidP="00A86385">
            <w:pPr>
              <w:rPr>
                <w:rFonts w:cs="Arial"/>
                <w:color w:val="000000" w:themeColor="text1"/>
                <w:szCs w:val="16"/>
              </w:rPr>
            </w:pPr>
            <w:r w:rsidRPr="00781112">
              <w:rPr>
                <w:rFonts w:cs="Arial"/>
                <w:color w:val="000000" w:themeColor="text1"/>
                <w:szCs w:val="16"/>
              </w:rPr>
              <w:t>c. Preschool children who improved functioning to a level nearer to same-aged peers but did not reach it</w:t>
            </w:r>
          </w:p>
        </w:tc>
        <w:tc>
          <w:tcPr>
            <w:tcW w:w="826" w:type="pct"/>
            <w:shd w:val="clear" w:color="auto" w:fill="auto"/>
            <w:vAlign w:val="center"/>
          </w:tcPr>
          <w:p w14:paraId="16FD0FF8" w14:textId="15197C29" w:rsidR="00A86385" w:rsidRPr="00781112" w:rsidRDefault="002B7490" w:rsidP="00A018D4">
            <w:pPr>
              <w:jc w:val="center"/>
              <w:rPr>
                <w:rFonts w:cs="Arial"/>
                <w:color w:val="000000" w:themeColor="text1"/>
                <w:szCs w:val="16"/>
              </w:rPr>
            </w:pPr>
            <w:r w:rsidRPr="00781112">
              <w:rPr>
                <w:rFonts w:cs="Arial"/>
                <w:color w:val="000000" w:themeColor="text1"/>
                <w:szCs w:val="16"/>
              </w:rPr>
              <w:t>576</w:t>
            </w:r>
          </w:p>
        </w:tc>
        <w:tc>
          <w:tcPr>
            <w:tcW w:w="825" w:type="pct"/>
            <w:shd w:val="clear" w:color="auto" w:fill="auto"/>
            <w:vAlign w:val="center"/>
          </w:tcPr>
          <w:p w14:paraId="5A785A5B" w14:textId="096612D9" w:rsidR="00A86385" w:rsidRPr="00781112" w:rsidRDefault="002B7490" w:rsidP="00A018D4">
            <w:pPr>
              <w:jc w:val="center"/>
              <w:rPr>
                <w:rFonts w:cs="Arial"/>
                <w:color w:val="000000" w:themeColor="text1"/>
                <w:szCs w:val="16"/>
              </w:rPr>
            </w:pPr>
            <w:r w:rsidRPr="00781112">
              <w:rPr>
                <w:rFonts w:cs="Arial"/>
                <w:color w:val="000000" w:themeColor="text1"/>
                <w:szCs w:val="16"/>
              </w:rPr>
              <w:t>12.91%</w:t>
            </w:r>
          </w:p>
        </w:tc>
      </w:tr>
      <w:tr w:rsidR="005C29F8" w:rsidRPr="00781112" w14:paraId="116C43B5" w14:textId="562F3ACF" w:rsidTr="00AB0D6A">
        <w:trPr>
          <w:trHeight w:val="361"/>
        </w:trPr>
        <w:tc>
          <w:tcPr>
            <w:tcW w:w="3349" w:type="pct"/>
            <w:shd w:val="clear" w:color="auto" w:fill="auto"/>
          </w:tcPr>
          <w:p w14:paraId="74396990" w14:textId="77777777" w:rsidR="00A86385" w:rsidRPr="00781112" w:rsidRDefault="00A86385" w:rsidP="00A86385">
            <w:pPr>
              <w:rPr>
                <w:rFonts w:cs="Arial"/>
                <w:color w:val="000000" w:themeColor="text1"/>
                <w:szCs w:val="16"/>
              </w:rPr>
            </w:pPr>
            <w:r w:rsidRPr="00781112">
              <w:rPr>
                <w:rFonts w:cs="Arial"/>
                <w:color w:val="000000" w:themeColor="text1"/>
                <w:szCs w:val="16"/>
              </w:rPr>
              <w:t>d. Preschool children who improved functioning to reach a level comparable to same-aged peers</w:t>
            </w:r>
          </w:p>
        </w:tc>
        <w:tc>
          <w:tcPr>
            <w:tcW w:w="826" w:type="pct"/>
            <w:shd w:val="clear" w:color="auto" w:fill="auto"/>
            <w:vAlign w:val="center"/>
          </w:tcPr>
          <w:p w14:paraId="5993AD4D" w14:textId="0747815C" w:rsidR="00A86385" w:rsidRPr="00781112" w:rsidRDefault="002B7490" w:rsidP="00A018D4">
            <w:pPr>
              <w:jc w:val="center"/>
              <w:rPr>
                <w:rFonts w:cs="Arial"/>
                <w:color w:val="000000" w:themeColor="text1"/>
                <w:szCs w:val="16"/>
              </w:rPr>
            </w:pPr>
            <w:r w:rsidRPr="00781112">
              <w:rPr>
                <w:rFonts w:cs="Arial"/>
                <w:color w:val="000000" w:themeColor="text1"/>
                <w:szCs w:val="16"/>
              </w:rPr>
              <w:t>1,562</w:t>
            </w:r>
          </w:p>
        </w:tc>
        <w:tc>
          <w:tcPr>
            <w:tcW w:w="825" w:type="pct"/>
            <w:shd w:val="clear" w:color="auto" w:fill="auto"/>
            <w:vAlign w:val="center"/>
          </w:tcPr>
          <w:p w14:paraId="6CF00AA9" w14:textId="2DDC2AAD" w:rsidR="00A86385" w:rsidRPr="00781112" w:rsidRDefault="002B7490" w:rsidP="00A018D4">
            <w:pPr>
              <w:jc w:val="center"/>
              <w:rPr>
                <w:rFonts w:cs="Arial"/>
                <w:color w:val="000000" w:themeColor="text1"/>
                <w:szCs w:val="16"/>
              </w:rPr>
            </w:pPr>
            <w:r w:rsidRPr="00781112">
              <w:rPr>
                <w:rFonts w:cs="Arial"/>
                <w:color w:val="000000" w:themeColor="text1"/>
                <w:szCs w:val="16"/>
              </w:rPr>
              <w:t>35.01%</w:t>
            </w:r>
          </w:p>
        </w:tc>
      </w:tr>
      <w:tr w:rsidR="005C29F8" w:rsidRPr="00781112" w14:paraId="4BA9BE51" w14:textId="4FD5F213" w:rsidTr="00AB0D6A">
        <w:trPr>
          <w:trHeight w:val="361"/>
        </w:trPr>
        <w:tc>
          <w:tcPr>
            <w:tcW w:w="3349" w:type="pct"/>
            <w:shd w:val="clear" w:color="auto" w:fill="auto"/>
          </w:tcPr>
          <w:p w14:paraId="016E3D57" w14:textId="77777777" w:rsidR="00A86385" w:rsidRPr="00781112" w:rsidRDefault="00A86385" w:rsidP="00A86385">
            <w:pPr>
              <w:rPr>
                <w:rFonts w:cs="Arial"/>
                <w:color w:val="000000" w:themeColor="text1"/>
                <w:szCs w:val="16"/>
              </w:rPr>
            </w:pPr>
            <w:r w:rsidRPr="00781112">
              <w:rPr>
                <w:rFonts w:cs="Arial"/>
                <w:color w:val="000000" w:themeColor="text1"/>
                <w:szCs w:val="16"/>
              </w:rPr>
              <w:t>e. Preschool children who maintained functioning at a level comparable to same-aged peers</w:t>
            </w:r>
          </w:p>
        </w:tc>
        <w:tc>
          <w:tcPr>
            <w:tcW w:w="826" w:type="pct"/>
            <w:shd w:val="clear" w:color="auto" w:fill="auto"/>
            <w:vAlign w:val="center"/>
          </w:tcPr>
          <w:p w14:paraId="7D33EA20" w14:textId="42CC1D2C" w:rsidR="00A86385" w:rsidRPr="00781112" w:rsidRDefault="002B7490" w:rsidP="00A018D4">
            <w:pPr>
              <w:jc w:val="center"/>
              <w:rPr>
                <w:rFonts w:cs="Arial"/>
                <w:color w:val="000000" w:themeColor="text1"/>
                <w:szCs w:val="16"/>
              </w:rPr>
            </w:pPr>
            <w:r w:rsidRPr="00781112">
              <w:rPr>
                <w:rFonts w:cs="Arial"/>
                <w:color w:val="000000" w:themeColor="text1"/>
                <w:szCs w:val="16"/>
              </w:rPr>
              <w:t>1,441</w:t>
            </w:r>
          </w:p>
        </w:tc>
        <w:tc>
          <w:tcPr>
            <w:tcW w:w="825" w:type="pct"/>
            <w:shd w:val="clear" w:color="auto" w:fill="auto"/>
            <w:vAlign w:val="center"/>
          </w:tcPr>
          <w:p w14:paraId="5DB4A655" w14:textId="2961CB8C" w:rsidR="00A86385" w:rsidRPr="00781112" w:rsidRDefault="002B7490" w:rsidP="00A018D4">
            <w:pPr>
              <w:jc w:val="center"/>
              <w:rPr>
                <w:rFonts w:cs="Arial"/>
                <w:color w:val="000000" w:themeColor="text1"/>
                <w:szCs w:val="16"/>
              </w:rPr>
            </w:pPr>
            <w:r w:rsidRPr="00781112">
              <w:rPr>
                <w:rFonts w:cs="Arial"/>
                <w:color w:val="000000" w:themeColor="text1"/>
                <w:szCs w:val="16"/>
              </w:rPr>
              <w:t>32.30%</w:t>
            </w:r>
          </w:p>
        </w:tc>
      </w:tr>
    </w:tbl>
    <w:p w14:paraId="49F715FF" w14:textId="77777777" w:rsidR="00A80FEB" w:rsidRPr="00781112" w:rsidRDefault="00A80FEB" w:rsidP="00A80FEB">
      <w:pPr>
        <w:rPr>
          <w:rFonts w:cs="Arial"/>
          <w:b/>
          <w:color w:val="000000" w:themeColor="text1"/>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B07OUTCOMECDATA"/>
      </w:tblPr>
      <w:tblGrid>
        <w:gridCol w:w="2156"/>
        <w:gridCol w:w="1260"/>
        <w:gridCol w:w="1260"/>
        <w:gridCol w:w="1172"/>
        <w:gridCol w:w="1260"/>
        <w:gridCol w:w="1349"/>
        <w:gridCol w:w="991"/>
        <w:gridCol w:w="1342"/>
      </w:tblGrid>
      <w:tr w:rsidR="00AA4F85" w:rsidRPr="00781112" w14:paraId="6D854191" w14:textId="189CF04C" w:rsidTr="00AB0D6A">
        <w:trPr>
          <w:trHeight w:val="354"/>
          <w:tblHeader/>
        </w:trPr>
        <w:tc>
          <w:tcPr>
            <w:tcW w:w="999" w:type="pct"/>
            <w:shd w:val="clear" w:color="auto" w:fill="auto"/>
            <w:vAlign w:val="bottom"/>
          </w:tcPr>
          <w:p w14:paraId="2713B90C" w14:textId="70596E6D" w:rsidR="00AA4F85" w:rsidRPr="00781112" w:rsidRDefault="00AA4F85" w:rsidP="00AA4F85">
            <w:pPr>
              <w:rPr>
                <w:rFonts w:cs="Arial"/>
                <w:b/>
                <w:bCs/>
                <w:color w:val="000000" w:themeColor="text1"/>
                <w:szCs w:val="16"/>
              </w:rPr>
            </w:pPr>
            <w:r w:rsidRPr="00781112">
              <w:rPr>
                <w:rFonts w:cs="Arial"/>
                <w:b/>
                <w:bCs/>
                <w:color w:val="000000" w:themeColor="text1"/>
                <w:szCs w:val="16"/>
              </w:rPr>
              <w:t>Outcome C</w:t>
            </w:r>
          </w:p>
        </w:tc>
        <w:tc>
          <w:tcPr>
            <w:tcW w:w="584" w:type="pct"/>
            <w:shd w:val="clear" w:color="auto" w:fill="auto"/>
            <w:vAlign w:val="bottom"/>
          </w:tcPr>
          <w:p w14:paraId="3AAEB9EE" w14:textId="77777777" w:rsidR="00AA4F85" w:rsidRPr="00781112" w:rsidRDefault="00AA4F85" w:rsidP="00AA4F85">
            <w:pPr>
              <w:jc w:val="center"/>
              <w:rPr>
                <w:rFonts w:cs="Arial"/>
                <w:b/>
                <w:color w:val="000000" w:themeColor="text1"/>
                <w:szCs w:val="16"/>
              </w:rPr>
            </w:pPr>
            <w:r w:rsidRPr="00781112">
              <w:rPr>
                <w:rFonts w:cs="Arial"/>
                <w:b/>
                <w:color w:val="000000" w:themeColor="text1"/>
                <w:szCs w:val="16"/>
              </w:rPr>
              <w:t>Numerator</w:t>
            </w:r>
          </w:p>
        </w:tc>
        <w:tc>
          <w:tcPr>
            <w:tcW w:w="584" w:type="pct"/>
            <w:shd w:val="clear" w:color="auto" w:fill="auto"/>
            <w:vAlign w:val="bottom"/>
          </w:tcPr>
          <w:p w14:paraId="5C1FBE9E" w14:textId="77777777" w:rsidR="00AA4F85" w:rsidRPr="00781112" w:rsidRDefault="00AA4F85" w:rsidP="00AA4F85">
            <w:pPr>
              <w:jc w:val="center"/>
              <w:rPr>
                <w:rFonts w:cs="Arial"/>
                <w:b/>
                <w:color w:val="000000" w:themeColor="text1"/>
                <w:szCs w:val="16"/>
              </w:rPr>
            </w:pPr>
            <w:r w:rsidRPr="00781112">
              <w:rPr>
                <w:rFonts w:cs="Arial"/>
                <w:b/>
                <w:color w:val="000000" w:themeColor="text1"/>
                <w:szCs w:val="16"/>
              </w:rPr>
              <w:t>Denominator</w:t>
            </w:r>
          </w:p>
        </w:tc>
        <w:tc>
          <w:tcPr>
            <w:tcW w:w="543" w:type="pct"/>
            <w:shd w:val="clear" w:color="auto" w:fill="auto"/>
            <w:vAlign w:val="bottom"/>
          </w:tcPr>
          <w:p w14:paraId="7E124690" w14:textId="03F76F83" w:rsidR="00AA4F85" w:rsidRPr="00CC1061" w:rsidRDefault="00AA4F85" w:rsidP="00AA4F85">
            <w:pPr>
              <w:jc w:val="center"/>
              <w:rPr>
                <w:rFonts w:cs="Arial"/>
                <w:b/>
                <w:bCs/>
                <w:color w:val="000000" w:themeColor="text1"/>
                <w:szCs w:val="16"/>
              </w:rPr>
            </w:pPr>
            <w:r w:rsidRPr="00CC1061">
              <w:rPr>
                <w:b/>
                <w:bCs/>
              </w:rPr>
              <w:t>FFY 2021 Data</w:t>
            </w:r>
          </w:p>
        </w:tc>
        <w:tc>
          <w:tcPr>
            <w:tcW w:w="584" w:type="pct"/>
            <w:shd w:val="clear" w:color="auto" w:fill="auto"/>
            <w:vAlign w:val="bottom"/>
          </w:tcPr>
          <w:p w14:paraId="7E59D447" w14:textId="467DA5D1" w:rsidR="00AA4F85" w:rsidRPr="00CC1061" w:rsidRDefault="00AA4F85" w:rsidP="00AA4F85">
            <w:pPr>
              <w:jc w:val="center"/>
              <w:rPr>
                <w:rFonts w:cs="Arial"/>
                <w:b/>
                <w:bCs/>
                <w:color w:val="000000" w:themeColor="text1"/>
                <w:szCs w:val="16"/>
              </w:rPr>
            </w:pPr>
            <w:r w:rsidRPr="00CC1061">
              <w:rPr>
                <w:b/>
                <w:bCs/>
              </w:rPr>
              <w:t>FFY 2022 Target</w:t>
            </w:r>
          </w:p>
        </w:tc>
        <w:tc>
          <w:tcPr>
            <w:tcW w:w="625" w:type="pct"/>
            <w:shd w:val="clear" w:color="auto" w:fill="auto"/>
            <w:vAlign w:val="bottom"/>
          </w:tcPr>
          <w:p w14:paraId="48E0A776" w14:textId="5D4F29BA" w:rsidR="00AA4F85" w:rsidRPr="00CC1061" w:rsidRDefault="00AA4F85" w:rsidP="00AA4F85">
            <w:pPr>
              <w:jc w:val="center"/>
              <w:rPr>
                <w:rFonts w:cs="Arial"/>
                <w:b/>
                <w:bCs/>
                <w:color w:val="000000" w:themeColor="text1"/>
                <w:szCs w:val="16"/>
              </w:rPr>
            </w:pPr>
            <w:r w:rsidRPr="00CC1061">
              <w:rPr>
                <w:b/>
                <w:bCs/>
              </w:rPr>
              <w:t>FFY 2022 Data</w:t>
            </w:r>
          </w:p>
        </w:tc>
        <w:tc>
          <w:tcPr>
            <w:tcW w:w="459" w:type="pct"/>
            <w:shd w:val="clear" w:color="auto" w:fill="auto"/>
            <w:vAlign w:val="bottom"/>
          </w:tcPr>
          <w:p w14:paraId="1271E5C2" w14:textId="7C29A2B3" w:rsidR="00AA4F85" w:rsidRPr="00781112" w:rsidRDefault="00AA4F85" w:rsidP="00AA4F85">
            <w:pPr>
              <w:jc w:val="center"/>
              <w:rPr>
                <w:rFonts w:cs="Arial"/>
                <w:b/>
                <w:color w:val="000000" w:themeColor="text1"/>
                <w:szCs w:val="16"/>
              </w:rPr>
            </w:pPr>
            <w:r w:rsidRPr="00781112">
              <w:rPr>
                <w:rFonts w:cs="Arial"/>
                <w:b/>
                <w:color w:val="000000" w:themeColor="text1"/>
                <w:szCs w:val="16"/>
              </w:rPr>
              <w:t>Status</w:t>
            </w:r>
          </w:p>
        </w:tc>
        <w:tc>
          <w:tcPr>
            <w:tcW w:w="622" w:type="pct"/>
            <w:shd w:val="clear" w:color="auto" w:fill="auto"/>
            <w:vAlign w:val="bottom"/>
          </w:tcPr>
          <w:p w14:paraId="57BB5D90" w14:textId="5C773F81" w:rsidR="00AA4F85" w:rsidRPr="00781112" w:rsidRDefault="00AA4F85" w:rsidP="00AA4F85">
            <w:pPr>
              <w:jc w:val="center"/>
              <w:rPr>
                <w:rFonts w:cs="Arial"/>
                <w:b/>
                <w:color w:val="000000" w:themeColor="text1"/>
                <w:szCs w:val="16"/>
              </w:rPr>
            </w:pPr>
            <w:r w:rsidRPr="00781112">
              <w:rPr>
                <w:rFonts w:cs="Arial"/>
                <w:b/>
                <w:color w:val="000000" w:themeColor="text1"/>
                <w:szCs w:val="16"/>
              </w:rPr>
              <w:t>Slippage</w:t>
            </w:r>
          </w:p>
        </w:tc>
      </w:tr>
      <w:tr w:rsidR="005C29F8" w:rsidRPr="00781112" w14:paraId="060DACA6" w14:textId="4A0141DE" w:rsidTr="00AB0D6A">
        <w:trPr>
          <w:trHeight w:val="361"/>
        </w:trPr>
        <w:tc>
          <w:tcPr>
            <w:tcW w:w="999" w:type="pct"/>
            <w:shd w:val="clear" w:color="auto" w:fill="auto"/>
          </w:tcPr>
          <w:p w14:paraId="53F10B71" w14:textId="77777777" w:rsidR="00757D21" w:rsidRPr="00781112" w:rsidRDefault="00A86385" w:rsidP="00E526FC">
            <w:pPr>
              <w:rPr>
                <w:rFonts w:cs="Arial"/>
                <w:color w:val="000000" w:themeColor="text1"/>
                <w:szCs w:val="16"/>
              </w:rPr>
            </w:pPr>
            <w:r w:rsidRPr="00781112">
              <w:rPr>
                <w:rFonts w:cs="Arial"/>
                <w:color w:val="000000" w:themeColor="text1"/>
                <w:szCs w:val="16"/>
              </w:rPr>
              <w:t>C1. Of those children who entered or exited the program below age expectations in Outcome C, the percent who substantially increased their rate of growth by the time they turned 6 years of age or exited the program.</w:t>
            </w:r>
          </w:p>
          <w:p w14:paraId="78844CD5" w14:textId="49EF12B7" w:rsidR="00A86385" w:rsidRPr="00781112" w:rsidRDefault="00757D21" w:rsidP="00E526FC">
            <w:pPr>
              <w:rPr>
                <w:rFonts w:cs="Arial"/>
                <w:color w:val="000000" w:themeColor="text1"/>
                <w:szCs w:val="16"/>
              </w:rPr>
            </w:pPr>
            <w:r w:rsidRPr="00781112">
              <w:rPr>
                <w:rFonts w:cs="Arial"/>
                <w:i/>
                <w:iCs/>
                <w:color w:val="C00000"/>
                <w:szCs w:val="16"/>
              </w:rPr>
              <w:t>Calculation:(</w:t>
            </w:r>
            <w:proofErr w:type="spellStart"/>
            <w:r w:rsidRPr="00781112">
              <w:rPr>
                <w:rFonts w:cs="Arial"/>
                <w:i/>
                <w:iCs/>
                <w:color w:val="C00000"/>
                <w:szCs w:val="16"/>
              </w:rPr>
              <w:t>c+d</w:t>
            </w:r>
            <w:proofErr w:type="spellEnd"/>
            <w:r w:rsidRPr="00781112">
              <w:rPr>
                <w:rFonts w:cs="Arial"/>
                <w:i/>
                <w:iCs/>
                <w:color w:val="C00000"/>
                <w:szCs w:val="16"/>
              </w:rPr>
              <w:t>)/(</w:t>
            </w:r>
            <w:proofErr w:type="spellStart"/>
            <w:r w:rsidRPr="00781112">
              <w:rPr>
                <w:rFonts w:cs="Arial"/>
                <w:i/>
                <w:iCs/>
                <w:color w:val="C00000"/>
                <w:szCs w:val="16"/>
              </w:rPr>
              <w:t>a+b+c+d</w:t>
            </w:r>
            <w:proofErr w:type="spellEnd"/>
            <w:r w:rsidRPr="00781112">
              <w:rPr>
                <w:rFonts w:cs="Arial"/>
                <w:i/>
                <w:iCs/>
                <w:color w:val="C00000"/>
                <w:szCs w:val="16"/>
              </w:rPr>
              <w:t>)</w:t>
            </w:r>
            <w:r w:rsidR="00A86385" w:rsidRPr="00781112">
              <w:rPr>
                <w:rFonts w:cs="Arial"/>
                <w:color w:val="000000" w:themeColor="text1"/>
                <w:szCs w:val="16"/>
              </w:rPr>
              <w:t xml:space="preserve"> </w:t>
            </w:r>
          </w:p>
        </w:tc>
        <w:tc>
          <w:tcPr>
            <w:tcW w:w="584" w:type="pct"/>
            <w:shd w:val="clear" w:color="auto" w:fill="auto"/>
            <w:vAlign w:val="center"/>
          </w:tcPr>
          <w:p w14:paraId="06847B86" w14:textId="57D8DF81" w:rsidR="00A86385" w:rsidRPr="00781112" w:rsidRDefault="002B7490" w:rsidP="00A018D4">
            <w:pPr>
              <w:jc w:val="center"/>
              <w:rPr>
                <w:rFonts w:cs="Arial"/>
                <w:color w:val="000000" w:themeColor="text1"/>
                <w:szCs w:val="16"/>
              </w:rPr>
            </w:pPr>
            <w:r w:rsidRPr="00781112">
              <w:rPr>
                <w:rFonts w:cs="Arial"/>
                <w:color w:val="000000" w:themeColor="text1"/>
                <w:szCs w:val="16"/>
              </w:rPr>
              <w:t>2,138</w:t>
            </w:r>
          </w:p>
        </w:tc>
        <w:tc>
          <w:tcPr>
            <w:tcW w:w="584" w:type="pct"/>
            <w:shd w:val="clear" w:color="auto" w:fill="auto"/>
            <w:vAlign w:val="center"/>
          </w:tcPr>
          <w:p w14:paraId="238365C6" w14:textId="3568431D" w:rsidR="00A86385" w:rsidRPr="00781112" w:rsidRDefault="002B7490" w:rsidP="00A018D4">
            <w:pPr>
              <w:jc w:val="center"/>
              <w:rPr>
                <w:rFonts w:cs="Arial"/>
                <w:color w:val="000000" w:themeColor="text1"/>
                <w:szCs w:val="16"/>
              </w:rPr>
            </w:pPr>
            <w:r w:rsidRPr="00781112">
              <w:rPr>
                <w:rFonts w:cs="Arial"/>
                <w:color w:val="000000" w:themeColor="text1"/>
                <w:szCs w:val="16"/>
              </w:rPr>
              <w:t>3,020</w:t>
            </w:r>
          </w:p>
        </w:tc>
        <w:tc>
          <w:tcPr>
            <w:tcW w:w="543" w:type="pct"/>
            <w:shd w:val="clear" w:color="auto" w:fill="auto"/>
            <w:vAlign w:val="center"/>
          </w:tcPr>
          <w:p w14:paraId="4D92698F" w14:textId="1CB8B6A4" w:rsidR="00A86385" w:rsidRPr="00781112" w:rsidRDefault="002B7490" w:rsidP="00A018D4">
            <w:pPr>
              <w:jc w:val="center"/>
              <w:rPr>
                <w:rFonts w:cs="Arial"/>
                <w:color w:val="000000" w:themeColor="text1"/>
                <w:szCs w:val="16"/>
              </w:rPr>
            </w:pPr>
            <w:r w:rsidRPr="00781112">
              <w:rPr>
                <w:rFonts w:cs="Arial"/>
                <w:color w:val="000000" w:themeColor="text1"/>
                <w:szCs w:val="16"/>
              </w:rPr>
              <w:t>71.24%</w:t>
            </w:r>
          </w:p>
        </w:tc>
        <w:tc>
          <w:tcPr>
            <w:tcW w:w="584" w:type="pct"/>
            <w:shd w:val="clear" w:color="auto" w:fill="auto"/>
            <w:vAlign w:val="center"/>
          </w:tcPr>
          <w:p w14:paraId="282346A8" w14:textId="638BF2E5" w:rsidR="00A86385" w:rsidRPr="00781112" w:rsidRDefault="002B7490" w:rsidP="00A018D4">
            <w:pPr>
              <w:jc w:val="center"/>
              <w:rPr>
                <w:rFonts w:cs="Arial"/>
                <w:color w:val="000000" w:themeColor="text1"/>
                <w:szCs w:val="16"/>
              </w:rPr>
            </w:pPr>
            <w:r w:rsidRPr="00781112">
              <w:rPr>
                <w:rFonts w:cs="Arial"/>
                <w:color w:val="000000" w:themeColor="text1"/>
                <w:szCs w:val="16"/>
              </w:rPr>
              <w:t>67.56%</w:t>
            </w:r>
          </w:p>
        </w:tc>
        <w:tc>
          <w:tcPr>
            <w:tcW w:w="625" w:type="pct"/>
            <w:shd w:val="clear" w:color="auto" w:fill="auto"/>
            <w:vAlign w:val="center"/>
          </w:tcPr>
          <w:p w14:paraId="02E42936" w14:textId="312E4B4A" w:rsidR="00A86385" w:rsidRPr="00781112" w:rsidRDefault="002B7490" w:rsidP="00A018D4">
            <w:pPr>
              <w:jc w:val="center"/>
              <w:rPr>
                <w:rFonts w:cs="Arial"/>
                <w:color w:val="000000" w:themeColor="text1"/>
                <w:szCs w:val="16"/>
              </w:rPr>
            </w:pPr>
            <w:r w:rsidRPr="00781112">
              <w:rPr>
                <w:rFonts w:cs="Arial"/>
                <w:color w:val="000000" w:themeColor="text1"/>
                <w:szCs w:val="16"/>
              </w:rPr>
              <w:t>70.79%</w:t>
            </w:r>
          </w:p>
        </w:tc>
        <w:tc>
          <w:tcPr>
            <w:tcW w:w="459" w:type="pct"/>
            <w:shd w:val="clear" w:color="auto" w:fill="auto"/>
            <w:vAlign w:val="center"/>
          </w:tcPr>
          <w:p w14:paraId="1B13A98E" w14:textId="3F3B6900" w:rsidR="00A86385" w:rsidRPr="00781112" w:rsidRDefault="002B7490" w:rsidP="00A018D4">
            <w:pPr>
              <w:jc w:val="center"/>
              <w:rPr>
                <w:rFonts w:cs="Arial"/>
                <w:color w:val="000000" w:themeColor="text1"/>
                <w:szCs w:val="16"/>
              </w:rPr>
            </w:pPr>
            <w:r w:rsidRPr="00781112">
              <w:rPr>
                <w:rFonts w:cs="Arial"/>
                <w:color w:val="000000" w:themeColor="text1"/>
                <w:szCs w:val="16"/>
              </w:rPr>
              <w:t>Met target</w:t>
            </w:r>
          </w:p>
        </w:tc>
        <w:tc>
          <w:tcPr>
            <w:tcW w:w="622" w:type="pct"/>
            <w:shd w:val="clear" w:color="auto" w:fill="auto"/>
            <w:vAlign w:val="center"/>
          </w:tcPr>
          <w:p w14:paraId="2D48B259" w14:textId="3185C0C7" w:rsidR="00A86385" w:rsidRPr="00781112" w:rsidRDefault="002B7490" w:rsidP="00A018D4">
            <w:pPr>
              <w:jc w:val="center"/>
              <w:rPr>
                <w:rFonts w:cs="Arial"/>
                <w:color w:val="000000" w:themeColor="text1"/>
                <w:szCs w:val="16"/>
              </w:rPr>
            </w:pPr>
            <w:r w:rsidRPr="00781112">
              <w:rPr>
                <w:rFonts w:cs="Arial"/>
                <w:color w:val="000000" w:themeColor="text1"/>
                <w:szCs w:val="16"/>
              </w:rPr>
              <w:t>No Slippage</w:t>
            </w:r>
          </w:p>
        </w:tc>
      </w:tr>
      <w:tr w:rsidR="005C29F8" w:rsidRPr="00781112" w14:paraId="01CBC0C6" w14:textId="58EECBDC" w:rsidTr="00AB0D6A">
        <w:trPr>
          <w:trHeight w:val="361"/>
        </w:trPr>
        <w:tc>
          <w:tcPr>
            <w:tcW w:w="999" w:type="pct"/>
            <w:shd w:val="clear" w:color="auto" w:fill="auto"/>
          </w:tcPr>
          <w:p w14:paraId="080A6F16" w14:textId="77777777" w:rsidR="00A86385" w:rsidRPr="00781112" w:rsidRDefault="00A86385" w:rsidP="00E526FC">
            <w:pPr>
              <w:rPr>
                <w:rFonts w:cs="Arial"/>
                <w:color w:val="000000" w:themeColor="text1"/>
                <w:szCs w:val="16"/>
              </w:rPr>
            </w:pPr>
            <w:r w:rsidRPr="00781112">
              <w:rPr>
                <w:rFonts w:cs="Arial"/>
                <w:color w:val="000000" w:themeColor="text1"/>
                <w:szCs w:val="16"/>
              </w:rPr>
              <w:t xml:space="preserve">C2. The percent of preschool children who were functioning within age expectations in Outcome C by the time they turned 6 years of age or exited the program. </w:t>
            </w:r>
          </w:p>
          <w:p w14:paraId="3AD697BE" w14:textId="13545BB0" w:rsidR="00757D21" w:rsidRPr="0075451F" w:rsidRDefault="00757D21" w:rsidP="00E526FC">
            <w:pPr>
              <w:rPr>
                <w:rFonts w:cs="Arial"/>
                <w:color w:val="000000" w:themeColor="text1"/>
                <w:szCs w:val="16"/>
                <w:lang w:val="es-ES"/>
              </w:rPr>
            </w:pPr>
            <w:proofErr w:type="spellStart"/>
            <w:r w:rsidRPr="0075451F">
              <w:rPr>
                <w:rFonts w:cs="Arial"/>
                <w:i/>
                <w:iCs/>
                <w:color w:val="C00000"/>
                <w:szCs w:val="16"/>
                <w:lang w:val="es-ES"/>
              </w:rPr>
              <w:t>Calculation</w:t>
            </w:r>
            <w:proofErr w:type="spellEnd"/>
            <w:r w:rsidRPr="0075451F">
              <w:rPr>
                <w:rFonts w:cs="Arial"/>
                <w:i/>
                <w:iCs/>
                <w:color w:val="C00000"/>
                <w:szCs w:val="16"/>
                <w:lang w:val="es-ES"/>
              </w:rPr>
              <w:t>: (</w:t>
            </w:r>
            <w:proofErr w:type="spellStart"/>
            <w:r w:rsidRPr="0075451F">
              <w:rPr>
                <w:rFonts w:cs="Arial"/>
                <w:i/>
                <w:iCs/>
                <w:color w:val="C00000"/>
                <w:szCs w:val="16"/>
                <w:lang w:val="es-ES"/>
              </w:rPr>
              <w:t>d+</w:t>
            </w:r>
            <w:proofErr w:type="gramStart"/>
            <w:r w:rsidRPr="0075451F">
              <w:rPr>
                <w:rFonts w:cs="Arial"/>
                <w:i/>
                <w:iCs/>
                <w:color w:val="C00000"/>
                <w:szCs w:val="16"/>
                <w:lang w:val="es-ES"/>
              </w:rPr>
              <w:t>e</w:t>
            </w:r>
            <w:proofErr w:type="spellEnd"/>
            <w:r w:rsidRPr="0075451F">
              <w:rPr>
                <w:rFonts w:cs="Arial"/>
                <w:i/>
                <w:iCs/>
                <w:color w:val="C00000"/>
                <w:szCs w:val="16"/>
                <w:lang w:val="es-ES"/>
              </w:rPr>
              <w:t>)/</w:t>
            </w:r>
            <w:proofErr w:type="gramEnd"/>
            <w:r w:rsidRPr="0075451F">
              <w:rPr>
                <w:rFonts w:cs="Arial"/>
                <w:i/>
                <w:iCs/>
                <w:color w:val="C00000"/>
                <w:szCs w:val="16"/>
                <w:lang w:val="es-ES"/>
              </w:rPr>
              <w:t>(</w:t>
            </w:r>
            <w:proofErr w:type="spellStart"/>
            <w:r w:rsidRPr="0075451F">
              <w:rPr>
                <w:rFonts w:cs="Arial"/>
                <w:i/>
                <w:iCs/>
                <w:color w:val="C00000"/>
                <w:szCs w:val="16"/>
                <w:lang w:val="es-ES"/>
              </w:rPr>
              <w:t>a+b+c+d+e</w:t>
            </w:r>
            <w:proofErr w:type="spellEnd"/>
            <w:r w:rsidRPr="0075451F">
              <w:rPr>
                <w:rFonts w:cs="Arial"/>
                <w:i/>
                <w:iCs/>
                <w:color w:val="C00000"/>
                <w:szCs w:val="16"/>
                <w:lang w:val="es-ES"/>
              </w:rPr>
              <w:t>)</w:t>
            </w:r>
          </w:p>
        </w:tc>
        <w:tc>
          <w:tcPr>
            <w:tcW w:w="584" w:type="pct"/>
            <w:shd w:val="clear" w:color="auto" w:fill="auto"/>
            <w:vAlign w:val="center"/>
          </w:tcPr>
          <w:p w14:paraId="55881F07" w14:textId="24379895" w:rsidR="00E526FC" w:rsidRPr="00781112" w:rsidRDefault="002B7490" w:rsidP="00A018D4">
            <w:pPr>
              <w:jc w:val="center"/>
              <w:rPr>
                <w:rFonts w:cs="Arial"/>
                <w:color w:val="000000" w:themeColor="text1"/>
                <w:szCs w:val="16"/>
              </w:rPr>
            </w:pPr>
            <w:r w:rsidRPr="00781112">
              <w:rPr>
                <w:rFonts w:cs="Arial"/>
                <w:color w:val="000000" w:themeColor="text1"/>
                <w:szCs w:val="16"/>
              </w:rPr>
              <w:t>3,003</w:t>
            </w:r>
          </w:p>
        </w:tc>
        <w:tc>
          <w:tcPr>
            <w:tcW w:w="584" w:type="pct"/>
            <w:shd w:val="clear" w:color="auto" w:fill="auto"/>
            <w:vAlign w:val="center"/>
          </w:tcPr>
          <w:p w14:paraId="621B2290" w14:textId="0CB78FA1" w:rsidR="00E526FC" w:rsidRPr="00781112" w:rsidRDefault="002B7490" w:rsidP="00A018D4">
            <w:pPr>
              <w:jc w:val="center"/>
              <w:rPr>
                <w:rFonts w:cs="Arial"/>
                <w:color w:val="000000" w:themeColor="text1"/>
                <w:szCs w:val="16"/>
              </w:rPr>
            </w:pPr>
            <w:r w:rsidRPr="00781112">
              <w:rPr>
                <w:rFonts w:cs="Arial"/>
                <w:color w:val="000000" w:themeColor="text1"/>
                <w:szCs w:val="16"/>
              </w:rPr>
              <w:t>4,461</w:t>
            </w:r>
          </w:p>
        </w:tc>
        <w:tc>
          <w:tcPr>
            <w:tcW w:w="543" w:type="pct"/>
            <w:shd w:val="clear" w:color="auto" w:fill="auto"/>
            <w:vAlign w:val="center"/>
          </w:tcPr>
          <w:p w14:paraId="62DBFBFA" w14:textId="0CDB12CF" w:rsidR="00A86385" w:rsidRPr="00781112" w:rsidRDefault="002B7490" w:rsidP="00A018D4">
            <w:pPr>
              <w:jc w:val="center"/>
              <w:rPr>
                <w:rFonts w:cs="Arial"/>
                <w:color w:val="000000" w:themeColor="text1"/>
                <w:szCs w:val="16"/>
              </w:rPr>
            </w:pPr>
            <w:r w:rsidRPr="00781112">
              <w:rPr>
                <w:rFonts w:cs="Arial"/>
                <w:color w:val="000000" w:themeColor="text1"/>
                <w:szCs w:val="16"/>
              </w:rPr>
              <w:t>67.41%</w:t>
            </w:r>
          </w:p>
        </w:tc>
        <w:tc>
          <w:tcPr>
            <w:tcW w:w="584" w:type="pct"/>
            <w:shd w:val="clear" w:color="auto" w:fill="auto"/>
            <w:vAlign w:val="center"/>
          </w:tcPr>
          <w:p w14:paraId="63A1936F" w14:textId="04F440D6" w:rsidR="00A86385" w:rsidRPr="00781112" w:rsidRDefault="002B7490" w:rsidP="00A018D4">
            <w:pPr>
              <w:jc w:val="center"/>
              <w:rPr>
                <w:rFonts w:cs="Arial"/>
                <w:color w:val="000000" w:themeColor="text1"/>
                <w:szCs w:val="16"/>
              </w:rPr>
            </w:pPr>
            <w:r w:rsidRPr="00781112">
              <w:rPr>
                <w:rFonts w:cs="Arial"/>
                <w:color w:val="000000" w:themeColor="text1"/>
                <w:szCs w:val="16"/>
              </w:rPr>
              <w:t>58.51%</w:t>
            </w:r>
          </w:p>
        </w:tc>
        <w:tc>
          <w:tcPr>
            <w:tcW w:w="625" w:type="pct"/>
            <w:shd w:val="clear" w:color="auto" w:fill="auto"/>
            <w:vAlign w:val="center"/>
          </w:tcPr>
          <w:p w14:paraId="4609D20B" w14:textId="7D9B89C4" w:rsidR="00A86385" w:rsidRPr="00781112" w:rsidRDefault="002B7490" w:rsidP="00A018D4">
            <w:pPr>
              <w:jc w:val="center"/>
              <w:rPr>
                <w:rFonts w:cs="Arial"/>
                <w:color w:val="000000" w:themeColor="text1"/>
                <w:szCs w:val="16"/>
              </w:rPr>
            </w:pPr>
            <w:r w:rsidRPr="00781112">
              <w:rPr>
                <w:rFonts w:cs="Arial"/>
                <w:color w:val="000000" w:themeColor="text1"/>
                <w:szCs w:val="16"/>
              </w:rPr>
              <w:t>67.32%</w:t>
            </w:r>
          </w:p>
        </w:tc>
        <w:tc>
          <w:tcPr>
            <w:tcW w:w="459" w:type="pct"/>
            <w:shd w:val="clear" w:color="auto" w:fill="auto"/>
            <w:vAlign w:val="center"/>
          </w:tcPr>
          <w:p w14:paraId="5F56D20D" w14:textId="6A83021F" w:rsidR="00A86385" w:rsidRPr="00781112" w:rsidRDefault="002B7490" w:rsidP="00A018D4">
            <w:pPr>
              <w:jc w:val="center"/>
              <w:rPr>
                <w:rFonts w:cs="Arial"/>
                <w:color w:val="000000" w:themeColor="text1"/>
                <w:szCs w:val="16"/>
              </w:rPr>
            </w:pPr>
            <w:r w:rsidRPr="00781112">
              <w:rPr>
                <w:rFonts w:cs="Arial"/>
                <w:color w:val="000000" w:themeColor="text1"/>
                <w:szCs w:val="16"/>
              </w:rPr>
              <w:t>Met target</w:t>
            </w:r>
          </w:p>
        </w:tc>
        <w:tc>
          <w:tcPr>
            <w:tcW w:w="622" w:type="pct"/>
            <w:shd w:val="clear" w:color="auto" w:fill="auto"/>
            <w:vAlign w:val="center"/>
          </w:tcPr>
          <w:p w14:paraId="5C0F945B" w14:textId="613A8501" w:rsidR="00A86385" w:rsidRPr="00781112" w:rsidRDefault="002B7490" w:rsidP="00A018D4">
            <w:pPr>
              <w:jc w:val="center"/>
              <w:rPr>
                <w:rFonts w:cs="Arial"/>
                <w:color w:val="000000" w:themeColor="text1"/>
                <w:szCs w:val="16"/>
              </w:rPr>
            </w:pPr>
            <w:r w:rsidRPr="00781112">
              <w:rPr>
                <w:rFonts w:cs="Arial"/>
                <w:color w:val="000000" w:themeColor="text1"/>
                <w:szCs w:val="16"/>
              </w:rPr>
              <w:t>No Slippage</w:t>
            </w:r>
          </w:p>
        </w:tc>
      </w:tr>
    </w:tbl>
    <w:p w14:paraId="105291D6" w14:textId="2B417D4B" w:rsidR="009B37A2" w:rsidRPr="00781112" w:rsidRDefault="009B37A2" w:rsidP="00B3121C">
      <w:pPr>
        <w:rPr>
          <w:color w:val="000000" w:themeColor="text1"/>
        </w:rPr>
      </w:pPr>
    </w:p>
    <w:p w14:paraId="399E6348" w14:textId="36EEF00B" w:rsidR="004B2C2D" w:rsidRPr="00781112" w:rsidRDefault="004B2C2D" w:rsidP="007D435F">
      <w:pPr>
        <w:rPr>
          <w:rFonts w:cs="Arial"/>
          <w:b/>
          <w:color w:val="000000" w:themeColor="text1"/>
          <w:szCs w:val="16"/>
        </w:rPr>
      </w:pPr>
      <w:r w:rsidRPr="00781112">
        <w:rPr>
          <w:rFonts w:cs="Arial"/>
          <w:b/>
          <w:color w:val="000000" w:themeColor="text1"/>
          <w:szCs w:val="16"/>
        </w:rPr>
        <w:t>Does the State include in the numerator and denominator only children who received special education and related services for at least six months during the age span of three through five years? (yes/no)</w:t>
      </w:r>
    </w:p>
    <w:p w14:paraId="35B562FF" w14:textId="1FE02532" w:rsidR="005033CE" w:rsidRPr="00781112" w:rsidRDefault="004B2C2D" w:rsidP="007D435F">
      <w:pPr>
        <w:rPr>
          <w:rFonts w:cs="Arial"/>
          <w:color w:val="000000" w:themeColor="text1"/>
          <w:szCs w:val="16"/>
        </w:rPr>
      </w:pPr>
      <w:r w:rsidRPr="00781112">
        <w:rPr>
          <w:rFonts w:cs="Arial"/>
          <w:color w:val="000000" w:themeColor="text1"/>
          <w:szCs w:val="16"/>
        </w:rPr>
        <w:t>YES</w:t>
      </w:r>
    </w:p>
    <w:tbl>
      <w:tblPr>
        <w:tblStyle w:val="TableGrid"/>
        <w:tblW w:w="5000" w:type="pct"/>
        <w:tblCellMar>
          <w:left w:w="115" w:type="dxa"/>
          <w:right w:w="115" w:type="dxa"/>
        </w:tblCellMar>
        <w:tblLook w:val="04A0" w:firstRow="1" w:lastRow="0" w:firstColumn="1" w:lastColumn="0" w:noHBand="0" w:noVBand="1"/>
        <w:tblCaption w:val="B07SAMPLINGUSED"/>
      </w:tblPr>
      <w:tblGrid>
        <w:gridCol w:w="8319"/>
        <w:gridCol w:w="2471"/>
      </w:tblGrid>
      <w:tr w:rsidR="005C29F8" w:rsidRPr="00781112" w14:paraId="0BD085FB" w14:textId="77777777" w:rsidTr="0033429D">
        <w:trPr>
          <w:tblHeader/>
        </w:trPr>
        <w:tc>
          <w:tcPr>
            <w:tcW w:w="3855" w:type="pct"/>
            <w:tcBorders>
              <w:top w:val="single" w:sz="4" w:space="0" w:color="auto"/>
              <w:left w:val="single" w:sz="4" w:space="0" w:color="auto"/>
            </w:tcBorders>
            <w:shd w:val="clear" w:color="auto" w:fill="auto"/>
          </w:tcPr>
          <w:p w14:paraId="5AC005B4" w14:textId="48902820" w:rsidR="00B461E1" w:rsidRPr="00781112" w:rsidRDefault="001D6B3B" w:rsidP="00A80FEB">
            <w:pPr>
              <w:rPr>
                <w:rFonts w:cs="Arial"/>
                <w:b/>
                <w:bCs/>
                <w:color w:val="000000" w:themeColor="text1"/>
                <w:szCs w:val="16"/>
              </w:rPr>
            </w:pPr>
            <w:r w:rsidRPr="00781112">
              <w:rPr>
                <w:rFonts w:cs="Arial"/>
                <w:b/>
                <w:bCs/>
                <w:color w:val="000000" w:themeColor="text1"/>
                <w:szCs w:val="16"/>
              </w:rPr>
              <w:t>Sampling Question</w:t>
            </w:r>
          </w:p>
        </w:tc>
        <w:tc>
          <w:tcPr>
            <w:tcW w:w="1145" w:type="pct"/>
            <w:tcBorders>
              <w:top w:val="single" w:sz="4" w:space="0" w:color="auto"/>
            </w:tcBorders>
            <w:shd w:val="clear" w:color="auto" w:fill="auto"/>
          </w:tcPr>
          <w:p w14:paraId="13A7BBAF" w14:textId="0D22562B" w:rsidR="00B461E1" w:rsidRPr="00781112" w:rsidRDefault="00B461E1" w:rsidP="001011BB">
            <w:pPr>
              <w:jc w:val="center"/>
              <w:rPr>
                <w:rFonts w:cs="Arial"/>
                <w:b/>
                <w:color w:val="000000" w:themeColor="text1"/>
                <w:szCs w:val="16"/>
              </w:rPr>
            </w:pPr>
            <w:r w:rsidRPr="00781112">
              <w:rPr>
                <w:rFonts w:cs="Arial"/>
                <w:b/>
                <w:color w:val="000000" w:themeColor="text1"/>
                <w:szCs w:val="16"/>
              </w:rPr>
              <w:t>Yes / No</w:t>
            </w:r>
          </w:p>
        </w:tc>
      </w:tr>
      <w:tr w:rsidR="005C29F8" w:rsidRPr="00781112" w14:paraId="58275667" w14:textId="54710A2D" w:rsidTr="000A4757">
        <w:tc>
          <w:tcPr>
            <w:tcW w:w="3855" w:type="pct"/>
            <w:shd w:val="clear" w:color="auto" w:fill="auto"/>
          </w:tcPr>
          <w:p w14:paraId="390A3887" w14:textId="13D1E4BC" w:rsidR="00B461E1" w:rsidRPr="00781112" w:rsidRDefault="00B461E1" w:rsidP="00A80FEB">
            <w:pPr>
              <w:rPr>
                <w:rFonts w:cs="Arial"/>
                <w:color w:val="000000" w:themeColor="text1"/>
                <w:szCs w:val="16"/>
              </w:rPr>
            </w:pPr>
            <w:r w:rsidRPr="00781112">
              <w:rPr>
                <w:rFonts w:cs="Arial"/>
                <w:color w:val="000000" w:themeColor="text1"/>
                <w:szCs w:val="16"/>
              </w:rPr>
              <w:t xml:space="preserve">Was sampling used? </w:t>
            </w:r>
          </w:p>
        </w:tc>
        <w:tc>
          <w:tcPr>
            <w:tcW w:w="1145" w:type="pct"/>
            <w:shd w:val="clear" w:color="auto" w:fill="auto"/>
          </w:tcPr>
          <w:p w14:paraId="057F9293" w14:textId="70B8666C" w:rsidR="00B461E1" w:rsidRPr="00781112" w:rsidRDefault="002B7490" w:rsidP="00A018D4">
            <w:pPr>
              <w:jc w:val="center"/>
              <w:rPr>
                <w:rFonts w:cs="Arial"/>
                <w:color w:val="000000" w:themeColor="text1"/>
                <w:szCs w:val="16"/>
              </w:rPr>
            </w:pPr>
            <w:r w:rsidRPr="00781112">
              <w:rPr>
                <w:rFonts w:cs="Arial"/>
                <w:color w:val="000000" w:themeColor="text1"/>
                <w:szCs w:val="16"/>
              </w:rPr>
              <w:t>NO</w:t>
            </w:r>
          </w:p>
        </w:tc>
      </w:tr>
    </w:tbl>
    <w:p w14:paraId="4EF81044" w14:textId="4100A680" w:rsidR="004B2C2D" w:rsidRPr="00781112" w:rsidRDefault="004B2C2D" w:rsidP="00A80FEB">
      <w:pPr>
        <w:rPr>
          <w:rFonts w:cs="Arial"/>
          <w:b/>
          <w:color w:val="000000" w:themeColor="text1"/>
          <w:szCs w:val="16"/>
        </w:rPr>
      </w:pPr>
      <w:r w:rsidRPr="00781112">
        <w:rPr>
          <w:rFonts w:cs="Arial"/>
          <w:b/>
          <w:color w:val="000000" w:themeColor="text1"/>
          <w:szCs w:val="16"/>
        </w:rPr>
        <w:t>Did you use the Early Childhood Outcomes Center (ECO) Child Outcomes Summary (COS) process? (yes/no)</w:t>
      </w:r>
    </w:p>
    <w:p w14:paraId="6C4FBAA6" w14:textId="1B6DC98D" w:rsidR="004B2C2D" w:rsidRPr="00781112" w:rsidRDefault="004B2C2D" w:rsidP="00A80FEB">
      <w:pPr>
        <w:rPr>
          <w:rFonts w:cs="Arial"/>
          <w:color w:val="000000" w:themeColor="text1"/>
          <w:szCs w:val="16"/>
        </w:rPr>
      </w:pPr>
      <w:r w:rsidRPr="00781112">
        <w:rPr>
          <w:rFonts w:cs="Arial"/>
          <w:color w:val="000000" w:themeColor="text1"/>
          <w:szCs w:val="16"/>
        </w:rPr>
        <w:t>NO</w:t>
      </w:r>
    </w:p>
    <w:p w14:paraId="6F131278" w14:textId="16A90DAD" w:rsidR="009B37A2" w:rsidRPr="00781112" w:rsidRDefault="007524CC" w:rsidP="00401663">
      <w:pPr>
        <w:rPr>
          <w:rFonts w:cs="Arial"/>
          <w:b/>
          <w:color w:val="000000" w:themeColor="text1"/>
          <w:szCs w:val="16"/>
        </w:rPr>
      </w:pPr>
      <w:r w:rsidRPr="00781112">
        <w:rPr>
          <w:rFonts w:cs="Arial"/>
          <w:b/>
          <w:color w:val="000000" w:themeColor="text1"/>
          <w:szCs w:val="16"/>
        </w:rPr>
        <w:t>If no, provide the criteria for defining “comparable to same-aged peers.”</w:t>
      </w:r>
    </w:p>
    <w:p w14:paraId="49B86640" w14:textId="0949E05B" w:rsidR="000A4757" w:rsidRPr="00781112" w:rsidRDefault="002B7490" w:rsidP="000A4757">
      <w:pPr>
        <w:rPr>
          <w:rFonts w:cs="Arial"/>
          <w:color w:val="000000" w:themeColor="text1"/>
          <w:szCs w:val="16"/>
        </w:rPr>
      </w:pPr>
      <w:r w:rsidRPr="00781112">
        <w:rPr>
          <w:rFonts w:cs="Arial"/>
          <w:color w:val="000000" w:themeColor="text1"/>
          <w:szCs w:val="16"/>
        </w:rPr>
        <w:t>Colorado is one of a few states/territories who use their assessment publishers’ online systems to automatically produce OSEP progress categories and summary statements. Ratings are made on the tools’ standard objectives which have been cross walked with the Global Child Outcomes 1-3 (please refer to the ECTA Center’s Instrument Crosswalk for more detail at http://ectacenter.org/eco/pages/crosswalks.asp.</w:t>
      </w:r>
    </w:p>
    <w:p w14:paraId="015A471A" w14:textId="77777777" w:rsidR="004611C1" w:rsidRPr="00781112" w:rsidRDefault="004611C1" w:rsidP="00401663">
      <w:pPr>
        <w:rPr>
          <w:rFonts w:cs="Arial"/>
          <w:b/>
          <w:color w:val="000000" w:themeColor="text1"/>
          <w:szCs w:val="16"/>
        </w:rPr>
      </w:pPr>
      <w:bookmarkStart w:id="41" w:name="_Toc382082381"/>
      <w:bookmarkStart w:id="42" w:name="_Toc392159306"/>
      <w:r w:rsidRPr="00781112">
        <w:rPr>
          <w:rFonts w:cs="Arial"/>
          <w:b/>
          <w:color w:val="000000" w:themeColor="text1"/>
          <w:szCs w:val="16"/>
        </w:rPr>
        <w:t>List the instruments and procedures used to gather data for this indicator.</w:t>
      </w:r>
    </w:p>
    <w:p w14:paraId="48A16E25" w14:textId="1F2C8CE0" w:rsidR="009B37A2" w:rsidRPr="00781112" w:rsidRDefault="002B7490" w:rsidP="007D435F">
      <w:pPr>
        <w:rPr>
          <w:rFonts w:cs="Arial"/>
          <w:color w:val="000000" w:themeColor="text1"/>
          <w:szCs w:val="16"/>
        </w:rPr>
      </w:pPr>
      <w:r w:rsidRPr="00781112">
        <w:rPr>
          <w:rFonts w:cs="Arial"/>
          <w:color w:val="000000" w:themeColor="text1"/>
          <w:szCs w:val="16"/>
        </w:rPr>
        <w:lastRenderedPageBreak/>
        <w:t>The approved assessment vendors pull outcomes data from the assessment checkpoints corresponding to the preschool IEP entry and exit dates to produce each progress category for each approved assessment tool. The Center for IDEA Data Systems (DaSy), in collaboration with assessment publishers, researchers and CDE, have established cut points that are carefully calibrated to reflect children in each progress category.</w:t>
      </w:r>
    </w:p>
    <w:p w14:paraId="393ECB24" w14:textId="77777777" w:rsidR="00221EC9" w:rsidRPr="00781112" w:rsidRDefault="00221EC9" w:rsidP="004369B2">
      <w:pPr>
        <w:rPr>
          <w:b/>
          <w:color w:val="000000" w:themeColor="text1"/>
        </w:rPr>
      </w:pPr>
      <w:r w:rsidRPr="00781112">
        <w:rPr>
          <w:b/>
          <w:color w:val="000000" w:themeColor="text1"/>
        </w:rPr>
        <w:t>Provide additional information about this indicator (optional)</w:t>
      </w:r>
    </w:p>
    <w:p w14:paraId="0215673F" w14:textId="7230C48B" w:rsidR="009B37A2" w:rsidRPr="00781112" w:rsidRDefault="009B37A2" w:rsidP="007D435F">
      <w:pPr>
        <w:rPr>
          <w:rFonts w:cs="Arial"/>
          <w:color w:val="000000" w:themeColor="text1"/>
          <w:szCs w:val="16"/>
        </w:rPr>
      </w:pPr>
    </w:p>
    <w:p w14:paraId="729220FB" w14:textId="2C05A12E" w:rsidR="000A2C83" w:rsidRPr="00781112" w:rsidRDefault="00C96236" w:rsidP="008645AD">
      <w:pPr>
        <w:pStyle w:val="Heading2"/>
      </w:pPr>
      <w:r w:rsidRPr="00781112">
        <w:t>7</w:t>
      </w:r>
      <w:r w:rsidR="00444A9D" w:rsidRPr="00781112">
        <w:t xml:space="preserve"> </w:t>
      </w:r>
      <w:r w:rsidRPr="00781112">
        <w:t xml:space="preserve">- </w:t>
      </w:r>
      <w:r w:rsidR="000A2C83" w:rsidRPr="00781112">
        <w:t>Prior FFY Required Actions</w:t>
      </w:r>
    </w:p>
    <w:p w14:paraId="6B082508" w14:textId="28E3454C" w:rsidR="000A2C83" w:rsidRPr="00781112" w:rsidRDefault="002B7490" w:rsidP="000A2C83">
      <w:pPr>
        <w:rPr>
          <w:rFonts w:cs="Arial"/>
          <w:color w:val="000000" w:themeColor="text1"/>
          <w:szCs w:val="16"/>
        </w:rPr>
      </w:pPr>
      <w:r w:rsidRPr="00781112">
        <w:rPr>
          <w:rFonts w:cs="Arial"/>
          <w:color w:val="000000" w:themeColor="text1"/>
          <w:szCs w:val="16"/>
        </w:rPr>
        <w:t>None</w:t>
      </w:r>
    </w:p>
    <w:p w14:paraId="342951AE" w14:textId="530DEEBF" w:rsidR="00B1280F" w:rsidRPr="00781112" w:rsidRDefault="00B1280F" w:rsidP="000A2C83">
      <w:pPr>
        <w:rPr>
          <w:rFonts w:cs="Arial"/>
          <w:color w:val="000000" w:themeColor="text1"/>
          <w:szCs w:val="16"/>
        </w:rPr>
      </w:pPr>
    </w:p>
    <w:p w14:paraId="311D27F5" w14:textId="36383184" w:rsidR="000A2C83" w:rsidRPr="00781112" w:rsidRDefault="000A2C83" w:rsidP="000A2C83">
      <w:pPr>
        <w:rPr>
          <w:rFonts w:cs="Arial"/>
          <w:color w:val="000000" w:themeColor="text1"/>
          <w:szCs w:val="16"/>
        </w:rPr>
      </w:pPr>
      <w:r w:rsidRPr="00781112">
        <w:rPr>
          <w:rFonts w:cs="Arial"/>
          <w:color w:val="000000" w:themeColor="text1"/>
          <w:szCs w:val="16"/>
        </w:rPr>
        <w:t xml:space="preserve"> </w:t>
      </w:r>
    </w:p>
    <w:p w14:paraId="4844645A" w14:textId="6F051FE6" w:rsidR="00221EC9" w:rsidRPr="00781112" w:rsidRDefault="00C96236" w:rsidP="008645AD">
      <w:pPr>
        <w:pStyle w:val="Heading2"/>
      </w:pPr>
      <w:r w:rsidRPr="00781112">
        <w:t>7 - OSEP Response</w:t>
      </w:r>
    </w:p>
    <w:p w14:paraId="408E3220" w14:textId="3BF99ADA" w:rsidR="009B37A2" w:rsidRPr="00781112" w:rsidRDefault="009B37A2" w:rsidP="001F692C">
      <w:pPr>
        <w:rPr>
          <w:rFonts w:cs="Arial"/>
          <w:color w:val="000000" w:themeColor="text1"/>
          <w:szCs w:val="16"/>
        </w:rPr>
      </w:pPr>
    </w:p>
    <w:p w14:paraId="50C7CF43" w14:textId="32A5B19E" w:rsidR="00221EC9" w:rsidRPr="00781112" w:rsidRDefault="00C96236" w:rsidP="008645AD">
      <w:pPr>
        <w:pStyle w:val="Heading2"/>
      </w:pPr>
      <w:r w:rsidRPr="00781112">
        <w:t>7 - Required Actions</w:t>
      </w:r>
    </w:p>
    <w:p w14:paraId="4FFE0FC1" w14:textId="3673A3A2" w:rsidR="00415684" w:rsidRDefault="00415684" w:rsidP="006D5DC4">
      <w:pPr>
        <w:rPr>
          <w:rFonts w:cs="Arial"/>
          <w:color w:val="000000" w:themeColor="text1"/>
          <w:szCs w:val="16"/>
        </w:rPr>
      </w:pPr>
    </w:p>
    <w:p w14:paraId="0D594D0E" w14:textId="77777777" w:rsidR="00415684" w:rsidRDefault="00415684">
      <w:pPr>
        <w:spacing w:before="0" w:after="200" w:line="276" w:lineRule="auto"/>
        <w:rPr>
          <w:rFonts w:cs="Arial"/>
          <w:color w:val="000000" w:themeColor="text1"/>
          <w:szCs w:val="16"/>
        </w:rPr>
      </w:pPr>
      <w:r>
        <w:rPr>
          <w:rFonts w:cs="Arial"/>
          <w:color w:val="000000" w:themeColor="text1"/>
          <w:szCs w:val="16"/>
        </w:rPr>
        <w:br w:type="page"/>
      </w:r>
    </w:p>
    <w:p w14:paraId="3BCCFF07" w14:textId="13DF3424" w:rsidR="00B3462E" w:rsidRPr="00781112" w:rsidRDefault="00B3462E" w:rsidP="000444E2">
      <w:pPr>
        <w:pStyle w:val="Heading1"/>
        <w:rPr>
          <w:color w:val="000000" w:themeColor="text1"/>
          <w:sz w:val="22"/>
        </w:rPr>
      </w:pPr>
      <w:r w:rsidRPr="00781112">
        <w:rPr>
          <w:color w:val="000000" w:themeColor="text1"/>
          <w:sz w:val="22"/>
        </w:rPr>
        <w:lastRenderedPageBreak/>
        <w:t>Indicator 8: Parent involvement</w:t>
      </w:r>
      <w:bookmarkEnd w:id="41"/>
      <w:bookmarkEnd w:id="42"/>
    </w:p>
    <w:p w14:paraId="66FBCA03" w14:textId="77777777" w:rsidR="00B654C1" w:rsidRPr="00781112" w:rsidRDefault="00B654C1" w:rsidP="00A018D4">
      <w:pPr>
        <w:rPr>
          <w:color w:val="000000" w:themeColor="text1"/>
          <w:szCs w:val="20"/>
        </w:rPr>
      </w:pPr>
      <w:bookmarkStart w:id="43" w:name="_Toc392159307"/>
      <w:r w:rsidRPr="00781112">
        <w:rPr>
          <w:b/>
          <w:color w:val="000000" w:themeColor="text1"/>
          <w:sz w:val="20"/>
          <w:szCs w:val="20"/>
        </w:rPr>
        <w:t>Instructions and Measurement</w:t>
      </w:r>
    </w:p>
    <w:p w14:paraId="42608CC1" w14:textId="182D7ADF" w:rsidR="00CC634E" w:rsidRPr="00781112" w:rsidRDefault="00CC634E" w:rsidP="004369B2">
      <w:pPr>
        <w:rPr>
          <w:color w:val="000000" w:themeColor="text1"/>
        </w:rPr>
      </w:pPr>
      <w:r w:rsidRPr="00781112">
        <w:rPr>
          <w:b/>
          <w:color w:val="000000" w:themeColor="text1"/>
        </w:rPr>
        <w:t>Monitoring Priority:</w:t>
      </w:r>
      <w:r w:rsidRPr="00781112">
        <w:rPr>
          <w:color w:val="000000" w:themeColor="text1"/>
        </w:rPr>
        <w:t xml:space="preserve"> FAPE in the LRE</w:t>
      </w:r>
    </w:p>
    <w:p w14:paraId="090EFEAD" w14:textId="77777777" w:rsidR="009C613A" w:rsidRPr="00781112" w:rsidRDefault="00CC634E" w:rsidP="006424B2">
      <w:pPr>
        <w:rPr>
          <w:rFonts w:cs="Arial"/>
          <w:color w:val="000000" w:themeColor="text1"/>
          <w:szCs w:val="16"/>
        </w:rPr>
      </w:pPr>
      <w:r w:rsidRPr="00781112">
        <w:rPr>
          <w:rFonts w:cs="Arial"/>
          <w:b/>
          <w:color w:val="000000" w:themeColor="text1"/>
          <w:szCs w:val="16"/>
        </w:rPr>
        <w:t>Results indicator:</w:t>
      </w:r>
      <w:r w:rsidR="00131842" w:rsidRPr="00781112">
        <w:rPr>
          <w:rFonts w:cs="Arial"/>
          <w:color w:val="000000" w:themeColor="text1"/>
          <w:szCs w:val="16"/>
        </w:rPr>
        <w:t xml:space="preserve"> </w:t>
      </w:r>
      <w:r w:rsidRPr="00781112">
        <w:rPr>
          <w:rFonts w:cs="Arial"/>
          <w:color w:val="000000" w:themeColor="text1"/>
          <w:szCs w:val="16"/>
        </w:rPr>
        <w:t>Percent of parents with a child receiving special education services who report that schools facilitated parent involvement as a means of improving services and results for children with disabilities.</w:t>
      </w:r>
    </w:p>
    <w:p w14:paraId="0D04A075" w14:textId="3BF2EC6D" w:rsidR="00CC634E" w:rsidRPr="00781112" w:rsidRDefault="00CC634E" w:rsidP="006424B2">
      <w:pPr>
        <w:rPr>
          <w:rFonts w:cs="Arial"/>
          <w:color w:val="000000" w:themeColor="text1"/>
          <w:szCs w:val="16"/>
        </w:rPr>
      </w:pPr>
      <w:r w:rsidRPr="00781112">
        <w:rPr>
          <w:rFonts w:cs="Arial"/>
          <w:color w:val="000000" w:themeColor="text1"/>
          <w:szCs w:val="16"/>
        </w:rPr>
        <w:t>(20 U.S.C. 1416(a)(3)(A))</w:t>
      </w:r>
    </w:p>
    <w:p w14:paraId="59F98396" w14:textId="77777777" w:rsidR="009C613A" w:rsidRPr="00781112" w:rsidRDefault="009C613A" w:rsidP="004369B2">
      <w:pPr>
        <w:rPr>
          <w:color w:val="000000" w:themeColor="text1"/>
        </w:rPr>
      </w:pPr>
      <w:r w:rsidRPr="00781112">
        <w:rPr>
          <w:b/>
          <w:color w:val="000000" w:themeColor="text1"/>
        </w:rPr>
        <w:t>Data Source</w:t>
      </w:r>
    </w:p>
    <w:p w14:paraId="543A03AF" w14:textId="13B8F95C" w:rsidR="009C613A" w:rsidRPr="00781112" w:rsidRDefault="009C613A" w:rsidP="00286BDF">
      <w:pPr>
        <w:rPr>
          <w:rFonts w:cs="Arial"/>
          <w:color w:val="000000" w:themeColor="text1"/>
          <w:szCs w:val="16"/>
        </w:rPr>
      </w:pPr>
      <w:r w:rsidRPr="00781112">
        <w:rPr>
          <w:rFonts w:cs="Arial"/>
          <w:color w:val="000000" w:themeColor="text1"/>
          <w:szCs w:val="16"/>
        </w:rPr>
        <w:t>State selected data source.</w:t>
      </w:r>
    </w:p>
    <w:p w14:paraId="50AC2385" w14:textId="77777777" w:rsidR="009C613A" w:rsidRPr="00781112" w:rsidRDefault="009C613A" w:rsidP="004369B2">
      <w:pPr>
        <w:rPr>
          <w:color w:val="000000" w:themeColor="text1"/>
        </w:rPr>
      </w:pPr>
      <w:r w:rsidRPr="00781112">
        <w:rPr>
          <w:b/>
          <w:color w:val="000000" w:themeColor="text1"/>
        </w:rPr>
        <w:t>Measurement</w:t>
      </w:r>
    </w:p>
    <w:p w14:paraId="5E1A0E28" w14:textId="46D6A5D9" w:rsidR="009C613A" w:rsidRPr="00781112" w:rsidRDefault="009C613A" w:rsidP="00286BDF">
      <w:pPr>
        <w:rPr>
          <w:rFonts w:cs="Arial"/>
          <w:color w:val="000000" w:themeColor="text1"/>
          <w:szCs w:val="16"/>
        </w:rPr>
      </w:pPr>
      <w:r w:rsidRPr="00781112">
        <w:rPr>
          <w:rFonts w:cs="Arial"/>
          <w:color w:val="000000" w:themeColor="text1"/>
          <w:szCs w:val="16"/>
        </w:rPr>
        <w:t>Percent</w:t>
      </w:r>
      <w:r w:rsidRPr="00781112">
        <w:rPr>
          <w:rFonts w:cs="Arial"/>
          <w:color w:val="000000" w:themeColor="text1"/>
          <w:szCs w:val="16"/>
          <w:shd w:val="clear" w:color="auto" w:fill="FFFFFF"/>
        </w:rPr>
        <w:t xml:space="preserve"> = </w:t>
      </w:r>
      <w:r w:rsidR="00655C91" w:rsidRPr="00781112">
        <w:rPr>
          <w:rFonts w:cs="Arial"/>
          <w:color w:val="000000" w:themeColor="text1"/>
          <w:szCs w:val="16"/>
          <w:shd w:val="clear" w:color="auto" w:fill="FFFFFF"/>
        </w:rPr>
        <w:t>[</w:t>
      </w:r>
      <w:r w:rsidRPr="00781112">
        <w:rPr>
          <w:rFonts w:cs="Arial"/>
          <w:color w:val="000000" w:themeColor="text1"/>
          <w:szCs w:val="16"/>
          <w:shd w:val="clear" w:color="auto" w:fill="FFFFFF"/>
        </w:rPr>
        <w:t>(# of respondent parents who report schools facilitated parent involvement as a means of improving services and results for children with disabilities) divided by the (total # of respondent parents of children with disabilities)</w:t>
      </w:r>
      <w:r w:rsidR="00655C91" w:rsidRPr="00781112">
        <w:rPr>
          <w:rFonts w:cs="Arial"/>
          <w:color w:val="000000" w:themeColor="text1"/>
          <w:szCs w:val="16"/>
          <w:shd w:val="clear" w:color="auto" w:fill="FFFFFF"/>
        </w:rPr>
        <w:t>]</w:t>
      </w:r>
      <w:r w:rsidRPr="00781112">
        <w:rPr>
          <w:rFonts w:cs="Arial"/>
          <w:color w:val="000000" w:themeColor="text1"/>
          <w:szCs w:val="16"/>
          <w:shd w:val="clear" w:color="auto" w:fill="FFFFFF"/>
        </w:rPr>
        <w:t xml:space="preserve"> times 100.</w:t>
      </w:r>
    </w:p>
    <w:p w14:paraId="289E0D18" w14:textId="5D04C177" w:rsidR="009C613A" w:rsidRPr="00781112" w:rsidRDefault="009C613A" w:rsidP="004369B2">
      <w:pPr>
        <w:rPr>
          <w:color w:val="000000" w:themeColor="text1"/>
        </w:rPr>
      </w:pPr>
      <w:r w:rsidRPr="00781112">
        <w:rPr>
          <w:b/>
          <w:color w:val="000000" w:themeColor="text1"/>
        </w:rPr>
        <w:t>Instructions</w:t>
      </w:r>
    </w:p>
    <w:p w14:paraId="60A1EAFB" w14:textId="4B89C130" w:rsidR="002D7AD6" w:rsidRPr="00781112" w:rsidRDefault="002D7AD6" w:rsidP="00286BDF">
      <w:pPr>
        <w:rPr>
          <w:rFonts w:cs="Arial"/>
          <w:color w:val="000000" w:themeColor="text1"/>
          <w:szCs w:val="16"/>
        </w:rPr>
      </w:pPr>
      <w:r w:rsidRPr="00781112">
        <w:rPr>
          <w:rFonts w:cs="Arial"/>
          <w:i/>
          <w:iCs/>
          <w:color w:val="000000" w:themeColor="text1"/>
          <w:szCs w:val="16"/>
        </w:rPr>
        <w:t>Sampling </w:t>
      </w:r>
      <w:r w:rsidRPr="00781112">
        <w:rPr>
          <w:rFonts w:cs="Arial"/>
          <w:b/>
          <w:bCs/>
          <w:i/>
          <w:iCs/>
          <w:color w:val="000000" w:themeColor="text1"/>
          <w:szCs w:val="16"/>
        </w:rPr>
        <w:t>of parents from whom response is requested</w:t>
      </w:r>
      <w:r w:rsidRPr="00781112">
        <w:rPr>
          <w:rFonts w:cs="Arial"/>
          <w:i/>
          <w:iCs/>
          <w:color w:val="000000" w:themeColor="text1"/>
          <w:szCs w:val="16"/>
        </w:rPr>
        <w:t> is allowed.</w:t>
      </w:r>
      <w:r w:rsidRPr="00781112">
        <w:rPr>
          <w:rFonts w:cs="Arial"/>
          <w:color w:val="000000" w:themeColor="text1"/>
          <w:szCs w:val="16"/>
        </w:rPr>
        <w:t xml:space="preserve"> </w:t>
      </w:r>
      <w:r w:rsidRPr="00781112">
        <w:rPr>
          <w:rFonts w:cs="Arial"/>
          <w:i/>
          <w:iCs/>
          <w:color w:val="000000" w:themeColor="text1"/>
          <w:szCs w:val="16"/>
        </w:rPr>
        <w:t>When sampling is used, submit a description of the sampling methodology outlining how the design will yield valid and reliable estimates. (See </w:t>
      </w:r>
      <w:r w:rsidRPr="00781112">
        <w:rPr>
          <w:rFonts w:cs="Arial"/>
          <w:i/>
          <w:iCs/>
          <w:color w:val="000000" w:themeColor="text1"/>
          <w:szCs w:val="16"/>
          <w:u w:val="single"/>
        </w:rPr>
        <w:t>General Instructions</w:t>
      </w:r>
      <w:r w:rsidRPr="00781112">
        <w:rPr>
          <w:rFonts w:cs="Arial"/>
          <w:i/>
          <w:iCs/>
          <w:color w:val="000000" w:themeColor="text1"/>
          <w:szCs w:val="16"/>
        </w:rPr>
        <w:t xml:space="preserve"> on page </w:t>
      </w:r>
      <w:r w:rsidR="006170BD">
        <w:rPr>
          <w:rFonts w:cs="Arial"/>
          <w:i/>
          <w:iCs/>
          <w:color w:val="000000" w:themeColor="text1"/>
          <w:szCs w:val="16"/>
        </w:rPr>
        <w:t>3</w:t>
      </w:r>
      <w:r w:rsidRPr="00781112">
        <w:rPr>
          <w:rFonts w:cs="Arial"/>
          <w:i/>
          <w:iCs/>
          <w:color w:val="000000" w:themeColor="text1"/>
          <w:szCs w:val="16"/>
        </w:rPr>
        <w:t xml:space="preserve"> for additional instructions on sampling.)</w:t>
      </w:r>
    </w:p>
    <w:p w14:paraId="3EC08FBA" w14:textId="77777777" w:rsidR="002D7AD6" w:rsidRPr="00781112" w:rsidRDefault="002D7AD6" w:rsidP="00286BDF">
      <w:pPr>
        <w:rPr>
          <w:rFonts w:cs="Arial"/>
          <w:color w:val="000000" w:themeColor="text1"/>
          <w:szCs w:val="16"/>
        </w:rPr>
      </w:pPr>
      <w:r w:rsidRPr="00781112">
        <w:rPr>
          <w:rFonts w:cs="Arial"/>
          <w:color w:val="000000" w:themeColor="text1"/>
          <w:szCs w:val="16"/>
        </w:rPr>
        <w:t>Describe the results of the calculations and compare the results to the target.</w:t>
      </w:r>
    </w:p>
    <w:p w14:paraId="7C56A5AA" w14:textId="77777777" w:rsidR="002D7AD6" w:rsidRPr="00781112" w:rsidRDefault="002D7AD6" w:rsidP="00286BDF">
      <w:pPr>
        <w:rPr>
          <w:rFonts w:cs="Arial"/>
          <w:color w:val="000000" w:themeColor="text1"/>
          <w:szCs w:val="16"/>
        </w:rPr>
      </w:pPr>
      <w:r w:rsidRPr="00781112">
        <w:rPr>
          <w:rFonts w:cs="Arial"/>
          <w:color w:val="000000" w:themeColor="text1"/>
          <w:szCs w:val="16"/>
        </w:rPr>
        <w:t>Provide the actual numbers used in the calculation.</w:t>
      </w:r>
    </w:p>
    <w:p w14:paraId="231E5575" w14:textId="77777777" w:rsidR="002D7AD6" w:rsidRPr="00781112" w:rsidRDefault="002D7AD6" w:rsidP="00286BDF">
      <w:pPr>
        <w:rPr>
          <w:rFonts w:cs="Arial"/>
          <w:color w:val="000000" w:themeColor="text1"/>
          <w:szCs w:val="16"/>
        </w:rPr>
      </w:pPr>
      <w:r w:rsidRPr="00781112">
        <w:rPr>
          <w:rFonts w:cs="Arial"/>
          <w:color w:val="000000" w:themeColor="text1"/>
          <w:szCs w:val="16"/>
        </w:rPr>
        <w:t>If the State is using a separate data collection methodology for preschool children, the State must provide separate baseline data, targets, and actual target data or discuss the procedures used to combine data from school age and preschool data collection methodologies in a manner that is valid and reliable.</w:t>
      </w:r>
    </w:p>
    <w:p w14:paraId="5DC13627" w14:textId="77777777" w:rsidR="002D7AD6" w:rsidRPr="00781112" w:rsidRDefault="002D7AD6" w:rsidP="00286BDF">
      <w:pPr>
        <w:rPr>
          <w:rFonts w:cs="Arial"/>
          <w:color w:val="000000" w:themeColor="text1"/>
          <w:szCs w:val="16"/>
        </w:rPr>
      </w:pPr>
      <w:r w:rsidRPr="00781112">
        <w:rPr>
          <w:rFonts w:cs="Arial"/>
          <w:color w:val="000000" w:themeColor="text1"/>
          <w:szCs w:val="16"/>
        </w:rPr>
        <w:t>While a survey is not required for this indicator, a State using a survey must submit a copy of any new or revised survey with its SPP/APR.</w:t>
      </w:r>
    </w:p>
    <w:p w14:paraId="75233790" w14:textId="6A11D847" w:rsidR="004A6352" w:rsidRPr="00781112" w:rsidRDefault="002D7AD6" w:rsidP="004A6352">
      <w:pPr>
        <w:rPr>
          <w:rFonts w:cs="Arial"/>
          <w:szCs w:val="16"/>
        </w:rPr>
      </w:pPr>
      <w:r w:rsidRPr="00781112">
        <w:rPr>
          <w:rFonts w:cs="Arial"/>
          <w:color w:val="000000" w:themeColor="text1"/>
          <w:szCs w:val="16"/>
        </w:rPr>
        <w:t xml:space="preserve">Report the number of parents to whom the surveys were distributed </w:t>
      </w:r>
      <w:r w:rsidR="004A6352" w:rsidRPr="00781112">
        <w:rPr>
          <w:rFonts w:cs="Arial"/>
          <w:szCs w:val="16"/>
        </w:rPr>
        <w:t>and the number of respondent parents. The survey response rate is automatically calculated using the submitted data.</w:t>
      </w:r>
    </w:p>
    <w:p w14:paraId="4699B320" w14:textId="6AE8C10D" w:rsidR="009C74BD" w:rsidRDefault="009C74BD" w:rsidP="009C74BD">
      <w:pPr>
        <w:rPr>
          <w:rFonts w:cs="Arial"/>
          <w:szCs w:val="16"/>
        </w:rPr>
      </w:pPr>
      <w:r w:rsidRPr="00781112">
        <w:rPr>
          <w:rFonts w:cs="Arial"/>
          <w:szCs w:val="16"/>
        </w:rPr>
        <w:t>States must compare the response rate for the reporting year to the response rate for the previous year (e.g., in the FFY 2022 SPP/APR, compare the FFY 2022 response rate to the FFY 2021 response rate) and describe strategies that will be implemented which are expected to increase the response rate, particularly for those groups that are underrepresented.</w:t>
      </w:r>
    </w:p>
    <w:p w14:paraId="3BB52D43" w14:textId="77777777" w:rsidR="004D1797" w:rsidRPr="00BA3DBE" w:rsidRDefault="004D1797" w:rsidP="00BA3DBE">
      <w:pPr>
        <w:rPr>
          <w:rFonts w:cs="Arial"/>
          <w:color w:val="000000" w:themeColor="text1"/>
          <w:szCs w:val="16"/>
        </w:rPr>
      </w:pPr>
      <w:bookmarkStart w:id="44" w:name="_Hlk116647902"/>
      <w:r w:rsidRPr="00BA3DBE">
        <w:rPr>
          <w:rFonts w:cs="Arial"/>
          <w:color w:val="000000" w:themeColor="text1"/>
          <w:szCs w:val="16"/>
        </w:rPr>
        <w:t>The State must also analyze the response rate to identify potential nonresponse bias and take steps to reduce any identified bias and promote response from a broad cross-section of parents of children with disabilities.</w:t>
      </w:r>
    </w:p>
    <w:p w14:paraId="05793710" w14:textId="6D08B911" w:rsidR="006170BD" w:rsidRDefault="004D1797" w:rsidP="009C74BD">
      <w:proofErr w:type="gramStart"/>
      <w:r>
        <w:t>I</w:t>
      </w:r>
      <w:r w:rsidR="00DF5951">
        <w:t>nclude</w:t>
      </w:r>
      <w:proofErr w:type="gramEnd"/>
      <w:r w:rsidR="00DF5951">
        <w:t xml:space="preserve"> in the State’s analysis the extent to which the demographics of the children for whom parents responded are representative of the demographics of children receiving special education services. States must consider race/ethnicity. In addition, the State’s analysis must also include at least one of the following demographics: age of the student, disability category, gender, geographic location, and/or another demographic category approved through the stakeholder input process. </w:t>
      </w:r>
    </w:p>
    <w:p w14:paraId="4A1F1567" w14:textId="62D0F5F9" w:rsidR="00DF5951" w:rsidRDefault="00DF5951" w:rsidP="009C74BD">
      <w:r>
        <w:t xml:space="preserve">States must describe the metric used to determine representativeness (e.g., +/- 3% discrepancy in the proportion of responders compared to target group). </w:t>
      </w:r>
    </w:p>
    <w:p w14:paraId="64177BBB" w14:textId="77777777" w:rsidR="00DF5951" w:rsidRDefault="00DF5951" w:rsidP="009C74BD">
      <w:r>
        <w:t xml:space="preserve">If the analysis shows that the demographics of the children for whom parents responding are not representative of the demographics of children receiving special education services in the State, describe the strategies that the State will use to ensure that in the future the response data are representative of those demographics. In identifying such strategies, the State should consider factors such as how the State distributed the survey to parents (e.g., by mail, by e-mail, on-line, by telephone, in-person through school personnel), and how responses were collected. </w:t>
      </w:r>
    </w:p>
    <w:p w14:paraId="4D74BEFB" w14:textId="7AC91DF2" w:rsidR="00DF5951" w:rsidRPr="00781112" w:rsidRDefault="00DF5951" w:rsidP="009C74BD">
      <w:pPr>
        <w:rPr>
          <w:rFonts w:cs="Arial"/>
          <w:szCs w:val="16"/>
        </w:rPr>
      </w:pPr>
      <w:r>
        <w:t>States are encouraged to work in collaboration with their OSEP-funded parent centers in collecting data.</w:t>
      </w:r>
    </w:p>
    <w:bookmarkEnd w:id="44"/>
    <w:p w14:paraId="2EF00B98" w14:textId="1D44A6D0" w:rsidR="000B547A" w:rsidRPr="00781112" w:rsidRDefault="00752BAF" w:rsidP="008645AD">
      <w:pPr>
        <w:pStyle w:val="Heading2"/>
      </w:pPr>
      <w:r w:rsidRPr="00781112">
        <w:t>8</w:t>
      </w:r>
      <w:r w:rsidR="001F6BAA" w:rsidRPr="00781112">
        <w:t xml:space="preserve"> </w:t>
      </w:r>
      <w:r w:rsidRPr="00781112">
        <w:t xml:space="preserve">- </w:t>
      </w:r>
      <w:r w:rsidR="000B547A" w:rsidRPr="00781112">
        <w:t>Indicator Data</w:t>
      </w:r>
    </w:p>
    <w:tbl>
      <w:tblPr>
        <w:tblStyle w:val="TableGrid"/>
        <w:tblW w:w="10800" w:type="dxa"/>
        <w:tblLook w:val="04A0" w:firstRow="1" w:lastRow="0" w:firstColumn="1" w:lastColumn="0" w:noHBand="0" w:noVBand="1"/>
        <w:tblCaption w:val="B08INDDATA"/>
      </w:tblPr>
      <w:tblGrid>
        <w:gridCol w:w="8324"/>
        <w:gridCol w:w="2476"/>
      </w:tblGrid>
      <w:tr w:rsidR="005C29F8" w:rsidRPr="00781112" w14:paraId="74873645" w14:textId="77777777" w:rsidTr="0033429D">
        <w:trPr>
          <w:tblHeader/>
        </w:trPr>
        <w:tc>
          <w:tcPr>
            <w:tcW w:w="8324" w:type="dxa"/>
          </w:tcPr>
          <w:p w14:paraId="08995901" w14:textId="6A8EBD47" w:rsidR="000B547A" w:rsidRPr="00781112" w:rsidRDefault="002E111A" w:rsidP="00286BDF">
            <w:pPr>
              <w:rPr>
                <w:rFonts w:cs="Arial"/>
                <w:b/>
                <w:bCs/>
                <w:color w:val="000000" w:themeColor="text1"/>
                <w:szCs w:val="16"/>
              </w:rPr>
            </w:pPr>
            <w:r w:rsidRPr="00781112">
              <w:rPr>
                <w:rFonts w:cs="Arial"/>
                <w:b/>
                <w:bCs/>
                <w:color w:val="000000" w:themeColor="text1"/>
                <w:szCs w:val="16"/>
              </w:rPr>
              <w:t>Question</w:t>
            </w:r>
          </w:p>
        </w:tc>
        <w:tc>
          <w:tcPr>
            <w:tcW w:w="2476" w:type="dxa"/>
          </w:tcPr>
          <w:p w14:paraId="7DF826E5" w14:textId="55897261" w:rsidR="000B547A" w:rsidRPr="00781112" w:rsidRDefault="000B547A" w:rsidP="001011BB">
            <w:pPr>
              <w:jc w:val="center"/>
              <w:rPr>
                <w:rFonts w:cs="Arial"/>
                <w:b/>
                <w:color w:val="000000" w:themeColor="text1"/>
                <w:szCs w:val="16"/>
              </w:rPr>
            </w:pPr>
            <w:r w:rsidRPr="00781112">
              <w:rPr>
                <w:rFonts w:cs="Arial"/>
                <w:b/>
                <w:color w:val="000000" w:themeColor="text1"/>
                <w:szCs w:val="16"/>
              </w:rPr>
              <w:t xml:space="preserve">Yes / No </w:t>
            </w:r>
          </w:p>
        </w:tc>
      </w:tr>
      <w:tr w:rsidR="005C29F8" w:rsidRPr="00781112" w14:paraId="1461C216" w14:textId="7FAEFB03" w:rsidTr="00487CBD">
        <w:trPr>
          <w:trHeight w:val="215"/>
        </w:trPr>
        <w:tc>
          <w:tcPr>
            <w:tcW w:w="8324" w:type="dxa"/>
          </w:tcPr>
          <w:p w14:paraId="443084C1" w14:textId="2A55FAF5" w:rsidR="000B547A" w:rsidRPr="00781112" w:rsidRDefault="000B547A" w:rsidP="00286BDF">
            <w:pPr>
              <w:rPr>
                <w:rFonts w:cs="Arial"/>
                <w:color w:val="000000" w:themeColor="text1"/>
                <w:szCs w:val="16"/>
              </w:rPr>
            </w:pPr>
            <w:r w:rsidRPr="00781112">
              <w:rPr>
                <w:rFonts w:cs="Arial"/>
                <w:color w:val="000000" w:themeColor="text1"/>
                <w:szCs w:val="16"/>
              </w:rPr>
              <w:t xml:space="preserve">Do you use a separate data collection methodology for preschool children? </w:t>
            </w:r>
          </w:p>
        </w:tc>
        <w:tc>
          <w:tcPr>
            <w:tcW w:w="2476" w:type="dxa"/>
          </w:tcPr>
          <w:p w14:paraId="11B72775" w14:textId="3F895E29" w:rsidR="000B547A" w:rsidRPr="00781112" w:rsidRDefault="002B7490" w:rsidP="00A018D4">
            <w:pPr>
              <w:jc w:val="center"/>
              <w:rPr>
                <w:rFonts w:cs="Arial"/>
                <w:color w:val="000000" w:themeColor="text1"/>
                <w:szCs w:val="16"/>
              </w:rPr>
            </w:pPr>
            <w:r w:rsidRPr="00781112">
              <w:rPr>
                <w:rFonts w:cs="Arial"/>
                <w:color w:val="000000" w:themeColor="text1"/>
                <w:szCs w:val="16"/>
              </w:rPr>
              <w:t>NO</w:t>
            </w:r>
          </w:p>
        </w:tc>
      </w:tr>
    </w:tbl>
    <w:bookmarkEnd w:id="43"/>
    <w:p w14:paraId="4CE8E077" w14:textId="24912129" w:rsidR="00487CBD" w:rsidRPr="00781112" w:rsidRDefault="00487CBD" w:rsidP="00487CBD">
      <w:pPr>
        <w:rPr>
          <w:b/>
          <w:color w:val="000000" w:themeColor="text1"/>
        </w:rPr>
      </w:pPr>
      <w:r w:rsidRPr="00781112">
        <w:rPr>
          <w:b/>
          <w:color w:val="000000" w:themeColor="text1"/>
        </w:rPr>
        <w:t xml:space="preserve">Targets: Description of Stakeholder Input </w:t>
      </w:r>
    </w:p>
    <w:p w14:paraId="71AF2AFF" w14:textId="77777777" w:rsidR="00487CBD" w:rsidRPr="00781112" w:rsidRDefault="00487CBD" w:rsidP="00487CBD">
      <w:pPr>
        <w:rPr>
          <w:rFonts w:cs="Arial"/>
          <w:color w:val="000000" w:themeColor="text1"/>
          <w:szCs w:val="16"/>
        </w:rPr>
      </w:pPr>
      <w:r w:rsidRPr="00781112">
        <w:rPr>
          <w:rFonts w:cs="Arial"/>
          <w:color w:val="000000" w:themeColor="text1"/>
          <w:szCs w:val="16"/>
        </w:rPr>
        <w:t xml:space="preserve">For FFY 2022, CDE met with parent members of CSEAC's Student Outcomes Committee to analyze and evaluate progress of Indicator 8 data, discuss and request input on Indicator targets, parent survey data, response rate, representativeness, how the data can be used to improve outcomes, and how to ensure the needs of small or underrepresented communities are met. </w:t>
      </w:r>
      <w:r w:rsidRPr="00781112">
        <w:rPr>
          <w:rFonts w:cs="Arial"/>
          <w:color w:val="000000" w:themeColor="text1"/>
          <w:szCs w:val="16"/>
        </w:rPr>
        <w:br/>
      </w:r>
      <w:r w:rsidRPr="00781112">
        <w:rPr>
          <w:rFonts w:cs="Arial"/>
          <w:color w:val="000000" w:themeColor="text1"/>
          <w:szCs w:val="16"/>
        </w:rPr>
        <w:br/>
        <w:t xml:space="preserve">CDE met with parent and field members of CSEAC to review results and evaluate progress of all Indicators in the SPP/APR. </w:t>
      </w:r>
      <w:r w:rsidRPr="00781112">
        <w:rPr>
          <w:rFonts w:cs="Arial"/>
          <w:color w:val="000000" w:themeColor="text1"/>
          <w:szCs w:val="16"/>
        </w:rPr>
        <w:br/>
      </w:r>
      <w:r w:rsidRPr="00781112">
        <w:rPr>
          <w:rFonts w:cs="Arial"/>
          <w:color w:val="000000" w:themeColor="text1"/>
          <w:szCs w:val="16"/>
        </w:rPr>
        <w:br/>
        <w:t xml:space="preserve">Various CDE content experts present at the CDE sponsored Parent Encouraging Parents (PEP) conferences to provide families with information and opportunities to engage in discussions regarding special education services to build the capacity of a diverse group of parents to improve outcomes. </w:t>
      </w:r>
      <w:r w:rsidRPr="00781112">
        <w:rPr>
          <w:rFonts w:cs="Arial"/>
          <w:color w:val="000000" w:themeColor="text1"/>
          <w:szCs w:val="16"/>
        </w:rPr>
        <w:br/>
      </w:r>
      <w:r w:rsidRPr="00781112">
        <w:rPr>
          <w:rFonts w:cs="Arial"/>
          <w:color w:val="000000" w:themeColor="text1"/>
          <w:szCs w:val="16"/>
        </w:rPr>
        <w:br/>
        <w:t xml:space="preserve">CDE established and facilitates a task force comprised of members of Peak Parent Center, the Arc of Colorado, and parents to address equitable access concerns for family engagement and Alternate Dispute Resolution services. </w:t>
      </w:r>
      <w:r w:rsidRPr="00781112">
        <w:rPr>
          <w:rFonts w:cs="Arial"/>
          <w:color w:val="000000" w:themeColor="text1"/>
          <w:szCs w:val="16"/>
        </w:rPr>
        <w:br/>
        <w:t xml:space="preserve">CDE Parent Engagement team hosts Directors' Roundtable where directors and district representatives share strategies to improve parent survey response rates and outcomes. </w:t>
      </w:r>
      <w:r w:rsidRPr="00781112">
        <w:rPr>
          <w:rFonts w:cs="Arial"/>
          <w:color w:val="000000" w:themeColor="text1"/>
          <w:szCs w:val="16"/>
        </w:rPr>
        <w:br/>
        <w:t xml:space="preserve">CDE Parent Engagement team met with one of our largest metro </w:t>
      </w:r>
      <w:proofErr w:type="gramStart"/>
      <w:r w:rsidRPr="00781112">
        <w:rPr>
          <w:rFonts w:cs="Arial"/>
          <w:color w:val="000000" w:themeColor="text1"/>
          <w:szCs w:val="16"/>
        </w:rPr>
        <w:t>district</w:t>
      </w:r>
      <w:proofErr w:type="gramEnd"/>
      <w:r w:rsidRPr="00781112">
        <w:rPr>
          <w:rFonts w:cs="Arial"/>
          <w:color w:val="000000" w:themeColor="text1"/>
          <w:szCs w:val="16"/>
        </w:rPr>
        <w:t xml:space="preserve"> to discuss supporting Family Liaison Program and identified training opportunities in special education processes and engagement for the team of school-based liaisons. </w:t>
      </w:r>
      <w:r w:rsidRPr="00781112">
        <w:rPr>
          <w:rFonts w:cs="Arial"/>
          <w:color w:val="000000" w:themeColor="text1"/>
          <w:szCs w:val="16"/>
        </w:rPr>
        <w:br/>
      </w:r>
      <w:r w:rsidRPr="00781112">
        <w:rPr>
          <w:rFonts w:cs="Arial"/>
          <w:color w:val="000000" w:themeColor="text1"/>
          <w:szCs w:val="16"/>
        </w:rPr>
        <w:br/>
        <w:t>For FFY 2020, the following mechanisms were used to gather broad stakeholder input:</w:t>
      </w:r>
      <w:r w:rsidRPr="00781112">
        <w:rPr>
          <w:rFonts w:cs="Arial"/>
          <w:color w:val="000000" w:themeColor="text1"/>
          <w:szCs w:val="16"/>
        </w:rPr>
        <w:br/>
        <w:t>Identified CDE internal stakeholders and content experts for each indicator:</w:t>
      </w:r>
      <w:r w:rsidRPr="00781112">
        <w:rPr>
          <w:rFonts w:cs="Arial"/>
          <w:color w:val="000000" w:themeColor="text1"/>
          <w:szCs w:val="16"/>
        </w:rPr>
        <w:br/>
        <w:t>1. Scheduled meetings for each CDE internal stakeholder indicator team.</w:t>
      </w:r>
      <w:r w:rsidRPr="00781112">
        <w:rPr>
          <w:rFonts w:cs="Arial"/>
          <w:color w:val="000000" w:themeColor="text1"/>
          <w:szCs w:val="16"/>
        </w:rPr>
        <w:br/>
        <w:t>2. Met with each CDE stakeholder team, explain rules and parameters, Colorado history of indicator, past and current improvement strategies, facilitate discussion, and solicit feedback and develop options for each of the SPP/APR targets.</w:t>
      </w:r>
      <w:r w:rsidRPr="00781112">
        <w:rPr>
          <w:rFonts w:cs="Arial"/>
          <w:color w:val="000000" w:themeColor="text1"/>
          <w:szCs w:val="16"/>
        </w:rPr>
        <w:br/>
        <w:t>3. Met with each CDE stakeholder team to facilitate discussion and come to consensus on targets and improvement strategies to present to the external stakeholder groups.</w:t>
      </w:r>
      <w:r w:rsidRPr="00781112">
        <w:rPr>
          <w:rFonts w:cs="Arial"/>
          <w:color w:val="000000" w:themeColor="text1"/>
          <w:szCs w:val="16"/>
        </w:rPr>
        <w:br/>
        <w:t xml:space="preserve">4. Requested and collected improvement strategies for each indicator from each CDE internal stakeholder team. </w:t>
      </w:r>
      <w:r w:rsidRPr="00781112">
        <w:rPr>
          <w:rFonts w:cs="Arial"/>
          <w:color w:val="000000" w:themeColor="text1"/>
          <w:szCs w:val="16"/>
        </w:rPr>
        <w:br/>
      </w:r>
      <w:r w:rsidRPr="00781112">
        <w:rPr>
          <w:rFonts w:cs="Arial"/>
          <w:color w:val="000000" w:themeColor="text1"/>
          <w:szCs w:val="16"/>
        </w:rPr>
        <w:lastRenderedPageBreak/>
        <w:br/>
        <w:t>Built a survey to collect evidence and information from external stakeholder groups and the public to gain feedback on current SPP/APR indicators to collect the following data:</w:t>
      </w:r>
      <w:r w:rsidRPr="00781112">
        <w:rPr>
          <w:rFonts w:cs="Arial"/>
          <w:color w:val="000000" w:themeColor="text1"/>
          <w:szCs w:val="16"/>
        </w:rPr>
        <w:br/>
        <w:t xml:space="preserve">1. Are targets too high, too low, </w:t>
      </w:r>
      <w:proofErr w:type="gramStart"/>
      <w:r w:rsidRPr="00781112">
        <w:rPr>
          <w:rFonts w:cs="Arial"/>
          <w:color w:val="000000" w:themeColor="text1"/>
          <w:szCs w:val="16"/>
        </w:rPr>
        <w:t>just</w:t>
      </w:r>
      <w:proofErr w:type="gramEnd"/>
      <w:r w:rsidRPr="00781112">
        <w:rPr>
          <w:rFonts w:cs="Arial"/>
          <w:color w:val="000000" w:themeColor="text1"/>
          <w:szCs w:val="16"/>
        </w:rPr>
        <w:t xml:space="preserve"> right?</w:t>
      </w:r>
      <w:r w:rsidRPr="00781112">
        <w:rPr>
          <w:rFonts w:cs="Arial"/>
          <w:color w:val="000000" w:themeColor="text1"/>
          <w:szCs w:val="16"/>
        </w:rPr>
        <w:br/>
        <w:t>2. If the proposed improvement strategies are reasonably calculated to help Colorado reach the proposed targets?</w:t>
      </w:r>
      <w:r w:rsidRPr="00781112">
        <w:rPr>
          <w:rFonts w:cs="Arial"/>
          <w:color w:val="000000" w:themeColor="text1"/>
          <w:szCs w:val="16"/>
        </w:rPr>
        <w:br/>
        <w:t>3. Is the proposed choice of demographic category to be analyzed for representation an appropriate selection?</w:t>
      </w:r>
      <w:r w:rsidRPr="00781112">
        <w:rPr>
          <w:rFonts w:cs="Arial"/>
          <w:color w:val="000000" w:themeColor="text1"/>
          <w:szCs w:val="16"/>
        </w:rPr>
        <w:br/>
      </w:r>
      <w:r w:rsidRPr="00781112">
        <w:rPr>
          <w:rFonts w:cs="Arial"/>
          <w:color w:val="000000" w:themeColor="text1"/>
          <w:szCs w:val="16"/>
        </w:rPr>
        <w:br/>
      </w:r>
      <w:r w:rsidRPr="00781112">
        <w:rPr>
          <w:rFonts w:cs="Arial"/>
          <w:color w:val="000000" w:themeColor="text1"/>
          <w:szCs w:val="16"/>
        </w:rPr>
        <w:br/>
        <w:t>Built a web page to include:</w:t>
      </w:r>
      <w:r w:rsidRPr="00781112">
        <w:rPr>
          <w:rFonts w:cs="Arial"/>
          <w:color w:val="000000" w:themeColor="text1"/>
          <w:szCs w:val="16"/>
        </w:rPr>
        <w:br/>
        <w:t>1. basic information regarding the SPP/APR and the 6-year target resetting process.</w:t>
      </w:r>
      <w:r w:rsidRPr="00781112">
        <w:rPr>
          <w:rFonts w:cs="Arial"/>
          <w:color w:val="000000" w:themeColor="text1"/>
          <w:szCs w:val="16"/>
        </w:rPr>
        <w:br/>
        <w:t>2. asyncronys access to a series of webinars explaining each of the SPP/APR indicators, proposed targets, and improvement strategies.</w:t>
      </w:r>
      <w:r w:rsidRPr="00781112">
        <w:rPr>
          <w:rFonts w:cs="Arial"/>
          <w:color w:val="000000" w:themeColor="text1"/>
          <w:szCs w:val="16"/>
        </w:rPr>
        <w:br/>
        <w:t>3. a link to an indicator survey to gather information from the public during the comment period. This survey was designed to solicit the following information: (a) Are the proposed targets too high, too low, or appropriate? (b) Are the proposed improvement strategies reasonably calculated to help Colorado reach the proposed targets? (c) Is the proposed demographic group to be analyzed for representation an appropriate selection?</w:t>
      </w:r>
      <w:r w:rsidRPr="00781112">
        <w:rPr>
          <w:rFonts w:cs="Arial"/>
          <w:color w:val="000000" w:themeColor="text1"/>
          <w:szCs w:val="16"/>
        </w:rPr>
        <w:br/>
      </w:r>
      <w:r w:rsidRPr="00781112">
        <w:rPr>
          <w:rFonts w:cs="Arial"/>
          <w:color w:val="000000" w:themeColor="text1"/>
          <w:szCs w:val="16"/>
        </w:rPr>
        <w:br/>
        <w:t>Presented and requested input on agreed on targets and improvement strategies to the following indicator specific advisory councils: Preschool School Special Education Advisory Committee (PSSEAC), and the Secondary Transition Task Force Advisory Committee. Review and incorporate feedback into the final draft of the new targets and share proposed version with ESSU Executive Director for approval.</w:t>
      </w:r>
      <w:r w:rsidRPr="00781112">
        <w:rPr>
          <w:rFonts w:cs="Arial"/>
          <w:color w:val="000000" w:themeColor="text1"/>
          <w:szCs w:val="16"/>
        </w:rPr>
        <w:br/>
        <w:t>Presented proposed targets and gathered additional feedback to the following State advisory groups and advocacy groups: Colorado Special Education Advisory Committee (CSEAC) and Parent Partnerships for Equity Advisory Committee, The Arc of Colorado, PEAK Parent Center, and Disability Law Colorado.</w:t>
      </w:r>
      <w:r w:rsidRPr="00781112">
        <w:rPr>
          <w:rFonts w:cs="Arial"/>
          <w:color w:val="000000" w:themeColor="text1"/>
          <w:szCs w:val="16"/>
        </w:rPr>
        <w:br/>
        <w:t>Presented proposed targets for all indicators to Colorado LEA Special Education Directors.</w:t>
      </w:r>
      <w:r w:rsidRPr="00781112">
        <w:rPr>
          <w:rFonts w:cs="Arial"/>
          <w:color w:val="000000" w:themeColor="text1"/>
          <w:szCs w:val="16"/>
        </w:rPr>
        <w:br/>
        <w:t>Held a 2-month public comment period to solicit public comments through a broad CDE-wide communication plan made up of a dedicated webpage with short videos and surveys for each indicator, CDE Facebook page, CDE Twitter Account, a CDE webpage news story, CDE’s Weekly Newsletter, and notifications to our parent advocacy agencies.</w:t>
      </w:r>
      <w:r w:rsidRPr="00781112">
        <w:rPr>
          <w:rFonts w:cs="Arial"/>
          <w:color w:val="000000" w:themeColor="text1"/>
          <w:szCs w:val="16"/>
        </w:rPr>
        <w:br/>
        <w:t xml:space="preserve"> </w:t>
      </w:r>
      <w:r w:rsidRPr="00781112">
        <w:rPr>
          <w:rFonts w:cs="Arial"/>
          <w:color w:val="000000" w:themeColor="text1"/>
          <w:szCs w:val="16"/>
        </w:rPr>
        <w:br/>
        <w:t>Reviewed and considered public comments received through the indicator survey mechanism, finalize all targets with ESSU Executive Director, and published targets on CDE webpage.</w:t>
      </w:r>
      <w:r w:rsidRPr="00781112">
        <w:rPr>
          <w:rFonts w:cs="Arial"/>
          <w:color w:val="000000" w:themeColor="text1"/>
          <w:szCs w:val="16"/>
        </w:rPr>
        <w:br/>
      </w:r>
      <w:r w:rsidRPr="00781112">
        <w:rPr>
          <w:rFonts w:cs="Arial"/>
          <w:color w:val="000000" w:themeColor="text1"/>
          <w:szCs w:val="16"/>
        </w:rPr>
        <w:br/>
        <w:t xml:space="preserve">Also, 45 parent members were engaged in small group virtual presentations were held with parent members from each of these groups: the Colorado Special Education Advisory Committee (CSEAC), PEAK, The ARC of Colorado, Disability Law Colorado, Parent Partnerships for Equity, and the Preschool School Special Education Advisory Committee (PSSEAC). During these meetings, participants were encouraged to ask questions about the history and performance </w:t>
      </w:r>
      <w:proofErr w:type="gramStart"/>
      <w:r w:rsidRPr="00781112">
        <w:rPr>
          <w:rFonts w:cs="Arial"/>
          <w:color w:val="000000" w:themeColor="text1"/>
          <w:szCs w:val="16"/>
        </w:rPr>
        <w:t>on</w:t>
      </w:r>
      <w:proofErr w:type="gramEnd"/>
      <w:r w:rsidRPr="00781112">
        <w:rPr>
          <w:rFonts w:cs="Arial"/>
          <w:color w:val="000000" w:themeColor="text1"/>
          <w:szCs w:val="16"/>
        </w:rPr>
        <w:t xml:space="preserve"> each indicator and to complete the surveys for the indicators. Follow-up emails, with the link to the dedicated webpage, were sent to each group when the public comment period opened, so that they </w:t>
      </w:r>
      <w:proofErr w:type="gramStart"/>
      <w:r w:rsidRPr="00781112">
        <w:rPr>
          <w:rFonts w:cs="Arial"/>
          <w:color w:val="000000" w:themeColor="text1"/>
          <w:szCs w:val="16"/>
        </w:rPr>
        <w:t>can</w:t>
      </w:r>
      <w:proofErr w:type="gramEnd"/>
      <w:r w:rsidRPr="00781112">
        <w:rPr>
          <w:rFonts w:cs="Arial"/>
          <w:color w:val="000000" w:themeColor="text1"/>
          <w:szCs w:val="16"/>
        </w:rPr>
        <w:t xml:space="preserve"> share with their constituents.</w:t>
      </w:r>
    </w:p>
    <w:p w14:paraId="339F3968" w14:textId="6278D154" w:rsidR="008B600B" w:rsidRPr="00781112" w:rsidRDefault="008B600B" w:rsidP="004369B2">
      <w:pPr>
        <w:rPr>
          <w:rFonts w:cs="Arial"/>
          <w:color w:val="000000" w:themeColor="text1"/>
          <w:szCs w:val="16"/>
        </w:rPr>
      </w:pPr>
    </w:p>
    <w:p w14:paraId="39D78FC4" w14:textId="60D247B6" w:rsidR="00ED0065" w:rsidRPr="00781112" w:rsidRDefault="00ED0065" w:rsidP="004369B2">
      <w:pPr>
        <w:rPr>
          <w:b/>
          <w:color w:val="000000" w:themeColor="text1"/>
        </w:rPr>
      </w:pPr>
      <w:r w:rsidRPr="00781112">
        <w:rPr>
          <w:b/>
          <w:color w:val="000000" w:themeColor="text1"/>
        </w:rPr>
        <w:t>Historical Data</w:t>
      </w:r>
    </w:p>
    <w:tbl>
      <w:tblPr>
        <w:tblStyle w:val="TableGrid"/>
        <w:tblW w:w="0" w:type="auto"/>
        <w:tblLayout w:type="fixed"/>
        <w:tblLook w:val="04A0" w:firstRow="1" w:lastRow="0" w:firstColumn="1" w:lastColumn="0" w:noHBand="0" w:noVBand="1"/>
        <w:tblCaption w:val="B08BASELINEDATA"/>
      </w:tblPr>
      <w:tblGrid>
        <w:gridCol w:w="1797"/>
        <w:gridCol w:w="1798"/>
      </w:tblGrid>
      <w:tr w:rsidR="002E111A" w:rsidRPr="00781112" w14:paraId="4FD416E2" w14:textId="77777777" w:rsidTr="00123D76">
        <w:trPr>
          <w:trHeight w:val="311"/>
          <w:tblHeader/>
        </w:trPr>
        <w:tc>
          <w:tcPr>
            <w:tcW w:w="1797" w:type="dxa"/>
          </w:tcPr>
          <w:p w14:paraId="30EEE37E" w14:textId="77777777" w:rsidR="002E111A" w:rsidRPr="00781112" w:rsidRDefault="002E111A" w:rsidP="00123D76">
            <w:pPr>
              <w:jc w:val="center"/>
              <w:rPr>
                <w:b/>
                <w:color w:val="000000" w:themeColor="text1"/>
              </w:rPr>
            </w:pPr>
            <w:r w:rsidRPr="00781112">
              <w:rPr>
                <w:rFonts w:cs="Arial"/>
                <w:b/>
                <w:color w:val="000000" w:themeColor="text1"/>
                <w:szCs w:val="16"/>
              </w:rPr>
              <w:t>Baseline Year</w:t>
            </w:r>
          </w:p>
        </w:tc>
        <w:tc>
          <w:tcPr>
            <w:tcW w:w="1798" w:type="dxa"/>
          </w:tcPr>
          <w:p w14:paraId="579A26EC" w14:textId="77777777" w:rsidR="002E111A" w:rsidRPr="00781112" w:rsidRDefault="002E111A" w:rsidP="00123D76">
            <w:pPr>
              <w:jc w:val="center"/>
              <w:rPr>
                <w:b/>
                <w:color w:val="000000" w:themeColor="text1"/>
              </w:rPr>
            </w:pPr>
            <w:r w:rsidRPr="00781112">
              <w:rPr>
                <w:b/>
                <w:color w:val="000000" w:themeColor="text1"/>
              </w:rPr>
              <w:t>Baseline Data</w:t>
            </w:r>
          </w:p>
        </w:tc>
      </w:tr>
      <w:tr w:rsidR="002E111A" w:rsidRPr="00781112" w14:paraId="7FB18E4F" w14:textId="77777777" w:rsidTr="00123D76">
        <w:trPr>
          <w:trHeight w:val="311"/>
        </w:trPr>
        <w:tc>
          <w:tcPr>
            <w:tcW w:w="1797" w:type="dxa"/>
            <w:vAlign w:val="center"/>
          </w:tcPr>
          <w:p w14:paraId="167EAC34" w14:textId="69ED71A1" w:rsidR="002E111A" w:rsidRPr="00781112" w:rsidRDefault="002E111A" w:rsidP="00123D76">
            <w:pPr>
              <w:jc w:val="center"/>
              <w:rPr>
                <w:bCs/>
                <w:color w:val="000000" w:themeColor="text1"/>
              </w:rPr>
            </w:pPr>
            <w:r w:rsidRPr="00781112">
              <w:rPr>
                <w:bCs/>
                <w:color w:val="000000" w:themeColor="text1"/>
              </w:rPr>
              <w:t>2020</w:t>
            </w:r>
          </w:p>
        </w:tc>
        <w:tc>
          <w:tcPr>
            <w:tcW w:w="1798" w:type="dxa"/>
            <w:vAlign w:val="center"/>
          </w:tcPr>
          <w:p w14:paraId="14A1010A" w14:textId="403EDC7C" w:rsidR="002E111A" w:rsidRPr="00781112" w:rsidRDefault="002E111A" w:rsidP="00123D76">
            <w:pPr>
              <w:jc w:val="center"/>
              <w:rPr>
                <w:bCs/>
                <w:color w:val="000000" w:themeColor="text1"/>
              </w:rPr>
            </w:pPr>
            <w:r w:rsidRPr="00781112">
              <w:rPr>
                <w:bCs/>
                <w:color w:val="000000" w:themeColor="text1"/>
              </w:rPr>
              <w:t>82.19%</w:t>
            </w:r>
          </w:p>
        </w:tc>
      </w:tr>
    </w:tbl>
    <w:p w14:paraId="79684A14" w14:textId="77777777" w:rsidR="002E111A" w:rsidRPr="00781112" w:rsidRDefault="002E111A" w:rsidP="004369B2">
      <w:pPr>
        <w:rPr>
          <w:color w:val="000000" w:themeColor="text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B08HISTDATAOPT1"/>
      </w:tblPr>
      <w:tblGrid>
        <w:gridCol w:w="1798"/>
        <w:gridCol w:w="1798"/>
        <w:gridCol w:w="1798"/>
        <w:gridCol w:w="1798"/>
        <w:gridCol w:w="1798"/>
        <w:gridCol w:w="1800"/>
      </w:tblGrid>
      <w:tr w:rsidR="005C29F8" w:rsidRPr="00781112" w14:paraId="06FA8C8B" w14:textId="77777777" w:rsidTr="00C40E4D">
        <w:trPr>
          <w:trHeight w:val="287"/>
        </w:trPr>
        <w:tc>
          <w:tcPr>
            <w:tcW w:w="833" w:type="pct"/>
            <w:tcBorders>
              <w:bottom w:val="single" w:sz="4" w:space="0" w:color="auto"/>
            </w:tcBorders>
            <w:shd w:val="clear" w:color="auto" w:fill="auto"/>
          </w:tcPr>
          <w:p w14:paraId="31735078" w14:textId="77777777" w:rsidR="00FB6462" w:rsidRPr="00781112" w:rsidRDefault="00FB6462" w:rsidP="0033429D">
            <w:pPr>
              <w:jc w:val="center"/>
              <w:rPr>
                <w:rFonts w:cs="Arial"/>
                <w:b/>
                <w:color w:val="000000" w:themeColor="text1"/>
                <w:szCs w:val="16"/>
              </w:rPr>
            </w:pPr>
            <w:r w:rsidRPr="00781112">
              <w:rPr>
                <w:rFonts w:cs="Arial"/>
                <w:b/>
                <w:color w:val="000000" w:themeColor="text1"/>
                <w:szCs w:val="16"/>
              </w:rPr>
              <w:t>FFY</w:t>
            </w:r>
          </w:p>
        </w:tc>
        <w:tc>
          <w:tcPr>
            <w:tcW w:w="833" w:type="pct"/>
            <w:shd w:val="clear" w:color="auto" w:fill="auto"/>
          </w:tcPr>
          <w:p w14:paraId="2FE2E19D" w14:textId="1650DFDD" w:rsidR="00FB6462" w:rsidRPr="00781112" w:rsidRDefault="002B7490" w:rsidP="00DC263A">
            <w:pPr>
              <w:jc w:val="center"/>
              <w:rPr>
                <w:rFonts w:cs="Arial"/>
                <w:b/>
                <w:color w:val="000000" w:themeColor="text1"/>
                <w:szCs w:val="16"/>
              </w:rPr>
            </w:pPr>
            <w:r w:rsidRPr="00781112">
              <w:rPr>
                <w:rFonts w:cs="Arial"/>
                <w:b/>
                <w:color w:val="000000" w:themeColor="text1"/>
                <w:szCs w:val="16"/>
              </w:rPr>
              <w:t>2017</w:t>
            </w:r>
          </w:p>
        </w:tc>
        <w:tc>
          <w:tcPr>
            <w:tcW w:w="833" w:type="pct"/>
            <w:shd w:val="clear" w:color="auto" w:fill="auto"/>
          </w:tcPr>
          <w:p w14:paraId="2DF60B98" w14:textId="1CF7D6BE" w:rsidR="00FB6462" w:rsidRPr="00781112" w:rsidRDefault="002B7490" w:rsidP="00DC263A">
            <w:pPr>
              <w:keepNext/>
              <w:jc w:val="center"/>
              <w:rPr>
                <w:rFonts w:cs="Arial"/>
                <w:b/>
                <w:color w:val="000000" w:themeColor="text1"/>
                <w:szCs w:val="16"/>
              </w:rPr>
            </w:pPr>
            <w:r w:rsidRPr="00781112">
              <w:rPr>
                <w:rFonts w:cs="Arial"/>
                <w:b/>
                <w:color w:val="000000" w:themeColor="text1"/>
                <w:szCs w:val="16"/>
              </w:rPr>
              <w:t>2018</w:t>
            </w:r>
          </w:p>
        </w:tc>
        <w:tc>
          <w:tcPr>
            <w:tcW w:w="833" w:type="pct"/>
            <w:shd w:val="clear" w:color="auto" w:fill="auto"/>
          </w:tcPr>
          <w:p w14:paraId="53278B9A" w14:textId="6050DB27" w:rsidR="00FB6462" w:rsidRPr="00781112" w:rsidRDefault="002B7490" w:rsidP="00DC263A">
            <w:pPr>
              <w:jc w:val="center"/>
              <w:rPr>
                <w:rFonts w:cs="Arial"/>
                <w:b/>
                <w:color w:val="000000" w:themeColor="text1"/>
                <w:szCs w:val="16"/>
              </w:rPr>
            </w:pPr>
            <w:r w:rsidRPr="00781112">
              <w:rPr>
                <w:rFonts w:cs="Arial"/>
                <w:b/>
                <w:color w:val="000000" w:themeColor="text1"/>
                <w:szCs w:val="16"/>
              </w:rPr>
              <w:t>2019</w:t>
            </w:r>
          </w:p>
        </w:tc>
        <w:tc>
          <w:tcPr>
            <w:tcW w:w="833" w:type="pct"/>
            <w:shd w:val="clear" w:color="auto" w:fill="auto"/>
          </w:tcPr>
          <w:p w14:paraId="2F23746E" w14:textId="403244A2" w:rsidR="00FB6462" w:rsidRPr="00781112" w:rsidRDefault="002B7490" w:rsidP="00DC263A">
            <w:pPr>
              <w:jc w:val="center"/>
              <w:rPr>
                <w:rFonts w:cs="Arial"/>
                <w:b/>
                <w:color w:val="000000" w:themeColor="text1"/>
                <w:szCs w:val="16"/>
              </w:rPr>
            </w:pPr>
            <w:r w:rsidRPr="00781112">
              <w:rPr>
                <w:rFonts w:cs="Arial"/>
                <w:b/>
                <w:color w:val="000000" w:themeColor="text1"/>
                <w:szCs w:val="16"/>
              </w:rPr>
              <w:t>2020</w:t>
            </w:r>
          </w:p>
        </w:tc>
        <w:tc>
          <w:tcPr>
            <w:tcW w:w="834" w:type="pct"/>
            <w:shd w:val="clear" w:color="auto" w:fill="auto"/>
          </w:tcPr>
          <w:p w14:paraId="7E365F7F" w14:textId="686F85A1" w:rsidR="00FB6462" w:rsidRPr="00781112" w:rsidRDefault="002B7490" w:rsidP="00DC263A">
            <w:pPr>
              <w:jc w:val="center"/>
              <w:rPr>
                <w:rFonts w:cs="Arial"/>
                <w:b/>
                <w:color w:val="000000" w:themeColor="text1"/>
                <w:szCs w:val="16"/>
              </w:rPr>
            </w:pPr>
            <w:r w:rsidRPr="00781112">
              <w:rPr>
                <w:rFonts w:cs="Arial"/>
                <w:b/>
                <w:color w:val="000000" w:themeColor="text1"/>
                <w:szCs w:val="16"/>
              </w:rPr>
              <w:t>2021</w:t>
            </w:r>
          </w:p>
        </w:tc>
      </w:tr>
      <w:tr w:rsidR="005C29F8" w:rsidRPr="00781112" w14:paraId="040D0378" w14:textId="77777777" w:rsidTr="00C40E4D">
        <w:trPr>
          <w:trHeight w:val="357"/>
        </w:trPr>
        <w:tc>
          <w:tcPr>
            <w:tcW w:w="833" w:type="pct"/>
            <w:shd w:val="clear" w:color="auto" w:fill="auto"/>
          </w:tcPr>
          <w:p w14:paraId="54EE5848" w14:textId="7260CA74" w:rsidR="00FB6462" w:rsidRPr="00781112" w:rsidRDefault="00FB6462" w:rsidP="00BA3DBE">
            <w:pPr>
              <w:jc w:val="center"/>
              <w:rPr>
                <w:rFonts w:cs="Arial"/>
                <w:color w:val="000000" w:themeColor="text1"/>
                <w:szCs w:val="16"/>
              </w:rPr>
            </w:pPr>
            <w:r w:rsidRPr="00781112">
              <w:rPr>
                <w:rFonts w:cs="Arial"/>
                <w:color w:val="000000" w:themeColor="text1"/>
                <w:szCs w:val="16"/>
              </w:rPr>
              <w:t>Target &gt;=</w:t>
            </w:r>
          </w:p>
        </w:tc>
        <w:tc>
          <w:tcPr>
            <w:tcW w:w="833" w:type="pct"/>
            <w:shd w:val="clear" w:color="auto" w:fill="auto"/>
          </w:tcPr>
          <w:p w14:paraId="56BDAD4D" w14:textId="1C7EF6C0" w:rsidR="00FB6462" w:rsidRPr="00781112" w:rsidRDefault="002B7490" w:rsidP="00A018D4">
            <w:pPr>
              <w:jc w:val="center"/>
              <w:rPr>
                <w:rFonts w:cs="Arial"/>
                <w:color w:val="000000" w:themeColor="text1"/>
                <w:szCs w:val="16"/>
              </w:rPr>
            </w:pPr>
            <w:r w:rsidRPr="00781112">
              <w:rPr>
                <w:rFonts w:cs="Arial"/>
                <w:color w:val="000000" w:themeColor="text1"/>
                <w:szCs w:val="16"/>
              </w:rPr>
              <w:t>58.00%</w:t>
            </w:r>
          </w:p>
        </w:tc>
        <w:tc>
          <w:tcPr>
            <w:tcW w:w="833" w:type="pct"/>
            <w:shd w:val="clear" w:color="auto" w:fill="auto"/>
          </w:tcPr>
          <w:p w14:paraId="45AE596F" w14:textId="6983147C" w:rsidR="00FB6462" w:rsidRPr="00781112" w:rsidRDefault="002B7490" w:rsidP="00A018D4">
            <w:pPr>
              <w:jc w:val="center"/>
              <w:rPr>
                <w:rFonts w:cs="Arial"/>
                <w:color w:val="000000" w:themeColor="text1"/>
                <w:szCs w:val="16"/>
              </w:rPr>
            </w:pPr>
            <w:r w:rsidRPr="00781112">
              <w:rPr>
                <w:rFonts w:cs="Arial"/>
                <w:color w:val="000000" w:themeColor="text1"/>
                <w:szCs w:val="16"/>
              </w:rPr>
              <w:t>60.00%</w:t>
            </w:r>
          </w:p>
        </w:tc>
        <w:tc>
          <w:tcPr>
            <w:tcW w:w="833" w:type="pct"/>
            <w:shd w:val="clear" w:color="auto" w:fill="auto"/>
            <w:vAlign w:val="center"/>
          </w:tcPr>
          <w:p w14:paraId="4CA9D7D5" w14:textId="26724736" w:rsidR="00FB6462" w:rsidRPr="00781112" w:rsidRDefault="002B7490" w:rsidP="00A018D4">
            <w:pPr>
              <w:jc w:val="center"/>
              <w:rPr>
                <w:rFonts w:cs="Arial"/>
                <w:color w:val="000000" w:themeColor="text1"/>
                <w:szCs w:val="16"/>
              </w:rPr>
            </w:pPr>
            <w:r w:rsidRPr="00781112">
              <w:rPr>
                <w:rFonts w:cs="Arial"/>
                <w:color w:val="000000" w:themeColor="text1"/>
                <w:szCs w:val="16"/>
              </w:rPr>
              <w:t>60.00%</w:t>
            </w:r>
          </w:p>
        </w:tc>
        <w:tc>
          <w:tcPr>
            <w:tcW w:w="833" w:type="pct"/>
            <w:shd w:val="clear" w:color="auto" w:fill="auto"/>
            <w:vAlign w:val="center"/>
          </w:tcPr>
          <w:p w14:paraId="2AC9DE6C" w14:textId="662D879E" w:rsidR="00FB6462" w:rsidRPr="00781112" w:rsidRDefault="002B7490" w:rsidP="00A018D4">
            <w:pPr>
              <w:jc w:val="center"/>
              <w:rPr>
                <w:rFonts w:cs="Arial"/>
                <w:color w:val="000000" w:themeColor="text1"/>
                <w:szCs w:val="16"/>
              </w:rPr>
            </w:pPr>
            <w:r w:rsidRPr="00781112">
              <w:rPr>
                <w:rFonts w:cs="Arial"/>
                <w:color w:val="000000" w:themeColor="text1"/>
                <w:szCs w:val="16"/>
              </w:rPr>
              <w:t>82.19%</w:t>
            </w:r>
          </w:p>
        </w:tc>
        <w:tc>
          <w:tcPr>
            <w:tcW w:w="834" w:type="pct"/>
            <w:shd w:val="clear" w:color="auto" w:fill="auto"/>
            <w:vAlign w:val="center"/>
          </w:tcPr>
          <w:p w14:paraId="1D66991F" w14:textId="5308C1A9" w:rsidR="00FB6462" w:rsidRPr="00781112" w:rsidRDefault="002B7490" w:rsidP="00A018D4">
            <w:pPr>
              <w:jc w:val="center"/>
              <w:rPr>
                <w:rFonts w:cs="Arial"/>
                <w:color w:val="000000" w:themeColor="text1"/>
                <w:szCs w:val="16"/>
              </w:rPr>
            </w:pPr>
            <w:r w:rsidRPr="00781112">
              <w:rPr>
                <w:rFonts w:cs="Arial"/>
                <w:color w:val="000000" w:themeColor="text1"/>
                <w:szCs w:val="16"/>
              </w:rPr>
              <w:t>82.19%</w:t>
            </w:r>
          </w:p>
        </w:tc>
      </w:tr>
      <w:tr w:rsidR="005C29F8" w:rsidRPr="00781112" w14:paraId="0983C602" w14:textId="77777777" w:rsidTr="00C40E4D">
        <w:trPr>
          <w:trHeight w:val="85"/>
        </w:trPr>
        <w:tc>
          <w:tcPr>
            <w:tcW w:w="833" w:type="pct"/>
            <w:shd w:val="clear" w:color="auto" w:fill="auto"/>
          </w:tcPr>
          <w:p w14:paraId="024AD7D5" w14:textId="77777777" w:rsidR="00FB6462" w:rsidRPr="00781112" w:rsidRDefault="00FB6462" w:rsidP="00BA3DBE">
            <w:pPr>
              <w:jc w:val="center"/>
              <w:rPr>
                <w:rFonts w:cs="Arial"/>
                <w:color w:val="000000" w:themeColor="text1"/>
                <w:szCs w:val="16"/>
              </w:rPr>
            </w:pPr>
            <w:r w:rsidRPr="00781112">
              <w:rPr>
                <w:rFonts w:cs="Arial"/>
                <w:color w:val="000000" w:themeColor="text1"/>
                <w:szCs w:val="16"/>
              </w:rPr>
              <w:t>Data</w:t>
            </w:r>
          </w:p>
        </w:tc>
        <w:tc>
          <w:tcPr>
            <w:tcW w:w="833" w:type="pct"/>
            <w:shd w:val="clear" w:color="auto" w:fill="auto"/>
          </w:tcPr>
          <w:p w14:paraId="0C46B390" w14:textId="75A5B1D9" w:rsidR="00FB6462" w:rsidRPr="00781112" w:rsidRDefault="002B7490" w:rsidP="00A018D4">
            <w:pPr>
              <w:jc w:val="center"/>
              <w:rPr>
                <w:rFonts w:cs="Arial"/>
                <w:color w:val="000000" w:themeColor="text1"/>
                <w:szCs w:val="16"/>
              </w:rPr>
            </w:pPr>
            <w:r w:rsidRPr="00781112">
              <w:rPr>
                <w:rFonts w:cs="Arial"/>
                <w:color w:val="000000" w:themeColor="text1"/>
                <w:szCs w:val="16"/>
              </w:rPr>
              <w:t>71.37%</w:t>
            </w:r>
          </w:p>
        </w:tc>
        <w:tc>
          <w:tcPr>
            <w:tcW w:w="833" w:type="pct"/>
            <w:shd w:val="clear" w:color="auto" w:fill="auto"/>
          </w:tcPr>
          <w:p w14:paraId="0F636319" w14:textId="7C4BA9E9" w:rsidR="00FB6462" w:rsidRPr="00781112" w:rsidRDefault="002B7490" w:rsidP="00A018D4">
            <w:pPr>
              <w:jc w:val="center"/>
              <w:rPr>
                <w:rFonts w:cs="Arial"/>
                <w:color w:val="000000" w:themeColor="text1"/>
                <w:szCs w:val="16"/>
              </w:rPr>
            </w:pPr>
            <w:r w:rsidRPr="00781112">
              <w:rPr>
                <w:rFonts w:cs="Arial"/>
                <w:color w:val="000000" w:themeColor="text1"/>
                <w:szCs w:val="16"/>
              </w:rPr>
              <w:t>77.79%</w:t>
            </w:r>
          </w:p>
        </w:tc>
        <w:tc>
          <w:tcPr>
            <w:tcW w:w="833" w:type="pct"/>
            <w:tcBorders>
              <w:bottom w:val="single" w:sz="4" w:space="0" w:color="auto"/>
            </w:tcBorders>
            <w:shd w:val="clear" w:color="auto" w:fill="auto"/>
            <w:vAlign w:val="center"/>
          </w:tcPr>
          <w:p w14:paraId="72DD8100" w14:textId="2078A0DC" w:rsidR="00FB6462" w:rsidRPr="00781112" w:rsidRDefault="002B7490" w:rsidP="00A018D4">
            <w:pPr>
              <w:jc w:val="center"/>
              <w:rPr>
                <w:rFonts w:cs="Arial"/>
                <w:color w:val="000000" w:themeColor="text1"/>
                <w:szCs w:val="16"/>
              </w:rPr>
            </w:pPr>
            <w:r w:rsidRPr="00781112">
              <w:rPr>
                <w:rFonts w:cs="Arial"/>
                <w:color w:val="000000" w:themeColor="text1"/>
                <w:szCs w:val="16"/>
              </w:rPr>
              <w:t>87.36%</w:t>
            </w:r>
          </w:p>
        </w:tc>
        <w:tc>
          <w:tcPr>
            <w:tcW w:w="833" w:type="pct"/>
            <w:tcBorders>
              <w:bottom w:val="single" w:sz="4" w:space="0" w:color="auto"/>
            </w:tcBorders>
            <w:shd w:val="clear" w:color="auto" w:fill="auto"/>
            <w:vAlign w:val="center"/>
          </w:tcPr>
          <w:p w14:paraId="36AAC02B" w14:textId="31D6381A" w:rsidR="00FB6462" w:rsidRPr="00781112" w:rsidRDefault="002B7490" w:rsidP="00A018D4">
            <w:pPr>
              <w:jc w:val="center"/>
              <w:rPr>
                <w:rFonts w:cs="Arial"/>
                <w:color w:val="000000" w:themeColor="text1"/>
                <w:szCs w:val="16"/>
              </w:rPr>
            </w:pPr>
            <w:r w:rsidRPr="00781112">
              <w:rPr>
                <w:rFonts w:cs="Arial"/>
                <w:color w:val="000000" w:themeColor="text1"/>
                <w:szCs w:val="16"/>
              </w:rPr>
              <w:t>82.19%</w:t>
            </w:r>
          </w:p>
        </w:tc>
        <w:tc>
          <w:tcPr>
            <w:tcW w:w="834" w:type="pct"/>
            <w:tcBorders>
              <w:bottom w:val="single" w:sz="4" w:space="0" w:color="auto"/>
            </w:tcBorders>
            <w:shd w:val="clear" w:color="auto" w:fill="auto"/>
            <w:vAlign w:val="center"/>
          </w:tcPr>
          <w:p w14:paraId="4F9B07B7" w14:textId="7D67594F" w:rsidR="00FB6462" w:rsidRPr="00781112" w:rsidRDefault="002B7490" w:rsidP="00A018D4">
            <w:pPr>
              <w:jc w:val="center"/>
              <w:rPr>
                <w:rFonts w:cs="Arial"/>
                <w:color w:val="000000" w:themeColor="text1"/>
                <w:szCs w:val="16"/>
              </w:rPr>
            </w:pPr>
            <w:r w:rsidRPr="00781112">
              <w:rPr>
                <w:rFonts w:cs="Arial"/>
                <w:color w:val="000000" w:themeColor="text1"/>
                <w:szCs w:val="16"/>
              </w:rPr>
              <w:t>78.59%</w:t>
            </w:r>
          </w:p>
        </w:tc>
      </w:tr>
    </w:tbl>
    <w:p w14:paraId="0E2D4617" w14:textId="77777777" w:rsidR="000417B4" w:rsidRPr="00781112" w:rsidRDefault="000417B4" w:rsidP="004369B2">
      <w:pPr>
        <w:rPr>
          <w:color w:val="000000" w:themeColor="text1"/>
        </w:rPr>
      </w:pPr>
    </w:p>
    <w:p w14:paraId="1F4FFBFE" w14:textId="308C372B" w:rsidR="00FB6462" w:rsidRPr="00781112" w:rsidRDefault="00FB6462" w:rsidP="004369B2">
      <w:pPr>
        <w:rPr>
          <w:color w:val="000000" w:themeColor="text1"/>
        </w:rPr>
      </w:pPr>
      <w:r w:rsidRPr="00781112">
        <w:rPr>
          <w:b/>
          <w:color w:val="000000" w:themeColor="text1"/>
        </w:rPr>
        <w:t>Targets</w:t>
      </w:r>
    </w:p>
    <w:tbl>
      <w:tblPr>
        <w:tblW w:w="347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B08TARGETSOPT1"/>
      </w:tblPr>
      <w:tblGrid>
        <w:gridCol w:w="898"/>
        <w:gridCol w:w="1650"/>
        <w:gridCol w:w="1652"/>
        <w:gridCol w:w="1652"/>
        <w:gridCol w:w="1649"/>
      </w:tblGrid>
      <w:tr w:rsidR="00B67FCE" w:rsidRPr="00781112" w14:paraId="77450D85" w14:textId="217C23D8" w:rsidTr="00845B9B">
        <w:trPr>
          <w:trHeight w:val="242"/>
        </w:trPr>
        <w:tc>
          <w:tcPr>
            <w:tcW w:w="599" w:type="pct"/>
            <w:tcBorders>
              <w:bottom w:val="single" w:sz="4" w:space="0" w:color="auto"/>
            </w:tcBorders>
            <w:shd w:val="clear" w:color="auto" w:fill="auto"/>
            <w:vAlign w:val="center"/>
          </w:tcPr>
          <w:p w14:paraId="5A82FAC4" w14:textId="77777777" w:rsidR="00B67FCE" w:rsidRPr="003F088A" w:rsidRDefault="00B67FCE" w:rsidP="00AD5583">
            <w:pPr>
              <w:jc w:val="center"/>
              <w:rPr>
                <w:rFonts w:cs="Arial"/>
                <w:b/>
                <w:color w:val="000000" w:themeColor="text1"/>
                <w:szCs w:val="16"/>
              </w:rPr>
            </w:pPr>
            <w:r w:rsidRPr="003F088A">
              <w:rPr>
                <w:rFonts w:cs="Arial"/>
                <w:b/>
                <w:color w:val="000000" w:themeColor="text1"/>
                <w:szCs w:val="16"/>
              </w:rPr>
              <w:t>FFY</w:t>
            </w:r>
          </w:p>
        </w:tc>
        <w:tc>
          <w:tcPr>
            <w:tcW w:w="1100" w:type="pct"/>
            <w:shd w:val="clear" w:color="auto" w:fill="auto"/>
            <w:vAlign w:val="center"/>
          </w:tcPr>
          <w:p w14:paraId="6DDB1395" w14:textId="489E70A4" w:rsidR="00B67FCE" w:rsidRPr="003F088A" w:rsidRDefault="00B67FCE" w:rsidP="00AD5583">
            <w:pPr>
              <w:jc w:val="center"/>
              <w:rPr>
                <w:rFonts w:cs="Arial"/>
                <w:b/>
                <w:color w:val="000000" w:themeColor="text1"/>
                <w:szCs w:val="16"/>
              </w:rPr>
            </w:pPr>
            <w:r w:rsidRPr="003F088A">
              <w:rPr>
                <w:rFonts w:cs="Arial"/>
                <w:b/>
                <w:color w:val="000000" w:themeColor="text1"/>
                <w:szCs w:val="16"/>
              </w:rPr>
              <w:t>2022</w:t>
            </w:r>
          </w:p>
        </w:tc>
        <w:tc>
          <w:tcPr>
            <w:tcW w:w="1101" w:type="pct"/>
            <w:vAlign w:val="center"/>
          </w:tcPr>
          <w:p w14:paraId="3277D8E8" w14:textId="4A05E6F6" w:rsidR="00B67FCE" w:rsidRPr="003F088A" w:rsidRDefault="00B67FCE" w:rsidP="00730C62">
            <w:pPr>
              <w:jc w:val="center"/>
              <w:rPr>
                <w:rFonts w:cs="Arial"/>
                <w:b/>
                <w:color w:val="000000" w:themeColor="text1"/>
                <w:szCs w:val="16"/>
              </w:rPr>
            </w:pPr>
            <w:r w:rsidRPr="00781112">
              <w:rPr>
                <w:rFonts w:cs="Arial"/>
                <w:b/>
                <w:color w:val="000000" w:themeColor="text1"/>
                <w:szCs w:val="16"/>
              </w:rPr>
              <w:t>2023</w:t>
            </w:r>
          </w:p>
        </w:tc>
        <w:tc>
          <w:tcPr>
            <w:tcW w:w="1101" w:type="pct"/>
            <w:vAlign w:val="center"/>
          </w:tcPr>
          <w:p w14:paraId="3AC9106D" w14:textId="5F7A56D0" w:rsidR="00B67FCE" w:rsidRPr="003F088A" w:rsidRDefault="00B67FCE" w:rsidP="00730C62">
            <w:pPr>
              <w:jc w:val="center"/>
              <w:rPr>
                <w:rFonts w:cs="Arial"/>
                <w:b/>
                <w:color w:val="000000" w:themeColor="text1"/>
                <w:szCs w:val="16"/>
              </w:rPr>
            </w:pPr>
            <w:r w:rsidRPr="00781112">
              <w:rPr>
                <w:rFonts w:cs="Arial"/>
                <w:b/>
                <w:color w:val="000000" w:themeColor="text1"/>
                <w:szCs w:val="16"/>
              </w:rPr>
              <w:t>2024</w:t>
            </w:r>
          </w:p>
        </w:tc>
        <w:tc>
          <w:tcPr>
            <w:tcW w:w="1101" w:type="pct"/>
            <w:vAlign w:val="center"/>
          </w:tcPr>
          <w:p w14:paraId="4E87FEC3" w14:textId="73615588" w:rsidR="00B67FCE" w:rsidRPr="003F088A" w:rsidRDefault="00B67FCE" w:rsidP="00730C62">
            <w:pPr>
              <w:jc w:val="center"/>
              <w:rPr>
                <w:rFonts w:cs="Arial"/>
                <w:b/>
                <w:color w:val="000000" w:themeColor="text1"/>
                <w:szCs w:val="16"/>
              </w:rPr>
            </w:pPr>
            <w:r w:rsidRPr="00781112">
              <w:rPr>
                <w:rFonts w:cs="Arial"/>
                <w:b/>
                <w:color w:val="000000" w:themeColor="text1"/>
                <w:szCs w:val="16"/>
              </w:rPr>
              <w:t>2025</w:t>
            </w:r>
          </w:p>
        </w:tc>
      </w:tr>
      <w:tr w:rsidR="00B67FCE" w:rsidRPr="00781112" w14:paraId="50A2A35E" w14:textId="13C4D5C2" w:rsidTr="00845B9B">
        <w:trPr>
          <w:trHeight w:val="370"/>
        </w:trPr>
        <w:tc>
          <w:tcPr>
            <w:tcW w:w="599" w:type="pct"/>
            <w:shd w:val="clear" w:color="auto" w:fill="auto"/>
          </w:tcPr>
          <w:p w14:paraId="2F249DEE" w14:textId="4AA3473F" w:rsidR="00B67FCE" w:rsidRPr="00781112" w:rsidRDefault="00B67FCE" w:rsidP="00BA3DBE">
            <w:pPr>
              <w:jc w:val="center"/>
              <w:rPr>
                <w:rFonts w:cs="Arial"/>
                <w:color w:val="000000" w:themeColor="text1"/>
                <w:szCs w:val="16"/>
              </w:rPr>
            </w:pPr>
            <w:r w:rsidRPr="00781112">
              <w:rPr>
                <w:rFonts w:cs="Arial"/>
                <w:color w:val="000000" w:themeColor="text1"/>
                <w:szCs w:val="16"/>
              </w:rPr>
              <w:t>Target &gt;=</w:t>
            </w:r>
          </w:p>
        </w:tc>
        <w:tc>
          <w:tcPr>
            <w:tcW w:w="1100" w:type="pct"/>
            <w:shd w:val="clear" w:color="auto" w:fill="auto"/>
            <w:vAlign w:val="center"/>
          </w:tcPr>
          <w:p w14:paraId="2ACB7B9E" w14:textId="427B5E78" w:rsidR="00B67FCE" w:rsidRPr="00781112" w:rsidRDefault="00B67FCE" w:rsidP="00AD5583">
            <w:pPr>
              <w:jc w:val="center"/>
              <w:rPr>
                <w:rFonts w:cs="Arial"/>
                <w:color w:val="000000" w:themeColor="text1"/>
                <w:szCs w:val="16"/>
              </w:rPr>
            </w:pPr>
            <w:r w:rsidRPr="00781112">
              <w:rPr>
                <w:rFonts w:cs="Arial"/>
                <w:color w:val="000000" w:themeColor="text1"/>
                <w:szCs w:val="16"/>
              </w:rPr>
              <w:t>82.19%</w:t>
            </w:r>
          </w:p>
        </w:tc>
        <w:tc>
          <w:tcPr>
            <w:tcW w:w="1101" w:type="pct"/>
          </w:tcPr>
          <w:p w14:paraId="01493DF6" w14:textId="39FAD961" w:rsidR="00B67FCE" w:rsidRPr="00781112" w:rsidRDefault="00B67FCE" w:rsidP="00AD5583">
            <w:pPr>
              <w:spacing w:before="0" w:after="200" w:line="276" w:lineRule="auto"/>
            </w:pPr>
            <w:r w:rsidRPr="00781112">
              <w:rPr>
                <w:color w:val="000000" w:themeColor="text1"/>
                <w:szCs w:val="16"/>
              </w:rPr>
              <w:t>82.19%</w:t>
            </w:r>
          </w:p>
        </w:tc>
        <w:tc>
          <w:tcPr>
            <w:tcW w:w="1101" w:type="pct"/>
          </w:tcPr>
          <w:p w14:paraId="71DAA89B" w14:textId="5FDD553A" w:rsidR="00B67FCE" w:rsidRPr="00781112" w:rsidRDefault="00B67FCE" w:rsidP="00AD5583">
            <w:pPr>
              <w:spacing w:before="0" w:after="200" w:line="276" w:lineRule="auto"/>
            </w:pPr>
            <w:r w:rsidRPr="00781112">
              <w:rPr>
                <w:color w:val="000000" w:themeColor="text1"/>
                <w:szCs w:val="16"/>
              </w:rPr>
              <w:t>82.19%</w:t>
            </w:r>
          </w:p>
        </w:tc>
        <w:tc>
          <w:tcPr>
            <w:tcW w:w="1101" w:type="pct"/>
          </w:tcPr>
          <w:p w14:paraId="6C8342E2" w14:textId="3FBC30A4" w:rsidR="00B67FCE" w:rsidRPr="00781112" w:rsidRDefault="00B67FCE" w:rsidP="00AD5583">
            <w:pPr>
              <w:spacing w:before="0" w:after="200" w:line="276" w:lineRule="auto"/>
            </w:pPr>
            <w:r w:rsidRPr="00781112">
              <w:rPr>
                <w:color w:val="000000" w:themeColor="text1"/>
                <w:szCs w:val="16"/>
              </w:rPr>
              <w:t>82.20%</w:t>
            </w:r>
          </w:p>
        </w:tc>
      </w:tr>
    </w:tbl>
    <w:p w14:paraId="68BCE5ED" w14:textId="77777777" w:rsidR="007E2779" w:rsidRPr="00781112" w:rsidRDefault="007E2779" w:rsidP="000A2C83">
      <w:pPr>
        <w:rPr>
          <w:rFonts w:cs="Arial"/>
          <w:color w:val="000000" w:themeColor="text1"/>
          <w:szCs w:val="16"/>
        </w:rPr>
      </w:pPr>
    </w:p>
    <w:p w14:paraId="15954908" w14:textId="6F1B009A" w:rsidR="00FB6462" w:rsidRPr="00781112" w:rsidRDefault="0047313F" w:rsidP="004369B2">
      <w:pPr>
        <w:rPr>
          <w:color w:val="000000" w:themeColor="text1"/>
        </w:rPr>
      </w:pPr>
      <w:r>
        <w:rPr>
          <w:b/>
          <w:color w:val="000000" w:themeColor="text1"/>
        </w:rPr>
        <w:t>FFY 2022 SPP/APR Data</w:t>
      </w:r>
    </w:p>
    <w:tbl>
      <w:tblPr>
        <w:tblW w:w="500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B08CFFYAPRDATAOPT1"/>
      </w:tblPr>
      <w:tblGrid>
        <w:gridCol w:w="2701"/>
        <w:gridCol w:w="1455"/>
        <w:gridCol w:w="1170"/>
        <w:gridCol w:w="1440"/>
        <w:gridCol w:w="1170"/>
        <w:gridCol w:w="1349"/>
        <w:gridCol w:w="1509"/>
      </w:tblGrid>
      <w:tr w:rsidR="00206A65" w:rsidRPr="00781112" w14:paraId="2A3467FD" w14:textId="77777777" w:rsidTr="00AB0D6A">
        <w:trPr>
          <w:trHeight w:val="368"/>
          <w:tblHeader/>
        </w:trPr>
        <w:tc>
          <w:tcPr>
            <w:tcW w:w="1244" w:type="pct"/>
            <w:shd w:val="clear" w:color="auto" w:fill="auto"/>
            <w:vAlign w:val="bottom"/>
          </w:tcPr>
          <w:p w14:paraId="1B1F6FBB" w14:textId="77777777" w:rsidR="00206A65" w:rsidRPr="00781112" w:rsidRDefault="00206A65" w:rsidP="00206A65">
            <w:pPr>
              <w:jc w:val="center"/>
              <w:rPr>
                <w:b/>
                <w:color w:val="000000" w:themeColor="text1"/>
              </w:rPr>
            </w:pPr>
            <w:r w:rsidRPr="00781112">
              <w:rPr>
                <w:b/>
                <w:color w:val="000000" w:themeColor="text1"/>
              </w:rPr>
              <w:t>Number of respondent parents who report schools facilitated parent involvement as a means of improving services and results for children with disabilities</w:t>
            </w:r>
          </w:p>
        </w:tc>
        <w:tc>
          <w:tcPr>
            <w:tcW w:w="674" w:type="pct"/>
            <w:shd w:val="clear" w:color="auto" w:fill="auto"/>
            <w:vAlign w:val="bottom"/>
          </w:tcPr>
          <w:p w14:paraId="200E18C6" w14:textId="77777777" w:rsidR="00206A65" w:rsidRPr="00781112" w:rsidRDefault="00206A65" w:rsidP="00206A65">
            <w:pPr>
              <w:jc w:val="center"/>
              <w:rPr>
                <w:b/>
                <w:color w:val="000000" w:themeColor="text1"/>
              </w:rPr>
            </w:pPr>
            <w:r w:rsidRPr="00781112">
              <w:rPr>
                <w:b/>
                <w:color w:val="000000" w:themeColor="text1"/>
              </w:rPr>
              <w:t>Total number of respondent parents of children with disabilities</w:t>
            </w:r>
          </w:p>
        </w:tc>
        <w:tc>
          <w:tcPr>
            <w:tcW w:w="542" w:type="pct"/>
            <w:shd w:val="clear" w:color="auto" w:fill="auto"/>
            <w:vAlign w:val="bottom"/>
          </w:tcPr>
          <w:p w14:paraId="57D9347A" w14:textId="79F3083B" w:rsidR="00206A65" w:rsidRPr="00CC1061" w:rsidRDefault="00206A65" w:rsidP="00206A65">
            <w:pPr>
              <w:jc w:val="center"/>
              <w:rPr>
                <w:b/>
                <w:bCs/>
                <w:color w:val="000000" w:themeColor="text1"/>
              </w:rPr>
            </w:pPr>
            <w:r w:rsidRPr="00CC1061">
              <w:rPr>
                <w:b/>
                <w:bCs/>
              </w:rPr>
              <w:t>FFY 2021 Data</w:t>
            </w:r>
          </w:p>
        </w:tc>
        <w:tc>
          <w:tcPr>
            <w:tcW w:w="667" w:type="pct"/>
            <w:shd w:val="clear" w:color="auto" w:fill="auto"/>
            <w:vAlign w:val="bottom"/>
          </w:tcPr>
          <w:p w14:paraId="42BF1046" w14:textId="7B8FBC09" w:rsidR="00206A65" w:rsidRPr="00CC1061" w:rsidRDefault="00206A65" w:rsidP="00206A65">
            <w:pPr>
              <w:jc w:val="center"/>
              <w:rPr>
                <w:b/>
                <w:bCs/>
                <w:color w:val="000000" w:themeColor="text1"/>
              </w:rPr>
            </w:pPr>
            <w:r w:rsidRPr="00CC1061">
              <w:rPr>
                <w:b/>
                <w:bCs/>
              </w:rPr>
              <w:t>FFY 2022 Target</w:t>
            </w:r>
          </w:p>
        </w:tc>
        <w:tc>
          <w:tcPr>
            <w:tcW w:w="542" w:type="pct"/>
            <w:shd w:val="clear" w:color="auto" w:fill="auto"/>
            <w:vAlign w:val="bottom"/>
          </w:tcPr>
          <w:p w14:paraId="36E0331C" w14:textId="542DA82B" w:rsidR="00206A65" w:rsidRPr="00CC1061" w:rsidRDefault="00206A65" w:rsidP="00206A65">
            <w:pPr>
              <w:jc w:val="center"/>
              <w:rPr>
                <w:b/>
                <w:bCs/>
                <w:color w:val="000000" w:themeColor="text1"/>
              </w:rPr>
            </w:pPr>
            <w:r w:rsidRPr="00CC1061">
              <w:rPr>
                <w:b/>
                <w:bCs/>
              </w:rPr>
              <w:t>FFY 2022 Data</w:t>
            </w:r>
          </w:p>
        </w:tc>
        <w:tc>
          <w:tcPr>
            <w:tcW w:w="625" w:type="pct"/>
            <w:shd w:val="clear" w:color="auto" w:fill="auto"/>
            <w:vAlign w:val="bottom"/>
          </w:tcPr>
          <w:p w14:paraId="52157F4E" w14:textId="77777777" w:rsidR="00206A65" w:rsidRPr="00781112" w:rsidRDefault="00206A65" w:rsidP="00206A65">
            <w:pPr>
              <w:jc w:val="center"/>
              <w:rPr>
                <w:b/>
                <w:color w:val="000000" w:themeColor="text1"/>
              </w:rPr>
            </w:pPr>
            <w:r w:rsidRPr="00781112">
              <w:rPr>
                <w:b/>
                <w:color w:val="000000" w:themeColor="text1"/>
              </w:rPr>
              <w:t>Status</w:t>
            </w:r>
          </w:p>
        </w:tc>
        <w:tc>
          <w:tcPr>
            <w:tcW w:w="706" w:type="pct"/>
            <w:shd w:val="clear" w:color="auto" w:fill="auto"/>
            <w:vAlign w:val="bottom"/>
          </w:tcPr>
          <w:p w14:paraId="1DC1ADC7" w14:textId="77777777" w:rsidR="00206A65" w:rsidRPr="00781112" w:rsidRDefault="00206A65" w:rsidP="00206A65">
            <w:pPr>
              <w:jc w:val="center"/>
              <w:rPr>
                <w:b/>
                <w:color w:val="000000" w:themeColor="text1"/>
              </w:rPr>
            </w:pPr>
            <w:r w:rsidRPr="00781112">
              <w:rPr>
                <w:b/>
                <w:color w:val="000000" w:themeColor="text1"/>
              </w:rPr>
              <w:t>Slippage</w:t>
            </w:r>
          </w:p>
        </w:tc>
      </w:tr>
      <w:tr w:rsidR="005C29F8" w:rsidRPr="00781112" w14:paraId="4B4B0594" w14:textId="77777777" w:rsidTr="00AB0D6A">
        <w:trPr>
          <w:trHeight w:val="366"/>
        </w:trPr>
        <w:tc>
          <w:tcPr>
            <w:tcW w:w="1251" w:type="pct"/>
            <w:shd w:val="clear" w:color="auto" w:fill="auto"/>
            <w:vAlign w:val="bottom"/>
          </w:tcPr>
          <w:p w14:paraId="0933F330" w14:textId="2423D9E2" w:rsidR="00FB6462" w:rsidRPr="00781112" w:rsidRDefault="002B7490" w:rsidP="00A018D4">
            <w:pPr>
              <w:jc w:val="center"/>
              <w:rPr>
                <w:rFonts w:cs="Arial"/>
                <w:color w:val="000000" w:themeColor="text1"/>
                <w:szCs w:val="16"/>
              </w:rPr>
            </w:pPr>
            <w:r w:rsidRPr="00781112">
              <w:rPr>
                <w:rFonts w:cs="Arial"/>
                <w:color w:val="000000" w:themeColor="text1"/>
                <w:szCs w:val="16"/>
              </w:rPr>
              <w:t>1,481</w:t>
            </w:r>
          </w:p>
        </w:tc>
        <w:tc>
          <w:tcPr>
            <w:tcW w:w="667" w:type="pct"/>
            <w:shd w:val="clear" w:color="auto" w:fill="auto"/>
            <w:vAlign w:val="bottom"/>
          </w:tcPr>
          <w:p w14:paraId="2905391A" w14:textId="502FBF67" w:rsidR="00FB6462" w:rsidRPr="00781112" w:rsidRDefault="002B7490" w:rsidP="00A018D4">
            <w:pPr>
              <w:jc w:val="center"/>
              <w:rPr>
                <w:rFonts w:cs="Arial"/>
                <w:color w:val="000000" w:themeColor="text1"/>
                <w:szCs w:val="16"/>
              </w:rPr>
            </w:pPr>
            <w:r w:rsidRPr="00781112">
              <w:rPr>
                <w:rFonts w:cs="Arial"/>
                <w:color w:val="000000" w:themeColor="text1"/>
                <w:szCs w:val="16"/>
              </w:rPr>
              <w:t>1,882</w:t>
            </w:r>
          </w:p>
        </w:tc>
        <w:tc>
          <w:tcPr>
            <w:tcW w:w="542" w:type="pct"/>
            <w:shd w:val="clear" w:color="auto" w:fill="auto"/>
            <w:vAlign w:val="bottom"/>
          </w:tcPr>
          <w:p w14:paraId="486C6AEB" w14:textId="2AC5DAB9" w:rsidR="00FB6462" w:rsidRPr="00781112" w:rsidRDefault="002B7490" w:rsidP="00A018D4">
            <w:pPr>
              <w:jc w:val="center"/>
              <w:rPr>
                <w:rFonts w:cs="Arial"/>
                <w:color w:val="000000" w:themeColor="text1"/>
                <w:szCs w:val="16"/>
              </w:rPr>
            </w:pPr>
            <w:r w:rsidRPr="00781112">
              <w:rPr>
                <w:rFonts w:cs="Arial"/>
                <w:color w:val="000000" w:themeColor="text1"/>
                <w:szCs w:val="16"/>
              </w:rPr>
              <w:t>78.59%</w:t>
            </w:r>
          </w:p>
        </w:tc>
        <w:tc>
          <w:tcPr>
            <w:tcW w:w="667" w:type="pct"/>
            <w:shd w:val="clear" w:color="auto" w:fill="auto"/>
            <w:vAlign w:val="bottom"/>
          </w:tcPr>
          <w:p w14:paraId="024E965C" w14:textId="65736559" w:rsidR="00FB6462" w:rsidRPr="00781112" w:rsidRDefault="002B7490" w:rsidP="00A018D4">
            <w:pPr>
              <w:jc w:val="center"/>
              <w:rPr>
                <w:rFonts w:cs="Arial"/>
                <w:color w:val="000000" w:themeColor="text1"/>
                <w:szCs w:val="16"/>
              </w:rPr>
            </w:pPr>
            <w:r w:rsidRPr="00781112">
              <w:rPr>
                <w:rFonts w:cs="Arial"/>
                <w:color w:val="000000" w:themeColor="text1"/>
                <w:szCs w:val="16"/>
              </w:rPr>
              <w:t>82.19%</w:t>
            </w:r>
          </w:p>
        </w:tc>
        <w:tc>
          <w:tcPr>
            <w:tcW w:w="542" w:type="pct"/>
            <w:shd w:val="clear" w:color="auto" w:fill="auto"/>
            <w:vAlign w:val="bottom"/>
          </w:tcPr>
          <w:p w14:paraId="1BEB0ADC" w14:textId="5244B4D7" w:rsidR="00FB6462" w:rsidRPr="00781112" w:rsidRDefault="002B7490" w:rsidP="00A018D4">
            <w:pPr>
              <w:jc w:val="center"/>
              <w:rPr>
                <w:rFonts w:cs="Arial"/>
                <w:color w:val="000000" w:themeColor="text1"/>
                <w:szCs w:val="16"/>
              </w:rPr>
            </w:pPr>
            <w:r w:rsidRPr="00781112">
              <w:rPr>
                <w:rFonts w:cs="Arial"/>
                <w:color w:val="000000" w:themeColor="text1"/>
                <w:szCs w:val="16"/>
              </w:rPr>
              <w:t>78.69%</w:t>
            </w:r>
          </w:p>
        </w:tc>
        <w:tc>
          <w:tcPr>
            <w:tcW w:w="625" w:type="pct"/>
            <w:shd w:val="clear" w:color="auto" w:fill="auto"/>
            <w:vAlign w:val="bottom"/>
          </w:tcPr>
          <w:p w14:paraId="230C5FAF" w14:textId="6761CD40" w:rsidR="00FB6462" w:rsidRPr="00781112" w:rsidRDefault="002B7490" w:rsidP="00A018D4">
            <w:pPr>
              <w:jc w:val="center"/>
              <w:rPr>
                <w:rFonts w:cs="Arial"/>
                <w:color w:val="000000" w:themeColor="text1"/>
                <w:szCs w:val="16"/>
              </w:rPr>
            </w:pPr>
            <w:r w:rsidRPr="00781112">
              <w:rPr>
                <w:rFonts w:cs="Arial"/>
                <w:color w:val="000000" w:themeColor="text1"/>
                <w:szCs w:val="16"/>
              </w:rPr>
              <w:t>Did not meet target</w:t>
            </w:r>
          </w:p>
        </w:tc>
        <w:tc>
          <w:tcPr>
            <w:tcW w:w="706" w:type="pct"/>
            <w:shd w:val="clear" w:color="auto" w:fill="auto"/>
            <w:vAlign w:val="bottom"/>
          </w:tcPr>
          <w:p w14:paraId="2CBF8B2D" w14:textId="3929AFC6" w:rsidR="00FB6462" w:rsidRPr="00781112" w:rsidRDefault="002B7490" w:rsidP="00A018D4">
            <w:pPr>
              <w:jc w:val="center"/>
              <w:rPr>
                <w:rFonts w:cs="Arial"/>
                <w:color w:val="000000" w:themeColor="text1"/>
                <w:szCs w:val="16"/>
              </w:rPr>
            </w:pPr>
            <w:r w:rsidRPr="00781112">
              <w:rPr>
                <w:rFonts w:cs="Arial"/>
                <w:color w:val="000000" w:themeColor="text1"/>
                <w:szCs w:val="16"/>
              </w:rPr>
              <w:t>No Slippage</w:t>
            </w:r>
          </w:p>
        </w:tc>
      </w:tr>
    </w:tbl>
    <w:p w14:paraId="22227E2D" w14:textId="3C53FA16" w:rsidR="00FB6462" w:rsidRPr="00781112" w:rsidRDefault="00FB6462" w:rsidP="005A338D">
      <w:pPr>
        <w:rPr>
          <w:rFonts w:cs="Arial"/>
          <w:b/>
          <w:color w:val="000000" w:themeColor="text1"/>
          <w:szCs w:val="16"/>
        </w:rPr>
      </w:pPr>
      <w:r w:rsidRPr="00781112">
        <w:rPr>
          <w:rFonts w:cs="Arial"/>
          <w:b/>
          <w:color w:val="000000" w:themeColor="text1"/>
          <w:szCs w:val="16"/>
        </w:rPr>
        <w:t>Since the State did not report preschool children separately, discuss the procedures used to combine data from school age and preschool surveys in a manner that is valid and reliable.</w:t>
      </w:r>
    </w:p>
    <w:p w14:paraId="7CADFB93" w14:textId="3119FB87" w:rsidR="00230EE6" w:rsidRPr="00781112" w:rsidRDefault="00230EE6" w:rsidP="005A338D">
      <w:pPr>
        <w:rPr>
          <w:rFonts w:cs="Arial"/>
          <w:color w:val="000000" w:themeColor="text1"/>
          <w:szCs w:val="16"/>
        </w:rPr>
      </w:pPr>
      <w:r w:rsidRPr="00781112">
        <w:rPr>
          <w:rFonts w:cs="Arial"/>
          <w:color w:val="000000" w:themeColor="text1"/>
          <w:szCs w:val="16"/>
        </w:rPr>
        <w:t xml:space="preserve">Colorado uses one type of survey for parents of all grade levels including parents of preschool children. Before the start of the survey, Colorado randomly </w:t>
      </w:r>
      <w:proofErr w:type="gramStart"/>
      <w:r w:rsidRPr="00781112">
        <w:rPr>
          <w:rFonts w:cs="Arial"/>
          <w:color w:val="000000" w:themeColor="text1"/>
          <w:szCs w:val="16"/>
        </w:rPr>
        <w:t>samples</w:t>
      </w:r>
      <w:proofErr w:type="gramEnd"/>
      <w:r w:rsidRPr="00781112">
        <w:rPr>
          <w:rFonts w:cs="Arial"/>
          <w:color w:val="000000" w:themeColor="text1"/>
          <w:szCs w:val="16"/>
        </w:rPr>
        <w:t xml:space="preserve"> parents of students whom we ask to participate in the survey. The pool of students includes both preschool and school-age children. Thus, parents of preschool children and parents of school-age children have an equal chance of being selected in the survey sample. In fact, FFY 2021 survey respondents included 192 parents of preschool children, which corresponded to 10.20% of survey respondents. Since preschool students accounted for 8.04% of students with disabilities in Colorado, preschool parents’ </w:t>
      </w:r>
      <w:proofErr w:type="gramStart"/>
      <w:r w:rsidRPr="00781112">
        <w:rPr>
          <w:rFonts w:cs="Arial"/>
          <w:color w:val="000000" w:themeColor="text1"/>
          <w:szCs w:val="16"/>
        </w:rPr>
        <w:t>voice was</w:t>
      </w:r>
      <w:proofErr w:type="gramEnd"/>
      <w:r w:rsidRPr="00781112">
        <w:rPr>
          <w:rFonts w:cs="Arial"/>
          <w:color w:val="000000" w:themeColor="text1"/>
          <w:szCs w:val="16"/>
        </w:rPr>
        <w:t xml:space="preserve"> well-represented in the survey results.</w:t>
      </w:r>
    </w:p>
    <w:p w14:paraId="75502588" w14:textId="77777777" w:rsidR="007E2779" w:rsidRPr="00781112" w:rsidRDefault="007E2779" w:rsidP="007E2779">
      <w:pPr>
        <w:pStyle w:val="Bold"/>
        <w:rPr>
          <w:color w:val="000000" w:themeColor="text1"/>
        </w:rPr>
      </w:pPr>
    </w:p>
    <w:p w14:paraId="194E8DAB" w14:textId="77777777" w:rsidR="00DF5DC9" w:rsidRDefault="00DF5DC9" w:rsidP="00415FE9">
      <w:pPr>
        <w:rPr>
          <w:rFonts w:cs="Arial"/>
          <w:b/>
          <w:color w:val="000000" w:themeColor="text1"/>
          <w:szCs w:val="16"/>
        </w:rPr>
      </w:pPr>
    </w:p>
    <w:p w14:paraId="1367D5CC" w14:textId="3D23966C" w:rsidR="00415FE9" w:rsidRPr="00781112" w:rsidRDefault="00415FE9" w:rsidP="00415FE9">
      <w:pPr>
        <w:rPr>
          <w:rFonts w:cs="Arial"/>
          <w:b/>
          <w:color w:val="000000" w:themeColor="text1"/>
          <w:szCs w:val="16"/>
        </w:rPr>
      </w:pPr>
      <w:r w:rsidRPr="00781112">
        <w:rPr>
          <w:rFonts w:cs="Arial"/>
          <w:b/>
          <w:color w:val="000000" w:themeColor="text1"/>
          <w:szCs w:val="16"/>
        </w:rPr>
        <w:lastRenderedPageBreak/>
        <w:t>The number of parents to whom the surveys were distributed.</w:t>
      </w:r>
    </w:p>
    <w:p w14:paraId="1181B460" w14:textId="042BF6E0" w:rsidR="00415FE9" w:rsidRPr="00781112" w:rsidRDefault="00415FE9" w:rsidP="00415FE9">
      <w:pPr>
        <w:rPr>
          <w:rFonts w:cs="Arial"/>
          <w:color w:val="000000" w:themeColor="text1"/>
          <w:szCs w:val="16"/>
        </w:rPr>
      </w:pPr>
      <w:r w:rsidRPr="00781112">
        <w:rPr>
          <w:rFonts w:cs="Arial"/>
          <w:color w:val="000000" w:themeColor="text1"/>
          <w:szCs w:val="16"/>
        </w:rPr>
        <w:t>5,012</w:t>
      </w:r>
    </w:p>
    <w:p w14:paraId="37F1825E" w14:textId="77777777" w:rsidR="00415FE9" w:rsidRPr="00781112" w:rsidRDefault="00415FE9" w:rsidP="00415FE9">
      <w:pPr>
        <w:rPr>
          <w:rFonts w:cs="Arial"/>
          <w:b/>
          <w:color w:val="000000" w:themeColor="text1"/>
          <w:szCs w:val="16"/>
        </w:rPr>
      </w:pPr>
      <w:r w:rsidRPr="00781112">
        <w:rPr>
          <w:rFonts w:cs="Arial"/>
          <w:b/>
          <w:color w:val="000000" w:themeColor="text1"/>
          <w:szCs w:val="16"/>
        </w:rPr>
        <w:t>Percentage of respondent parents</w:t>
      </w:r>
    </w:p>
    <w:p w14:paraId="47233287" w14:textId="25AA931E" w:rsidR="00415FE9" w:rsidRPr="00781112" w:rsidRDefault="00415FE9" w:rsidP="00415FE9">
      <w:pPr>
        <w:rPr>
          <w:rFonts w:cs="Arial"/>
          <w:color w:val="000000" w:themeColor="text1"/>
          <w:szCs w:val="16"/>
        </w:rPr>
      </w:pPr>
      <w:r w:rsidRPr="00781112">
        <w:rPr>
          <w:rFonts w:cs="Arial"/>
          <w:color w:val="000000" w:themeColor="text1"/>
          <w:szCs w:val="16"/>
        </w:rPr>
        <w:t>37.55%</w:t>
      </w:r>
    </w:p>
    <w:p w14:paraId="6E133112" w14:textId="714E6C68" w:rsidR="00090132" w:rsidRDefault="00090132" w:rsidP="00AF550B">
      <w:pPr>
        <w:rPr>
          <w:rFonts w:cs="Arial"/>
          <w:iCs/>
          <w:color w:val="000000" w:themeColor="text1"/>
          <w:szCs w:val="16"/>
        </w:rPr>
      </w:pPr>
    </w:p>
    <w:p w14:paraId="22944736" w14:textId="77777777" w:rsidR="00090132" w:rsidRPr="00F737BA" w:rsidRDefault="00090132" w:rsidP="00090132">
      <w:pPr>
        <w:rPr>
          <w:rFonts w:cs="Arial"/>
          <w:b/>
          <w:bCs/>
          <w:szCs w:val="16"/>
        </w:rPr>
      </w:pPr>
      <w:r w:rsidRPr="00F737BA">
        <w:rPr>
          <w:rFonts w:cs="Arial"/>
          <w:b/>
          <w:bCs/>
          <w:szCs w:val="16"/>
        </w:rPr>
        <w:t>Response Rate</w:t>
      </w:r>
    </w:p>
    <w:tbl>
      <w:tblPr>
        <w:tblStyle w:val="TableGrid"/>
        <w:tblW w:w="0" w:type="auto"/>
        <w:tblLook w:val="04A0" w:firstRow="1" w:lastRow="0" w:firstColumn="1" w:lastColumn="0" w:noHBand="0" w:noVBand="1"/>
        <w:tblCaption w:val="B08CFFYDISTPER"/>
      </w:tblPr>
      <w:tblGrid>
        <w:gridCol w:w="1885"/>
        <w:gridCol w:w="2340"/>
        <w:gridCol w:w="759"/>
      </w:tblGrid>
      <w:tr w:rsidR="00090132" w:rsidRPr="00F737BA" w14:paraId="0E1B543B" w14:textId="77777777" w:rsidTr="00DF5DC9">
        <w:tc>
          <w:tcPr>
            <w:tcW w:w="1885" w:type="dxa"/>
          </w:tcPr>
          <w:p w14:paraId="2D7C9FC3" w14:textId="77777777" w:rsidR="00090132" w:rsidRPr="00F737BA" w:rsidRDefault="00090132" w:rsidP="00DF5DC9">
            <w:pPr>
              <w:jc w:val="center"/>
              <w:rPr>
                <w:rFonts w:cs="Arial"/>
                <w:b/>
                <w:szCs w:val="16"/>
              </w:rPr>
            </w:pPr>
            <w:bookmarkStart w:id="45" w:name="_Hlk79652737"/>
            <w:r w:rsidRPr="00F737BA">
              <w:rPr>
                <w:rFonts w:cs="Arial"/>
                <w:b/>
                <w:szCs w:val="16"/>
              </w:rPr>
              <w:t>FFY</w:t>
            </w:r>
          </w:p>
        </w:tc>
        <w:tc>
          <w:tcPr>
            <w:tcW w:w="2340" w:type="dxa"/>
          </w:tcPr>
          <w:p w14:paraId="2109B7B6" w14:textId="77777777" w:rsidR="00090132" w:rsidRPr="004A62FE" w:rsidRDefault="00090132" w:rsidP="00DF5DC9">
            <w:pPr>
              <w:jc w:val="center"/>
              <w:rPr>
                <w:rFonts w:cs="Arial"/>
                <w:b/>
                <w:szCs w:val="16"/>
              </w:rPr>
            </w:pPr>
            <w:r w:rsidRPr="004A62FE">
              <w:rPr>
                <w:rFonts w:cs="Arial"/>
                <w:b/>
                <w:color w:val="000000" w:themeColor="text1"/>
                <w:szCs w:val="16"/>
              </w:rPr>
              <w:t>2021</w:t>
            </w:r>
          </w:p>
        </w:tc>
        <w:tc>
          <w:tcPr>
            <w:tcW w:w="360" w:type="dxa"/>
          </w:tcPr>
          <w:p w14:paraId="0CD9799E" w14:textId="77777777" w:rsidR="00090132" w:rsidRPr="004A62FE" w:rsidRDefault="00090132" w:rsidP="00DF5DC9">
            <w:pPr>
              <w:jc w:val="center"/>
              <w:rPr>
                <w:rFonts w:cs="Arial"/>
                <w:b/>
                <w:szCs w:val="16"/>
              </w:rPr>
            </w:pPr>
            <w:r w:rsidRPr="004A62FE">
              <w:rPr>
                <w:rFonts w:cs="Arial"/>
                <w:b/>
                <w:color w:val="000000" w:themeColor="text1"/>
                <w:szCs w:val="16"/>
              </w:rPr>
              <w:t>2022</w:t>
            </w:r>
          </w:p>
        </w:tc>
      </w:tr>
      <w:tr w:rsidR="00090132" w:rsidRPr="00F737BA" w14:paraId="3E600875" w14:textId="77777777" w:rsidTr="00DF5DC9">
        <w:tc>
          <w:tcPr>
            <w:tcW w:w="1885" w:type="dxa"/>
          </w:tcPr>
          <w:p w14:paraId="497B06E4" w14:textId="77777777" w:rsidR="00090132" w:rsidRPr="00F737BA" w:rsidRDefault="00090132" w:rsidP="00DF5DC9">
            <w:pPr>
              <w:rPr>
                <w:rFonts w:cs="Arial"/>
                <w:szCs w:val="16"/>
              </w:rPr>
            </w:pPr>
            <w:r w:rsidRPr="00F737BA">
              <w:rPr>
                <w:rFonts w:cs="Arial"/>
                <w:szCs w:val="16"/>
              </w:rPr>
              <w:t xml:space="preserve">Response Rate </w:t>
            </w:r>
          </w:p>
        </w:tc>
        <w:tc>
          <w:tcPr>
            <w:tcW w:w="2340" w:type="dxa"/>
            <w:shd w:val="clear" w:color="auto" w:fill="auto"/>
          </w:tcPr>
          <w:p w14:paraId="0FC44028" w14:textId="50784D2F" w:rsidR="00090132" w:rsidRPr="004A62FE" w:rsidRDefault="00090132" w:rsidP="000B4405">
            <w:pPr>
              <w:jc w:val="center"/>
              <w:rPr>
                <w:rFonts w:cs="Arial"/>
                <w:szCs w:val="16"/>
              </w:rPr>
            </w:pPr>
            <w:r w:rsidRPr="004A62FE">
              <w:rPr>
                <w:rFonts w:cs="Arial"/>
                <w:iCs/>
                <w:color w:val="000000" w:themeColor="text1"/>
                <w:szCs w:val="16"/>
              </w:rPr>
              <w:t>26.27%</w:t>
            </w:r>
          </w:p>
        </w:tc>
        <w:tc>
          <w:tcPr>
            <w:tcW w:w="360" w:type="dxa"/>
            <w:shd w:val="clear" w:color="auto" w:fill="auto"/>
          </w:tcPr>
          <w:p w14:paraId="76DE0483" w14:textId="3235EE79" w:rsidR="00090132" w:rsidRPr="004A62FE" w:rsidRDefault="00090132" w:rsidP="000B4405">
            <w:pPr>
              <w:jc w:val="center"/>
              <w:rPr>
                <w:rFonts w:cs="Arial"/>
                <w:szCs w:val="16"/>
              </w:rPr>
            </w:pPr>
            <w:r w:rsidRPr="00090132">
              <w:rPr>
                <w:rFonts w:cs="Arial"/>
                <w:iCs/>
                <w:color w:val="000000" w:themeColor="text1"/>
                <w:szCs w:val="16"/>
              </w:rPr>
              <w:t>37.55%</w:t>
            </w:r>
          </w:p>
        </w:tc>
      </w:tr>
      <w:bookmarkEnd w:id="45"/>
    </w:tbl>
    <w:p w14:paraId="05313584" w14:textId="77777777" w:rsidR="00090132" w:rsidRPr="00F737BA" w:rsidRDefault="00090132" w:rsidP="00090132">
      <w:pPr>
        <w:pStyle w:val="Header"/>
        <w:tabs>
          <w:tab w:val="clear" w:pos="4320"/>
          <w:tab w:val="clear" w:pos="8640"/>
        </w:tabs>
        <w:spacing w:before="0"/>
        <w:rPr>
          <w:rFonts w:ascii="Arial" w:hAnsi="Arial" w:cs="Arial"/>
          <w:bCs/>
          <w:sz w:val="16"/>
          <w:szCs w:val="16"/>
        </w:rPr>
      </w:pPr>
    </w:p>
    <w:p w14:paraId="7EAF7EA9" w14:textId="77777777" w:rsidR="00156FDD" w:rsidRPr="000B29F8" w:rsidRDefault="00156FDD" w:rsidP="00156FDD">
      <w:pPr>
        <w:rPr>
          <w:b/>
          <w:bCs/>
        </w:rPr>
      </w:pPr>
      <w:r w:rsidRPr="000B29F8">
        <w:rPr>
          <w:b/>
          <w:bCs/>
        </w:rPr>
        <w:t>Describe the metric used to determine representativeness (e.g., +/- 3% discrepancy in the proportion of responders compared to target group).</w:t>
      </w:r>
    </w:p>
    <w:p w14:paraId="2D9B0A76" w14:textId="77777777" w:rsidR="00156FDD" w:rsidRPr="000A2B9F" w:rsidRDefault="00156FDD" w:rsidP="00156FDD">
      <w:pPr>
        <w:pStyle w:val="Subhed"/>
        <w:rPr>
          <w:b w:val="0"/>
          <w:bCs/>
        </w:rPr>
      </w:pPr>
      <w:r w:rsidRPr="000A2B9F">
        <w:rPr>
          <w:b w:val="0"/>
          <w:bCs/>
        </w:rPr>
        <w:t>+/- 3% discrepancy in the proportion of responders compared to target group</w:t>
      </w:r>
    </w:p>
    <w:p w14:paraId="69B8C995" w14:textId="77777777" w:rsidR="00156FDD" w:rsidRDefault="00156FDD" w:rsidP="00090132">
      <w:pPr>
        <w:rPr>
          <w:rFonts w:cs="Arial"/>
          <w:b/>
          <w:color w:val="000000" w:themeColor="text1"/>
          <w:szCs w:val="16"/>
        </w:rPr>
      </w:pPr>
    </w:p>
    <w:p w14:paraId="7DF43855" w14:textId="7693C672" w:rsidR="00156FDD" w:rsidRPr="000762B0" w:rsidRDefault="00156FDD" w:rsidP="00156FDD">
      <w:pPr>
        <w:rPr>
          <w:b/>
          <w:bCs/>
        </w:rPr>
      </w:pPr>
      <w:r w:rsidRPr="000762B0">
        <w:rPr>
          <w:b/>
          <w:bCs/>
        </w:rPr>
        <w:t xml:space="preserve">Include the State’s analyses of the extent to which the demographics of the </w:t>
      </w:r>
      <w:r w:rsidR="008D23DF">
        <w:rPr>
          <w:b/>
          <w:bCs/>
        </w:rPr>
        <w:t xml:space="preserve">children for whom </w:t>
      </w:r>
      <w:r w:rsidRPr="000762B0">
        <w:rPr>
          <w:b/>
          <w:bCs/>
        </w:rPr>
        <w:t>parents respond</w:t>
      </w:r>
      <w:r w:rsidR="0030766A">
        <w:rPr>
          <w:b/>
          <w:bCs/>
        </w:rPr>
        <w:t>ed</w:t>
      </w:r>
      <w:r w:rsidRPr="000762B0">
        <w:rPr>
          <w:b/>
          <w:bCs/>
        </w:rPr>
        <w:t xml:space="preserve"> are representative of the demographics of children receiving special education services. States must include race/ethnicity in their analysis. In addition, the State’s analysis must also include at least one of the following demographics: age of the student, disability category, gender, geographic location, and/or another demographic category approved through the stakeholder input process.</w:t>
      </w:r>
    </w:p>
    <w:p w14:paraId="1D2210F6" w14:textId="77777777" w:rsidR="00156FDD" w:rsidRDefault="00156FDD" w:rsidP="00156FDD">
      <w:pPr>
        <w:rPr>
          <w:b/>
          <w:bCs/>
        </w:rPr>
      </w:pPr>
      <w:r w:rsidRPr="000A2B9F">
        <w:rPr>
          <w:bCs/>
          <w:color w:val="000000" w:themeColor="text1"/>
        </w:rPr>
        <w:t xml:space="preserve">In addition to race/ethnicity, Colorado's stakeholders agreed with the examination of the AUs’ geographic region within the state for representativeness in the parent survey. In analyzing our data, we found that the demographics of the parents responding to the survey are representative for each of the race/ethnicity categories except for parents of White and Hispanic students. Colorado uses +/- 3% discrepancy in the proportion of responders compared to target group to determine representativeness: </w:t>
      </w:r>
      <w:r w:rsidRPr="000A2B9F">
        <w:rPr>
          <w:bCs/>
          <w:color w:val="000000" w:themeColor="text1"/>
        </w:rPr>
        <w:br/>
      </w:r>
      <w:r w:rsidRPr="000A2B9F">
        <w:rPr>
          <w:bCs/>
          <w:color w:val="000000" w:themeColor="text1"/>
        </w:rPr>
        <w:br/>
        <w:t>* White: 47.78% of our population; 53.19% of survey respondents (+5.40%)</w:t>
      </w:r>
      <w:r w:rsidRPr="000A2B9F">
        <w:rPr>
          <w:bCs/>
          <w:color w:val="000000" w:themeColor="text1"/>
        </w:rPr>
        <w:br/>
        <w:t>* Hispanic or Latino: 39.00% of our population; 34.86% of survey respondents (-4.14%%)</w:t>
      </w:r>
      <w:r w:rsidRPr="000A2B9F">
        <w:rPr>
          <w:bCs/>
          <w:color w:val="000000" w:themeColor="text1"/>
        </w:rPr>
        <w:br/>
        <w:t>* Black or African American: 5.47% of our population; 4.20% of survey respondents (-1.28%)</w:t>
      </w:r>
      <w:r w:rsidRPr="000A2B9F">
        <w:rPr>
          <w:bCs/>
          <w:color w:val="000000" w:themeColor="text1"/>
        </w:rPr>
        <w:br/>
        <w:t>* Two or More Races: 4.72% of our population; 4.62% of survey respondents (-0.09%)</w:t>
      </w:r>
      <w:r w:rsidRPr="000A2B9F">
        <w:rPr>
          <w:bCs/>
          <w:color w:val="000000" w:themeColor="text1"/>
        </w:rPr>
        <w:br/>
        <w:t>* Asian: 1.85% of our population; 1.91% of survey respondents (+0.06%)</w:t>
      </w:r>
      <w:r w:rsidRPr="000A2B9F">
        <w:rPr>
          <w:bCs/>
          <w:color w:val="000000" w:themeColor="text1"/>
        </w:rPr>
        <w:br/>
        <w:t>* American Indian or Alaska Native: 0.96% of our population; 1.01% of survey respondents (+0.05%)</w:t>
      </w:r>
      <w:r w:rsidRPr="000A2B9F">
        <w:rPr>
          <w:bCs/>
          <w:color w:val="000000" w:themeColor="text1"/>
        </w:rPr>
        <w:br/>
        <w:t>* Native Hawaiian or Other Pacific Islander: 0.21% of our population; 0.21% of survey respondents (0.00%)</w:t>
      </w:r>
      <w:r w:rsidRPr="000A2B9F">
        <w:rPr>
          <w:bCs/>
          <w:color w:val="000000" w:themeColor="text1"/>
        </w:rPr>
        <w:br/>
      </w:r>
      <w:r w:rsidRPr="000A2B9F">
        <w:rPr>
          <w:bCs/>
          <w:color w:val="000000" w:themeColor="text1"/>
        </w:rPr>
        <w:br/>
        <w:t>In analyzing the data by geographic regions, CDE found that responses from four out of nine regions were not representative of the population. The Denver Metro region was underrepresented by 13.27%. However, over the last 2 years, this region has improved 9.94% in representativeness. Three regions were overrepresented: North Central, Northwest, and Pikes Peak. Pikes Peak region improved representativeness by 3.72% from last year's +9.21%. Colorado uses +/- 3% discrepancy in the proportion of responders compared to target group to determine representativeness:</w:t>
      </w:r>
      <w:r w:rsidRPr="000A2B9F">
        <w:rPr>
          <w:bCs/>
          <w:color w:val="000000" w:themeColor="text1"/>
        </w:rPr>
        <w:br/>
      </w:r>
      <w:r w:rsidRPr="000A2B9F">
        <w:rPr>
          <w:bCs/>
          <w:color w:val="000000" w:themeColor="text1"/>
        </w:rPr>
        <w:br/>
        <w:t>* Denver Metro: 51.74% of Colorado’s population; 38.47% of survey respondents (-13.27%)</w:t>
      </w:r>
      <w:r w:rsidRPr="000A2B9F">
        <w:rPr>
          <w:bCs/>
          <w:color w:val="000000" w:themeColor="text1"/>
        </w:rPr>
        <w:br/>
        <w:t>* Pikes Peak: 17.30% of Colorado’s population; 22.79% of survey respondents (+5.49%)</w:t>
      </w:r>
      <w:r w:rsidRPr="000A2B9F">
        <w:rPr>
          <w:bCs/>
          <w:color w:val="000000" w:themeColor="text1"/>
        </w:rPr>
        <w:br/>
        <w:t>* North Central: 14.09% of Colorado’s population; 18.49% of survey respondents (+4.40%)</w:t>
      </w:r>
      <w:r w:rsidRPr="000A2B9F">
        <w:rPr>
          <w:bCs/>
          <w:color w:val="000000" w:themeColor="text1"/>
        </w:rPr>
        <w:br/>
        <w:t>* Northwest: 4.22% of Colorado’s population; 10.57% of survey respondents (+6.35%)</w:t>
      </w:r>
      <w:r w:rsidRPr="000A2B9F">
        <w:rPr>
          <w:bCs/>
          <w:color w:val="000000" w:themeColor="text1"/>
        </w:rPr>
        <w:br/>
        <w:t>* West Central: 4.96% of Colorado’s population; 2.76% of survey respondents (-2.02%)</w:t>
      </w:r>
      <w:r w:rsidRPr="000A2B9F">
        <w:rPr>
          <w:bCs/>
          <w:color w:val="000000" w:themeColor="text1"/>
        </w:rPr>
        <w:br/>
        <w:t>* Southwest: 2.37% of Colorado’s population; 2.13% of survey respondents (-0.24%)</w:t>
      </w:r>
      <w:r w:rsidRPr="000A2B9F">
        <w:rPr>
          <w:bCs/>
          <w:color w:val="000000" w:themeColor="text1"/>
        </w:rPr>
        <w:br/>
        <w:t>* Northeast: 2.57% of Colorado’s population; 2.71% of survey respondents (+0.14%)</w:t>
      </w:r>
      <w:r w:rsidRPr="000A2B9F">
        <w:rPr>
          <w:bCs/>
          <w:color w:val="000000" w:themeColor="text1"/>
        </w:rPr>
        <w:br/>
        <w:t>* Southeast: 1.53% of Colorado’s population; 0.85% of survey respondents (-0.68%)</w:t>
      </w:r>
      <w:r w:rsidRPr="000A2B9F">
        <w:rPr>
          <w:bCs/>
          <w:color w:val="000000" w:themeColor="text1"/>
        </w:rPr>
        <w:br/>
        <w:t>* Other (online, multi-site charter, state programs); 1.22% of Colorado’s population; 1.22% of survey respondents (0.00%)</w:t>
      </w:r>
    </w:p>
    <w:p w14:paraId="3EF17F6A" w14:textId="0A433742" w:rsidR="00156FDD" w:rsidRPr="000762B0" w:rsidRDefault="00156FDD" w:rsidP="00156FDD">
      <w:pPr>
        <w:pStyle w:val="Subhed"/>
        <w:rPr>
          <w:bCs/>
        </w:rPr>
      </w:pPr>
      <w:r w:rsidRPr="000762B0">
        <w:rPr>
          <w:bCs/>
        </w:rPr>
        <w:t xml:space="preserve">The demographics of the </w:t>
      </w:r>
      <w:r w:rsidR="0030766A">
        <w:rPr>
          <w:bCs/>
        </w:rPr>
        <w:t xml:space="preserve">children for whom </w:t>
      </w:r>
      <w:r w:rsidRPr="000762B0">
        <w:rPr>
          <w:bCs/>
        </w:rPr>
        <w:t xml:space="preserve">parents </w:t>
      </w:r>
      <w:r w:rsidR="0030766A">
        <w:rPr>
          <w:bCs/>
        </w:rPr>
        <w:t xml:space="preserve">are </w:t>
      </w:r>
      <w:r w:rsidRPr="000762B0">
        <w:rPr>
          <w:bCs/>
        </w:rPr>
        <w:t>responding are representative of the demographics of children receiving special education services. (yes/no)</w:t>
      </w:r>
    </w:p>
    <w:p w14:paraId="51B1DB60" w14:textId="77777777" w:rsidR="00156FDD" w:rsidRDefault="00156FDD" w:rsidP="00156FDD">
      <w:pPr>
        <w:pStyle w:val="Subhed"/>
        <w:rPr>
          <w:b w:val="0"/>
          <w:bCs/>
          <w:color w:val="000000" w:themeColor="text1"/>
        </w:rPr>
      </w:pPr>
      <w:r w:rsidRPr="000A2B9F">
        <w:rPr>
          <w:b w:val="0"/>
          <w:bCs/>
          <w:color w:val="000000" w:themeColor="text1"/>
        </w:rPr>
        <w:t>NO</w:t>
      </w:r>
    </w:p>
    <w:p w14:paraId="2F39D1DC" w14:textId="77777777" w:rsidR="00156FDD" w:rsidRPr="00A12797" w:rsidRDefault="00156FDD" w:rsidP="00156FDD">
      <w:pPr>
        <w:rPr>
          <w:b/>
          <w:bCs/>
        </w:rPr>
      </w:pPr>
      <w:r w:rsidRPr="000762B0">
        <w:rPr>
          <w:b/>
          <w:bCs/>
        </w:rPr>
        <w:t>If no, describe the strategies that the State will use to ensure that in the future the response data are representative of those demographics</w:t>
      </w:r>
    </w:p>
    <w:p w14:paraId="5834B28C" w14:textId="77777777" w:rsidR="00156FDD" w:rsidRPr="000A2B9F" w:rsidRDefault="00156FDD" w:rsidP="00156FDD">
      <w:pPr>
        <w:pStyle w:val="Subhed"/>
        <w:rPr>
          <w:b w:val="0"/>
          <w:bCs/>
        </w:rPr>
      </w:pPr>
      <w:r w:rsidRPr="000A2B9F">
        <w:rPr>
          <w:b w:val="0"/>
          <w:bCs/>
          <w:color w:val="000000" w:themeColor="text1"/>
        </w:rPr>
        <w:t xml:space="preserve">To ensure the future response data are representative of those demographics, CDE will continue to disaggregate the student sample by race/ethnicity for each AU. CDE will pull response data monthly and share with Indicator lead to identify and address representativeness during the data collection period. </w:t>
      </w:r>
    </w:p>
    <w:p w14:paraId="4FDE2F5E" w14:textId="77777777" w:rsidR="00156FDD" w:rsidRDefault="00156FDD" w:rsidP="00090132">
      <w:pPr>
        <w:rPr>
          <w:rFonts w:cs="Arial"/>
          <w:b/>
          <w:color w:val="000000" w:themeColor="text1"/>
          <w:szCs w:val="16"/>
        </w:rPr>
      </w:pPr>
    </w:p>
    <w:p w14:paraId="4BDEC798" w14:textId="64E8BE6C" w:rsidR="00090132" w:rsidRPr="0061205F" w:rsidRDefault="00090132" w:rsidP="00090132">
      <w:pPr>
        <w:rPr>
          <w:rFonts w:cs="Arial"/>
          <w:b/>
          <w:color w:val="000000" w:themeColor="text1"/>
          <w:szCs w:val="16"/>
        </w:rPr>
      </w:pPr>
      <w:r w:rsidRPr="0061205F">
        <w:rPr>
          <w:rFonts w:cs="Arial"/>
          <w:b/>
          <w:color w:val="000000" w:themeColor="text1"/>
          <w:szCs w:val="16"/>
        </w:rPr>
        <w:t>Describe strategies that will be implemented which are expected to increase the response rate year over year, particularly for those groups that are underrepresented.</w:t>
      </w:r>
    </w:p>
    <w:p w14:paraId="3C9BE65D" w14:textId="77777777" w:rsidR="00090132" w:rsidRPr="000A2B9F" w:rsidRDefault="00090132" w:rsidP="00090132">
      <w:pPr>
        <w:rPr>
          <w:rFonts w:cs="Arial"/>
          <w:bCs/>
          <w:color w:val="000000" w:themeColor="text1"/>
          <w:szCs w:val="16"/>
        </w:rPr>
      </w:pPr>
      <w:r w:rsidRPr="0061205F">
        <w:rPr>
          <w:rFonts w:cs="Arial"/>
          <w:bCs/>
          <w:color w:val="000000" w:themeColor="text1"/>
          <w:szCs w:val="16"/>
        </w:rPr>
        <w:t>In the last 3 years, Colorado’s response rate has increased by 15.31% from 22.24% in FFY 2020 to 37.55% in FFY 2022.</w:t>
      </w:r>
      <w:r w:rsidRPr="0061205F">
        <w:rPr>
          <w:rFonts w:cs="Arial"/>
          <w:bCs/>
          <w:color w:val="000000" w:themeColor="text1"/>
          <w:szCs w:val="16"/>
        </w:rPr>
        <w:br/>
      </w:r>
      <w:r w:rsidRPr="0061205F">
        <w:rPr>
          <w:rFonts w:cs="Arial"/>
          <w:bCs/>
          <w:color w:val="000000" w:themeColor="text1"/>
          <w:szCs w:val="16"/>
        </w:rPr>
        <w:br/>
        <w:t>To continue increasing the response rate, particularly for those groups that are underrepresented, CDE staff will:</w:t>
      </w:r>
      <w:r w:rsidRPr="0061205F">
        <w:rPr>
          <w:rFonts w:cs="Arial"/>
          <w:bCs/>
          <w:color w:val="000000" w:themeColor="text1"/>
          <w:szCs w:val="16"/>
        </w:rPr>
        <w:br/>
      </w:r>
      <w:r w:rsidRPr="0061205F">
        <w:rPr>
          <w:rFonts w:cs="Arial"/>
          <w:bCs/>
          <w:color w:val="000000" w:themeColor="text1"/>
          <w:szCs w:val="16"/>
        </w:rPr>
        <w:br/>
        <w:t>•</w:t>
      </w:r>
      <w:r w:rsidRPr="0061205F">
        <w:rPr>
          <w:rFonts w:cs="Arial"/>
          <w:bCs/>
          <w:color w:val="000000" w:themeColor="text1"/>
          <w:szCs w:val="16"/>
        </w:rPr>
        <w:tab/>
        <w:t xml:space="preserve">Follow up individually with the Administrative Units (AUs) that need to increase their parent survey return rates. </w:t>
      </w:r>
      <w:r w:rsidRPr="0061205F">
        <w:rPr>
          <w:rFonts w:cs="Arial"/>
          <w:bCs/>
          <w:color w:val="000000" w:themeColor="text1"/>
          <w:szCs w:val="16"/>
        </w:rPr>
        <w:br/>
        <w:t>•</w:t>
      </w:r>
      <w:r w:rsidRPr="0061205F">
        <w:rPr>
          <w:rFonts w:cs="Arial"/>
          <w:bCs/>
          <w:color w:val="000000" w:themeColor="text1"/>
          <w:szCs w:val="16"/>
        </w:rPr>
        <w:tab/>
        <w:t xml:space="preserve">Work with our parent information center to encourage parents from underrepresented groups to complete the survey. </w:t>
      </w:r>
      <w:r w:rsidRPr="0061205F">
        <w:rPr>
          <w:rFonts w:cs="Arial"/>
          <w:bCs/>
          <w:color w:val="000000" w:themeColor="text1"/>
          <w:szCs w:val="16"/>
        </w:rPr>
        <w:br/>
        <w:t>•</w:t>
      </w:r>
      <w:r w:rsidRPr="0061205F">
        <w:rPr>
          <w:rFonts w:cs="Arial"/>
          <w:bCs/>
          <w:color w:val="000000" w:themeColor="text1"/>
          <w:szCs w:val="16"/>
        </w:rPr>
        <w:tab/>
        <w:t xml:space="preserve">Implement a newsletter to AU Directors of Record that contains information and strategies that can be used to improve response rates with special emphasis on groups that are underrepresented. </w:t>
      </w:r>
      <w:r w:rsidRPr="0061205F">
        <w:rPr>
          <w:rFonts w:cs="Arial"/>
          <w:bCs/>
          <w:color w:val="000000" w:themeColor="text1"/>
          <w:szCs w:val="16"/>
        </w:rPr>
        <w:br/>
        <w:t>•</w:t>
      </w:r>
      <w:r w:rsidRPr="0061205F">
        <w:rPr>
          <w:rFonts w:cs="Arial"/>
          <w:bCs/>
          <w:color w:val="000000" w:themeColor="text1"/>
          <w:szCs w:val="16"/>
        </w:rPr>
        <w:tab/>
        <w:t xml:space="preserve">CDE will utilize its Special Education Director Mentors to ensure that all new Directors of Special Education understand the importance of increasing the parent survey response and utilizing the data to improve outcomes for students. </w:t>
      </w:r>
      <w:r w:rsidRPr="0061205F">
        <w:rPr>
          <w:rFonts w:cs="Arial"/>
          <w:bCs/>
          <w:color w:val="000000" w:themeColor="text1"/>
          <w:szCs w:val="16"/>
        </w:rPr>
        <w:br/>
        <w:t>•</w:t>
      </w:r>
      <w:r w:rsidRPr="0061205F">
        <w:rPr>
          <w:rFonts w:cs="Arial"/>
          <w:bCs/>
          <w:color w:val="000000" w:themeColor="text1"/>
          <w:szCs w:val="16"/>
        </w:rPr>
        <w:tab/>
        <w:t xml:space="preserve">CDE will engage the Colorado Special Education Advisory Committee (CSEAC) members to work with local Special Education Advisory Committees (SEACs) to communicate the importance of completing the parent survey. CSEAC will help us to create a “Communication Blitz” through our Parent Training and Information Center (PTI), state conferences, and by working with other Parent Centers in Colorado to distribute flyers on the importance of completing the Parent Surveys. </w:t>
      </w:r>
      <w:r w:rsidRPr="0061205F">
        <w:rPr>
          <w:rFonts w:cs="Arial"/>
          <w:bCs/>
          <w:color w:val="000000" w:themeColor="text1"/>
          <w:szCs w:val="16"/>
        </w:rPr>
        <w:br/>
        <w:t xml:space="preserve">• CDE will utilize Directors of Special Education from AUs that have outstanding parent survey return rates to share with other directors across the state: (1) strategies to obtain a better response rate from parents, (2) the importance of the parent data, and (3) how to utilize the data to improve outcomes for </w:t>
      </w:r>
      <w:r w:rsidRPr="0061205F">
        <w:rPr>
          <w:rFonts w:cs="Arial"/>
          <w:bCs/>
          <w:color w:val="000000" w:themeColor="text1"/>
          <w:szCs w:val="16"/>
        </w:rPr>
        <w:lastRenderedPageBreak/>
        <w:t>students with disabilities.</w:t>
      </w:r>
      <w:r w:rsidRPr="0061205F">
        <w:rPr>
          <w:rFonts w:cs="Arial"/>
          <w:bCs/>
          <w:color w:val="000000" w:themeColor="text1"/>
          <w:szCs w:val="16"/>
        </w:rPr>
        <w:br/>
        <w:t>•</w:t>
      </w:r>
      <w:r w:rsidRPr="0061205F">
        <w:rPr>
          <w:rFonts w:cs="Arial"/>
          <w:bCs/>
          <w:color w:val="000000" w:themeColor="text1"/>
          <w:szCs w:val="16"/>
        </w:rPr>
        <w:tab/>
        <w:t xml:space="preserve">CDE specialists and directors will encourage local directors of special education to regularly check the State’s DMS Special Education Dashboard, which allows each local director the ability to monitor the parent survey collection throughout the survey period. If directors utilize this tool, it will create opportunities for them to review milestones and to then encourage district staff to implement targeted strategies to improve the response rate. </w:t>
      </w:r>
      <w:r w:rsidRPr="0061205F">
        <w:rPr>
          <w:rFonts w:cs="Arial"/>
          <w:bCs/>
          <w:color w:val="000000" w:themeColor="text1"/>
          <w:szCs w:val="16"/>
        </w:rPr>
        <w:br/>
        <w:t>•</w:t>
      </w:r>
      <w:r w:rsidRPr="0061205F">
        <w:rPr>
          <w:rFonts w:cs="Arial"/>
          <w:bCs/>
          <w:color w:val="000000" w:themeColor="text1"/>
          <w:szCs w:val="16"/>
        </w:rPr>
        <w:tab/>
        <w:t xml:space="preserve">CDE will collaborate interdepartmentally as well as with Colorado’s Parent Training and Information Center, the Assisted Dispute Resolution Advisory Board, and AUs to identify specific, actionable measures that can be implemented in response to individual survey questions to improve parent involvement and encourage improved response rates from AUs, specifically addressing those under-represented groups. </w:t>
      </w:r>
      <w:r w:rsidRPr="0061205F">
        <w:rPr>
          <w:rFonts w:cs="Arial"/>
          <w:bCs/>
          <w:color w:val="000000" w:themeColor="text1"/>
          <w:szCs w:val="16"/>
        </w:rPr>
        <w:br/>
        <w:t>• CDE will analyze the current survey questions to determine if changes need to be made that could increase participation rates and improve the usefulness of the responses for AUs.</w:t>
      </w:r>
    </w:p>
    <w:p w14:paraId="43E156F3" w14:textId="001639B3" w:rsidR="00090132" w:rsidRDefault="00090132" w:rsidP="00090132">
      <w:pPr>
        <w:rPr>
          <w:rFonts w:cs="Arial"/>
          <w:b/>
          <w:color w:val="000000" w:themeColor="text1"/>
          <w:szCs w:val="16"/>
        </w:rPr>
      </w:pPr>
      <w:r w:rsidRPr="0061205F">
        <w:rPr>
          <w:rFonts w:cs="Arial"/>
          <w:b/>
          <w:color w:val="000000" w:themeColor="text1"/>
          <w:szCs w:val="16"/>
        </w:rPr>
        <w:t xml:space="preserve">Describe the analysis </w:t>
      </w:r>
      <w:bookmarkStart w:id="46" w:name="_Hlk81486999"/>
      <w:r w:rsidRPr="0061205F">
        <w:rPr>
          <w:rFonts w:cs="Arial"/>
          <w:b/>
          <w:color w:val="000000" w:themeColor="text1"/>
          <w:szCs w:val="16"/>
        </w:rPr>
        <w:t>of the response rate including any nonresponse bias that was identified,</w:t>
      </w:r>
      <w:bookmarkEnd w:id="46"/>
      <w:r w:rsidRPr="0061205F">
        <w:rPr>
          <w:rFonts w:cs="Arial"/>
          <w:b/>
          <w:color w:val="000000" w:themeColor="text1"/>
          <w:szCs w:val="16"/>
        </w:rPr>
        <w:t xml:space="preserve"> and the steps taken to reduce any identified bias and promote response from a broad cross section of </w:t>
      </w:r>
      <w:r w:rsidR="009B0EF0" w:rsidRPr="007A62B9">
        <w:rPr>
          <w:rFonts w:cs="Arial"/>
          <w:b/>
          <w:szCs w:val="16"/>
        </w:rPr>
        <w:t>parents of children with disabilities</w:t>
      </w:r>
      <w:r w:rsidRPr="0061205F">
        <w:rPr>
          <w:rFonts w:cs="Arial"/>
          <w:b/>
          <w:color w:val="000000" w:themeColor="text1"/>
          <w:szCs w:val="16"/>
        </w:rPr>
        <w:t>.</w:t>
      </w:r>
    </w:p>
    <w:p w14:paraId="36D187F6" w14:textId="77777777" w:rsidR="00090132" w:rsidRPr="000A2B9F" w:rsidRDefault="00090132" w:rsidP="00090132">
      <w:pPr>
        <w:rPr>
          <w:rFonts w:cs="Arial"/>
          <w:b/>
          <w:color w:val="000000" w:themeColor="text1"/>
          <w:szCs w:val="16"/>
        </w:rPr>
      </w:pPr>
      <w:r>
        <w:rPr>
          <w:rFonts w:cs="Arial"/>
          <w:szCs w:val="16"/>
        </w:rPr>
        <w:t xml:space="preserve">To investigate nonresponse bias, we first examined the actual response rates compared to the number of students in the sample for the following demographic categories: gender, race/ethnicity, region, and disability category. Most of the demographic categories showed that an acceptable percentage of parents of students within each category completed the parent survey with the range of difference between 0.02% and 2.99%. Colorado uses +/-3% discrepancy in the proportion of responders compared to sampled group to determine </w:t>
      </w:r>
      <w:proofErr w:type="gramStart"/>
      <w:r>
        <w:rPr>
          <w:rFonts w:cs="Arial"/>
          <w:szCs w:val="16"/>
        </w:rPr>
        <w:t>non response</w:t>
      </w:r>
      <w:proofErr w:type="gramEnd"/>
      <w:r>
        <w:rPr>
          <w:rFonts w:cs="Arial"/>
          <w:szCs w:val="16"/>
        </w:rPr>
        <w:t xml:space="preserve"> bias. Parents of Hispanic/Latino students accounted for 38.21% of the sampled group and 34.86% of that group completed the survey for a difference of -3.35%. Parents of students with specific learning disability accounted for 38.05% of the sampled group responded at 33.48%, a lower rate than expected (-4.58%). Parents of students in the Denver Metro Region (+4.09%) and North Central Region (+3.43%) responded at a higher than expected rate, while parents of students in the West Central Region responded at a lower rate than expected (-3.31%).</w:t>
      </w:r>
      <w:r>
        <w:rPr>
          <w:rFonts w:cs="Arial"/>
          <w:szCs w:val="16"/>
        </w:rPr>
        <w:br/>
      </w:r>
      <w:r>
        <w:rPr>
          <w:rFonts w:cs="Arial"/>
          <w:szCs w:val="16"/>
        </w:rPr>
        <w:br/>
        <w:t xml:space="preserve">With support from the IDEA Data Center (IDC) staff and using the IDC Nonresponse Bias Application (NRBA) tool, we examined the variation in the parent agreement in all demographic categories and subgroups to see if the responses were meaningfully different from the overall rate of agreement reported by the State which was 78.69%. We found no significant difference for the underrepresented subgroups, therefore there is no evidence of nonresponse bias.  </w:t>
      </w:r>
    </w:p>
    <w:p w14:paraId="78A83A27" w14:textId="50D5E24D" w:rsidR="001F448F" w:rsidRDefault="001F448F" w:rsidP="00A12797">
      <w:pPr>
        <w:rPr>
          <w:b/>
          <w:bCs/>
        </w:rPr>
      </w:pPr>
    </w:p>
    <w:tbl>
      <w:tblPr>
        <w:tblStyle w:val="TableGrid"/>
        <w:tblW w:w="0" w:type="auto"/>
        <w:tblLayout w:type="fixed"/>
        <w:tblLook w:val="04A0" w:firstRow="1" w:lastRow="0" w:firstColumn="1" w:lastColumn="0" w:noHBand="0" w:noVBand="1"/>
        <w:tblCaption w:val="B08SAMPLEUSED"/>
      </w:tblPr>
      <w:tblGrid>
        <w:gridCol w:w="8550"/>
        <w:gridCol w:w="2245"/>
      </w:tblGrid>
      <w:tr w:rsidR="005C29F8" w:rsidRPr="00781112" w14:paraId="4C454EA6" w14:textId="77777777" w:rsidTr="002B4D97">
        <w:trPr>
          <w:tblHeader/>
        </w:trPr>
        <w:tc>
          <w:tcPr>
            <w:tcW w:w="8550" w:type="dxa"/>
            <w:shd w:val="clear" w:color="auto" w:fill="auto"/>
          </w:tcPr>
          <w:p w14:paraId="641A3E2E" w14:textId="371AB589" w:rsidR="00564D95" w:rsidRPr="00781112" w:rsidRDefault="00E91363" w:rsidP="00B6413B">
            <w:pPr>
              <w:rPr>
                <w:rFonts w:cs="Arial"/>
                <w:b/>
                <w:bCs/>
                <w:color w:val="000000" w:themeColor="text1"/>
                <w:szCs w:val="16"/>
              </w:rPr>
            </w:pPr>
            <w:r w:rsidRPr="00781112">
              <w:rPr>
                <w:rFonts w:cs="Arial"/>
                <w:b/>
                <w:bCs/>
                <w:color w:val="000000" w:themeColor="text1"/>
                <w:szCs w:val="16"/>
              </w:rPr>
              <w:t>Sampling Question</w:t>
            </w:r>
          </w:p>
        </w:tc>
        <w:tc>
          <w:tcPr>
            <w:tcW w:w="2245" w:type="dxa"/>
            <w:shd w:val="clear" w:color="auto" w:fill="auto"/>
          </w:tcPr>
          <w:p w14:paraId="5DD050D6" w14:textId="45F46418" w:rsidR="00564D95" w:rsidRPr="00781112" w:rsidRDefault="00564D95" w:rsidP="001011BB">
            <w:pPr>
              <w:jc w:val="center"/>
              <w:rPr>
                <w:rFonts w:cs="Arial"/>
                <w:b/>
                <w:color w:val="000000" w:themeColor="text1"/>
                <w:szCs w:val="16"/>
              </w:rPr>
            </w:pPr>
            <w:r w:rsidRPr="00781112">
              <w:rPr>
                <w:rFonts w:cs="Arial"/>
                <w:b/>
                <w:color w:val="000000" w:themeColor="text1"/>
                <w:szCs w:val="16"/>
              </w:rPr>
              <w:t>Yes / No</w:t>
            </w:r>
          </w:p>
        </w:tc>
      </w:tr>
      <w:tr w:rsidR="005C29F8" w:rsidRPr="00781112" w14:paraId="65780CF1" w14:textId="46D0A53A" w:rsidTr="002B4D97">
        <w:tc>
          <w:tcPr>
            <w:tcW w:w="8550" w:type="dxa"/>
            <w:shd w:val="clear" w:color="auto" w:fill="auto"/>
          </w:tcPr>
          <w:p w14:paraId="43F69327" w14:textId="1229D955" w:rsidR="00564D95" w:rsidRPr="00781112" w:rsidRDefault="00564D95" w:rsidP="00B6413B">
            <w:pPr>
              <w:rPr>
                <w:rFonts w:cs="Arial"/>
                <w:color w:val="000000" w:themeColor="text1"/>
                <w:szCs w:val="16"/>
              </w:rPr>
            </w:pPr>
            <w:r w:rsidRPr="00781112">
              <w:rPr>
                <w:rFonts w:cs="Arial"/>
                <w:color w:val="000000" w:themeColor="text1"/>
                <w:szCs w:val="16"/>
              </w:rPr>
              <w:t xml:space="preserve">Was sampling used? </w:t>
            </w:r>
          </w:p>
        </w:tc>
        <w:tc>
          <w:tcPr>
            <w:tcW w:w="2245" w:type="dxa"/>
            <w:shd w:val="clear" w:color="auto" w:fill="auto"/>
          </w:tcPr>
          <w:p w14:paraId="1BA005BB" w14:textId="4AC8FD0F" w:rsidR="00564D95" w:rsidRPr="00781112" w:rsidRDefault="002B7490" w:rsidP="00A018D4">
            <w:pPr>
              <w:jc w:val="center"/>
              <w:rPr>
                <w:rFonts w:cs="Arial"/>
                <w:color w:val="000000" w:themeColor="text1"/>
                <w:szCs w:val="16"/>
              </w:rPr>
            </w:pPr>
            <w:r w:rsidRPr="00781112">
              <w:rPr>
                <w:rFonts w:cs="Arial"/>
                <w:color w:val="000000" w:themeColor="text1"/>
                <w:szCs w:val="16"/>
              </w:rPr>
              <w:t>YES</w:t>
            </w:r>
          </w:p>
        </w:tc>
      </w:tr>
      <w:tr w:rsidR="005C29F8" w:rsidRPr="00781112" w14:paraId="46B6D7FE" w14:textId="62FEECDE" w:rsidTr="002B4D97">
        <w:tc>
          <w:tcPr>
            <w:tcW w:w="8550" w:type="dxa"/>
            <w:shd w:val="clear" w:color="auto" w:fill="auto"/>
          </w:tcPr>
          <w:p w14:paraId="03CC110D" w14:textId="013D0EF2" w:rsidR="00564D95" w:rsidRPr="00781112" w:rsidRDefault="00EF1C23" w:rsidP="00B6413B">
            <w:pPr>
              <w:rPr>
                <w:rFonts w:cs="Arial"/>
                <w:color w:val="000000" w:themeColor="text1"/>
                <w:szCs w:val="16"/>
              </w:rPr>
            </w:pPr>
            <w:r w:rsidRPr="00781112">
              <w:rPr>
                <w:rFonts w:cs="Arial"/>
                <w:color w:val="000000" w:themeColor="text1"/>
                <w:szCs w:val="16"/>
              </w:rPr>
              <w:t>If yes, has your previously approved sampling plan changed?</w:t>
            </w:r>
          </w:p>
        </w:tc>
        <w:tc>
          <w:tcPr>
            <w:tcW w:w="2245" w:type="dxa"/>
            <w:shd w:val="clear" w:color="auto" w:fill="auto"/>
          </w:tcPr>
          <w:p w14:paraId="152E1EC0" w14:textId="4401EFC8" w:rsidR="00564D95" w:rsidRPr="00781112" w:rsidRDefault="002B7490" w:rsidP="00A018D4">
            <w:pPr>
              <w:jc w:val="center"/>
              <w:rPr>
                <w:rFonts w:cs="Arial"/>
                <w:color w:val="000000" w:themeColor="text1"/>
                <w:szCs w:val="16"/>
              </w:rPr>
            </w:pPr>
            <w:r w:rsidRPr="00781112">
              <w:rPr>
                <w:rFonts w:cs="Arial"/>
                <w:color w:val="000000" w:themeColor="text1"/>
                <w:szCs w:val="16"/>
              </w:rPr>
              <w:t>NO</w:t>
            </w:r>
          </w:p>
        </w:tc>
      </w:tr>
    </w:tbl>
    <w:p w14:paraId="7C7B18C6" w14:textId="2B0391C4" w:rsidR="009B37A2" w:rsidRPr="00781112" w:rsidRDefault="009B37A2" w:rsidP="00B6413B">
      <w:pPr>
        <w:rPr>
          <w:rFonts w:cs="Arial"/>
          <w:b/>
          <w:color w:val="000000" w:themeColor="text1"/>
          <w:szCs w:val="16"/>
        </w:rPr>
      </w:pPr>
      <w:r w:rsidRPr="00781112">
        <w:rPr>
          <w:rFonts w:cs="Arial"/>
          <w:b/>
          <w:color w:val="000000" w:themeColor="text1"/>
          <w:szCs w:val="16"/>
        </w:rPr>
        <w:t>Describe the sampling methodology outlining how the design will yield valid and reliable estimates.</w:t>
      </w:r>
    </w:p>
    <w:p w14:paraId="1972664F" w14:textId="35FA6AAA" w:rsidR="009B37A2" w:rsidRPr="00781112" w:rsidRDefault="002B7490" w:rsidP="00B6413B">
      <w:pPr>
        <w:rPr>
          <w:rFonts w:cs="Arial"/>
          <w:color w:val="000000" w:themeColor="text1"/>
          <w:szCs w:val="16"/>
        </w:rPr>
      </w:pPr>
      <w:r w:rsidRPr="00781112">
        <w:rPr>
          <w:rFonts w:cs="Arial"/>
          <w:color w:val="000000" w:themeColor="text1"/>
          <w:szCs w:val="16"/>
        </w:rPr>
        <w:t>All Administrative Units (AUs) conduct parent surveys every year. The population data from which we sample is our annual child count data, December Count. Colorado uses a stratified multi-stage sample design where strata are defined by AU size. Colorado uses a combination of census and sampling for Indicator 8 data collection. All AUs are selected annually. CO does not use a separate methodology for preschool children. School age and preschool students are collected in the same way. AUs are classified into four strata: small, medium, large, and extra-large AUs. The sample for each AU is determined by the count of students with disabilities reported by the AU in December Count. The student sample is disaggregated by race/ethnicity for each AU. The sample size is proportionate to those disaggregated numbers. In the Data Management System (DMS), we enter the number of students required to be sampled in each AU and each racial group. The DMS randomly selects the students from the population of that AU.</w:t>
      </w:r>
      <w:r w:rsidRPr="00781112">
        <w:rPr>
          <w:rFonts w:cs="Arial"/>
          <w:color w:val="000000" w:themeColor="text1"/>
          <w:szCs w:val="16"/>
        </w:rPr>
        <w:br/>
        <w:t>• AUs with 1 - 100 students with disabilities sample size is a census</w:t>
      </w:r>
      <w:r w:rsidRPr="00781112">
        <w:rPr>
          <w:rFonts w:cs="Arial"/>
          <w:color w:val="000000" w:themeColor="text1"/>
          <w:szCs w:val="16"/>
        </w:rPr>
        <w:br/>
        <w:t>• AUs with 101-1,000 students with disabilities sample size is 50</w:t>
      </w:r>
      <w:r w:rsidRPr="00781112">
        <w:rPr>
          <w:rFonts w:cs="Arial"/>
          <w:color w:val="000000" w:themeColor="text1"/>
          <w:szCs w:val="16"/>
        </w:rPr>
        <w:br/>
        <w:t>• AUs with 1,001-5,000 students with disabilities sample size is 100</w:t>
      </w:r>
      <w:r w:rsidRPr="00781112">
        <w:rPr>
          <w:rFonts w:cs="Arial"/>
          <w:color w:val="000000" w:themeColor="text1"/>
          <w:szCs w:val="16"/>
        </w:rPr>
        <w:br/>
        <w:t>• AUs with more than 5,000 students with disabilities sample size is 200</w:t>
      </w:r>
      <w:r w:rsidRPr="00781112">
        <w:rPr>
          <w:rFonts w:cs="Arial"/>
          <w:color w:val="000000" w:themeColor="text1"/>
          <w:szCs w:val="16"/>
        </w:rPr>
        <w:br/>
        <w:t xml:space="preserve">When AUs have fewer than 100 students with disabilities reported in December Count, the parent survey is sent to all parents (i.e., census). To ensure personally identifiable information about individual children, or where the available data are insufficient to yield statistically reliable information, Colorado suppresses data with student counts of less than 16 for all public reporting. When AUs have 100 – 1,000 students with disabilities reported in December Count, the AU is provided a list of 100 parents of randomly selected students. For AUs with 1,001 – 5,000 students with disabilities reported in December Count, the AU is provided with a list of 200 parents of randomly selected students. AUs reporting more than 5,000 students with disabilities in their December Count receive a list of 400 parents of randomly selected students. </w:t>
      </w:r>
      <w:r w:rsidRPr="00781112">
        <w:rPr>
          <w:rFonts w:cs="Arial"/>
          <w:color w:val="000000" w:themeColor="text1"/>
          <w:szCs w:val="16"/>
        </w:rPr>
        <w:br/>
        <w:t xml:space="preserve">AUs are expected to send out the first half of the surveys in their sample list. The oversampling provides additional students to replace any student who is no longer in the AUs jurisdiction due to moving, exiting special education, etc. This sampling methodology yields 5,034 number of parents of students with disabilities (as of SY2021-22) expected to participate in the parent survey process out of 100,560 students with disabilities reported in December Count (as of SY2021-22). This means that CO expects to see parent participation of 0.5% of the total students with disabilities on </w:t>
      </w:r>
      <w:proofErr w:type="gramStart"/>
      <w:r w:rsidRPr="00781112">
        <w:rPr>
          <w:rFonts w:cs="Arial"/>
          <w:color w:val="000000" w:themeColor="text1"/>
          <w:szCs w:val="16"/>
        </w:rPr>
        <w:t>December</w:t>
      </w:r>
      <w:proofErr w:type="gramEnd"/>
      <w:r w:rsidRPr="00781112">
        <w:rPr>
          <w:rFonts w:cs="Arial"/>
          <w:color w:val="000000" w:themeColor="text1"/>
          <w:szCs w:val="16"/>
        </w:rPr>
        <w:t xml:space="preserve"> Count in the sample. Colorado's sampling methodology makes it possible to reduce the sample size required to achieve randomness and makes the proportionate representation in the sample more likely. In fact, in the SY2021-22 data, the demographic characteristics of the sampled students were proportionate to the population of total students reported in December Count. Data </w:t>
      </w:r>
      <w:proofErr w:type="gramStart"/>
      <w:r w:rsidRPr="00781112">
        <w:rPr>
          <w:rFonts w:cs="Arial"/>
          <w:color w:val="000000" w:themeColor="text1"/>
          <w:szCs w:val="16"/>
        </w:rPr>
        <w:t>are</w:t>
      </w:r>
      <w:proofErr w:type="gramEnd"/>
      <w:r w:rsidRPr="00781112">
        <w:rPr>
          <w:rFonts w:cs="Arial"/>
          <w:color w:val="000000" w:themeColor="text1"/>
          <w:szCs w:val="16"/>
        </w:rPr>
        <w:t xml:space="preserve"> collected through an online parent survey protocol in the Colorado Data Management System (DMS), PDF uploads, and mail in surveys. A system of checks and balances is incorporated into the DMS to ensure parents can efficiently and accurately complete the survey. Answering certain questions will unlock follow-up questions (skip patterns) to drive parents to questions that need a response. If a question is missed, the system sends the survey taker to the question in the protocol that needs to be answered. As parents enter surveys, parents will receive a prompt to answer at least 12 of the 15 questions for their survey to be recorded as a valid survey. Once a survey has started, and if it is not finished, the responses are saved, and the survey taker can return to complete it later. Only completed surveys are “submitted” in the DMS and used for calculating Indicator 8 results. Data from incomplete surveys is captured in the DMS but not used for calculating Indicator 8 results. </w:t>
      </w:r>
      <w:r w:rsidRPr="00781112">
        <w:rPr>
          <w:rFonts w:cs="Arial"/>
          <w:color w:val="000000" w:themeColor="text1"/>
          <w:szCs w:val="16"/>
        </w:rPr>
        <w:br/>
        <w:t>The functionality of the DMS provides the ability to check the validity of the data. Data cleaning will include verifying that the DMS is functioning as expected regarding the number of questions answered, answers to questions, number of surveys returned, number of AUs with returned surveys, and incomplete surveys.</w:t>
      </w:r>
      <w:r w:rsidRPr="00781112">
        <w:rPr>
          <w:rFonts w:cs="Arial"/>
          <w:color w:val="000000" w:themeColor="text1"/>
          <w:szCs w:val="16"/>
        </w:rPr>
        <w:br/>
        <w:t xml:space="preserve">Colorado takes data quality seriously. To ensure high response rates, CO checks the data collection monthly throughout the collection period and on a weekly basis in the last month of the collection period. Colorado will pull the data and calculate the </w:t>
      </w:r>
      <w:proofErr w:type="gramStart"/>
      <w:r w:rsidRPr="00781112">
        <w:rPr>
          <w:rFonts w:cs="Arial"/>
          <w:color w:val="000000" w:themeColor="text1"/>
          <w:szCs w:val="16"/>
        </w:rPr>
        <w:t>Indicator</w:t>
      </w:r>
      <w:proofErr w:type="gramEnd"/>
      <w:r w:rsidRPr="00781112">
        <w:rPr>
          <w:rFonts w:cs="Arial"/>
          <w:color w:val="000000" w:themeColor="text1"/>
          <w:szCs w:val="16"/>
        </w:rPr>
        <w:t xml:space="preserve"> 8 responses half-way through the collection period. As IDEA Data Center recommends, we investigate nonresponse bias by examining the responses that came in from parents at the end of the data collection period, as a proxy for nonresponders, compared to responses that came in during the beginning and middle of the data collection period. The IDEA data center notes that this method does not add additional costs to the data collection and provides insight into whether results may be biased. We divide the responses before/after Feb 1st to create the “beginning and middle” response group and the “towards the end” response group includes responses collected between Feb 1st and June 30th. Colorado uses multiple communication strategies including newsletters notifications to all AUs, and emails and phone calls to AUs who have low response rates. To address missing data, the </w:t>
      </w:r>
      <w:proofErr w:type="gramStart"/>
      <w:r w:rsidRPr="00781112">
        <w:rPr>
          <w:rFonts w:cs="Arial"/>
          <w:color w:val="000000" w:themeColor="text1"/>
          <w:szCs w:val="16"/>
        </w:rPr>
        <w:t>Indicator</w:t>
      </w:r>
      <w:proofErr w:type="gramEnd"/>
      <w:r w:rsidRPr="00781112">
        <w:rPr>
          <w:rFonts w:cs="Arial"/>
          <w:color w:val="000000" w:themeColor="text1"/>
          <w:szCs w:val="16"/>
        </w:rPr>
        <w:t xml:space="preserve"> 8 Lead Consultant contacts AUs who are missing data and makes sure that AUs attempt to reach all parents of students in their sample. Selection bias is taken care of through the random sample within the stratified sampling process</w:t>
      </w:r>
    </w:p>
    <w:p w14:paraId="12C8B638" w14:textId="77777777" w:rsidR="00AF550B" w:rsidRPr="00781112" w:rsidRDefault="00AF550B" w:rsidP="00AF550B">
      <w:pPr>
        <w:rPr>
          <w:rFonts w:cs="Arial"/>
          <w:color w:val="000000" w:themeColor="text1"/>
          <w:szCs w:val="16"/>
        </w:rPr>
      </w:pPr>
    </w:p>
    <w:tbl>
      <w:tblPr>
        <w:tblStyle w:val="TableGrid"/>
        <w:tblW w:w="10800" w:type="dxa"/>
        <w:tblLayout w:type="fixed"/>
        <w:tblLook w:val="04A0" w:firstRow="1" w:lastRow="0" w:firstColumn="1" w:lastColumn="0" w:noHBand="0" w:noVBand="1"/>
        <w:tblCaption w:val="B08SURVEYUSED"/>
      </w:tblPr>
      <w:tblGrid>
        <w:gridCol w:w="8550"/>
        <w:gridCol w:w="2250"/>
      </w:tblGrid>
      <w:tr w:rsidR="005C29F8" w:rsidRPr="00781112" w14:paraId="5A4C524D" w14:textId="77777777" w:rsidTr="0033429D">
        <w:trPr>
          <w:tblHeader/>
        </w:trPr>
        <w:tc>
          <w:tcPr>
            <w:tcW w:w="8550" w:type="dxa"/>
          </w:tcPr>
          <w:p w14:paraId="3B302184" w14:textId="3C2CBF4D" w:rsidR="00B5350E" w:rsidRPr="00781112" w:rsidRDefault="00BC5CA0" w:rsidP="00B6413B">
            <w:pPr>
              <w:rPr>
                <w:rFonts w:cs="Arial"/>
                <w:b/>
                <w:bCs/>
                <w:color w:val="000000" w:themeColor="text1"/>
                <w:szCs w:val="16"/>
              </w:rPr>
            </w:pPr>
            <w:r w:rsidRPr="00781112">
              <w:rPr>
                <w:rFonts w:cs="Arial"/>
                <w:b/>
                <w:bCs/>
                <w:color w:val="000000" w:themeColor="text1"/>
                <w:szCs w:val="16"/>
              </w:rPr>
              <w:t>Survey Question</w:t>
            </w:r>
          </w:p>
        </w:tc>
        <w:tc>
          <w:tcPr>
            <w:tcW w:w="2250" w:type="dxa"/>
          </w:tcPr>
          <w:p w14:paraId="4082973A" w14:textId="148FA82D" w:rsidR="00B5350E" w:rsidRPr="00781112" w:rsidRDefault="00B5350E" w:rsidP="001011BB">
            <w:pPr>
              <w:jc w:val="center"/>
              <w:rPr>
                <w:rFonts w:cs="Arial"/>
                <w:b/>
                <w:color w:val="000000" w:themeColor="text1"/>
                <w:szCs w:val="16"/>
              </w:rPr>
            </w:pPr>
            <w:r w:rsidRPr="00781112">
              <w:rPr>
                <w:rFonts w:cs="Arial"/>
                <w:b/>
                <w:color w:val="000000" w:themeColor="text1"/>
                <w:szCs w:val="16"/>
              </w:rPr>
              <w:t>Yes / No</w:t>
            </w:r>
          </w:p>
        </w:tc>
      </w:tr>
      <w:tr w:rsidR="005C29F8" w:rsidRPr="00781112" w14:paraId="2BBB7A7B" w14:textId="530EE0A4" w:rsidTr="00E0321D">
        <w:tc>
          <w:tcPr>
            <w:tcW w:w="8550" w:type="dxa"/>
          </w:tcPr>
          <w:p w14:paraId="1C595FC3" w14:textId="00C59640" w:rsidR="00B5350E" w:rsidRPr="00781112" w:rsidRDefault="00B5350E" w:rsidP="00B6413B">
            <w:pPr>
              <w:rPr>
                <w:rFonts w:cs="Arial"/>
                <w:color w:val="000000" w:themeColor="text1"/>
                <w:szCs w:val="16"/>
              </w:rPr>
            </w:pPr>
            <w:r w:rsidRPr="00781112">
              <w:rPr>
                <w:rFonts w:cs="Arial"/>
                <w:color w:val="000000" w:themeColor="text1"/>
                <w:szCs w:val="16"/>
              </w:rPr>
              <w:t xml:space="preserve">Was a survey used? </w:t>
            </w:r>
          </w:p>
        </w:tc>
        <w:tc>
          <w:tcPr>
            <w:tcW w:w="2250" w:type="dxa"/>
          </w:tcPr>
          <w:p w14:paraId="694FDC95" w14:textId="251E84C1" w:rsidR="00B5350E" w:rsidRPr="00781112" w:rsidRDefault="002B7490" w:rsidP="00A018D4">
            <w:pPr>
              <w:jc w:val="center"/>
              <w:rPr>
                <w:rFonts w:cs="Arial"/>
                <w:color w:val="000000" w:themeColor="text1"/>
                <w:szCs w:val="16"/>
              </w:rPr>
            </w:pPr>
            <w:r w:rsidRPr="00781112">
              <w:rPr>
                <w:rFonts w:cs="Arial"/>
                <w:color w:val="000000" w:themeColor="text1"/>
                <w:szCs w:val="16"/>
              </w:rPr>
              <w:t>YES</w:t>
            </w:r>
          </w:p>
        </w:tc>
      </w:tr>
      <w:tr w:rsidR="005C29F8" w:rsidRPr="00781112" w14:paraId="1198B60F" w14:textId="5AD58247" w:rsidTr="00E0321D">
        <w:tc>
          <w:tcPr>
            <w:tcW w:w="8550" w:type="dxa"/>
          </w:tcPr>
          <w:p w14:paraId="7B6CA23B" w14:textId="49CC8BE9" w:rsidR="00B5350E" w:rsidRPr="00781112" w:rsidRDefault="0020552B" w:rsidP="00B6413B">
            <w:pPr>
              <w:rPr>
                <w:rFonts w:cs="Arial"/>
                <w:color w:val="000000" w:themeColor="text1"/>
                <w:szCs w:val="16"/>
              </w:rPr>
            </w:pPr>
            <w:r w:rsidRPr="00781112">
              <w:rPr>
                <w:rFonts w:cs="Arial"/>
                <w:color w:val="000000" w:themeColor="text1"/>
                <w:szCs w:val="16"/>
              </w:rPr>
              <w:t>If yes, is it a new or revised survey?</w:t>
            </w:r>
          </w:p>
        </w:tc>
        <w:tc>
          <w:tcPr>
            <w:tcW w:w="2250" w:type="dxa"/>
          </w:tcPr>
          <w:p w14:paraId="7CA6C425" w14:textId="5334C716" w:rsidR="00B5350E" w:rsidRPr="00781112" w:rsidRDefault="002B7490" w:rsidP="00A018D4">
            <w:pPr>
              <w:jc w:val="center"/>
              <w:rPr>
                <w:rFonts w:cs="Arial"/>
                <w:color w:val="000000" w:themeColor="text1"/>
                <w:szCs w:val="16"/>
              </w:rPr>
            </w:pPr>
            <w:r w:rsidRPr="00781112">
              <w:rPr>
                <w:rFonts w:cs="Arial"/>
                <w:color w:val="000000" w:themeColor="text1"/>
                <w:szCs w:val="16"/>
              </w:rPr>
              <w:t>NO</w:t>
            </w:r>
          </w:p>
        </w:tc>
      </w:tr>
      <w:tr w:rsidR="005C29F8" w:rsidRPr="00781112" w14:paraId="20B301BF" w14:textId="77777777" w:rsidTr="00E0321D">
        <w:tc>
          <w:tcPr>
            <w:tcW w:w="8550" w:type="dxa"/>
          </w:tcPr>
          <w:p w14:paraId="5941AFA2" w14:textId="5CB4672E" w:rsidR="00371D57" w:rsidRPr="00781112" w:rsidRDefault="00BB56EB" w:rsidP="00B6413B">
            <w:pPr>
              <w:rPr>
                <w:rFonts w:cs="Arial"/>
                <w:color w:val="000000" w:themeColor="text1"/>
                <w:szCs w:val="16"/>
              </w:rPr>
            </w:pPr>
            <w:r w:rsidRPr="00781112">
              <w:rPr>
                <w:rFonts w:cs="Arial"/>
                <w:color w:val="000000" w:themeColor="text1"/>
                <w:szCs w:val="16"/>
              </w:rPr>
              <w:t>If yes, provide a copy of the survey.</w:t>
            </w:r>
          </w:p>
        </w:tc>
        <w:tc>
          <w:tcPr>
            <w:tcW w:w="2250" w:type="dxa"/>
          </w:tcPr>
          <w:p w14:paraId="47FBC4A0" w14:textId="3B42F246" w:rsidR="00371D57" w:rsidRPr="00781112" w:rsidRDefault="00371D57" w:rsidP="00A018D4">
            <w:pPr>
              <w:jc w:val="center"/>
              <w:rPr>
                <w:rFonts w:cs="Arial"/>
                <w:color w:val="000000" w:themeColor="text1"/>
                <w:szCs w:val="16"/>
              </w:rPr>
            </w:pPr>
          </w:p>
        </w:tc>
      </w:tr>
    </w:tbl>
    <w:p w14:paraId="15C9B2F7" w14:textId="77777777" w:rsidR="00991685" w:rsidRDefault="00991685" w:rsidP="00221EC9">
      <w:pPr>
        <w:rPr>
          <w:rFonts w:cs="Arial"/>
          <w:b/>
          <w:color w:val="000000" w:themeColor="text1"/>
          <w:szCs w:val="16"/>
        </w:rPr>
      </w:pPr>
    </w:p>
    <w:p w14:paraId="1A0A4F5E" w14:textId="49FD4EED" w:rsidR="00221EC9" w:rsidRPr="00781112" w:rsidRDefault="00221EC9" w:rsidP="00221EC9">
      <w:pPr>
        <w:rPr>
          <w:rFonts w:cs="Arial"/>
          <w:b/>
          <w:color w:val="000000" w:themeColor="text1"/>
          <w:szCs w:val="16"/>
        </w:rPr>
      </w:pPr>
      <w:r w:rsidRPr="00781112">
        <w:rPr>
          <w:rFonts w:cs="Arial"/>
          <w:b/>
          <w:color w:val="000000" w:themeColor="text1"/>
          <w:szCs w:val="16"/>
        </w:rPr>
        <w:t>Provide additional information about this indicator (optional)</w:t>
      </w:r>
    </w:p>
    <w:p w14:paraId="7F22D6A0" w14:textId="105FEEC5" w:rsidR="009B37A2" w:rsidRPr="00781112" w:rsidRDefault="009B37A2" w:rsidP="007D435F">
      <w:pPr>
        <w:rPr>
          <w:rFonts w:cs="Arial"/>
          <w:color w:val="000000" w:themeColor="text1"/>
          <w:szCs w:val="16"/>
        </w:rPr>
      </w:pPr>
    </w:p>
    <w:p w14:paraId="1CDDE440" w14:textId="050C9555" w:rsidR="000A2C83" w:rsidRPr="00781112" w:rsidRDefault="00752BAF" w:rsidP="008645AD">
      <w:pPr>
        <w:pStyle w:val="Heading2"/>
      </w:pPr>
      <w:r w:rsidRPr="00781112">
        <w:t>8</w:t>
      </w:r>
      <w:r w:rsidR="001F6BAA" w:rsidRPr="00781112">
        <w:t xml:space="preserve"> </w:t>
      </w:r>
      <w:r w:rsidRPr="00781112">
        <w:t xml:space="preserve">- </w:t>
      </w:r>
      <w:r w:rsidR="000A2C83" w:rsidRPr="00781112">
        <w:t>Prior FFY Required Actions</w:t>
      </w:r>
    </w:p>
    <w:p w14:paraId="078A2B9E" w14:textId="64337A5A" w:rsidR="000A2C83" w:rsidRPr="00781112" w:rsidRDefault="002B7490" w:rsidP="000A2C83">
      <w:pPr>
        <w:rPr>
          <w:rFonts w:cs="Arial"/>
          <w:color w:val="000000" w:themeColor="text1"/>
          <w:szCs w:val="16"/>
        </w:rPr>
      </w:pPr>
      <w:r w:rsidRPr="00781112">
        <w:rPr>
          <w:rFonts w:cs="Arial"/>
          <w:color w:val="000000" w:themeColor="text1"/>
          <w:szCs w:val="16"/>
        </w:rPr>
        <w:t>In the FFY 2022 SPP/APR, the State must report whether the FFY 2022 data are from a response group that is representative of the demographics of children receiving special education services, and, if not, the actions the State is taking to address this issue. The State must also include its analysis of the extent to which the demographics of the parents responding are representative of the demographics of children receiving special education services.</w:t>
      </w:r>
    </w:p>
    <w:p w14:paraId="5AB800FF" w14:textId="0E5A84CD" w:rsidR="000A2C83" w:rsidRPr="00781112" w:rsidRDefault="007639D7" w:rsidP="004369B2">
      <w:pPr>
        <w:rPr>
          <w:b/>
          <w:color w:val="000000" w:themeColor="text1"/>
        </w:rPr>
      </w:pPr>
      <w:r>
        <w:rPr>
          <w:b/>
          <w:color w:val="000000" w:themeColor="text1"/>
        </w:rPr>
        <w:t>Response to actions required in FFY 2021 SPP/APR</w:t>
      </w:r>
    </w:p>
    <w:p w14:paraId="03E9CB46" w14:textId="594F3FDD" w:rsidR="007757B1" w:rsidRPr="00781112" w:rsidRDefault="002B7490" w:rsidP="007757B1">
      <w:pPr>
        <w:rPr>
          <w:rFonts w:cs="Arial"/>
          <w:color w:val="000000" w:themeColor="text1"/>
          <w:szCs w:val="16"/>
        </w:rPr>
      </w:pPr>
      <w:r w:rsidRPr="00781112">
        <w:rPr>
          <w:rFonts w:cs="Arial"/>
          <w:color w:val="000000" w:themeColor="text1"/>
          <w:szCs w:val="16"/>
        </w:rPr>
        <w:t xml:space="preserve">Colorado reported the representativeness of the demographics of children receiving special education services and the actions the State is taking to address this issue. We do not collect the demographics of the parents responding to the survey. We reached out and were advised by our OSEP state lead that the language in the required action statement above about "demographics of the parents" is </w:t>
      </w:r>
      <w:proofErr w:type="gramStart"/>
      <w:r w:rsidRPr="00781112">
        <w:rPr>
          <w:rFonts w:cs="Arial"/>
          <w:color w:val="000000" w:themeColor="text1"/>
          <w:szCs w:val="16"/>
        </w:rPr>
        <w:t>confusing</w:t>
      </w:r>
      <w:proofErr w:type="gramEnd"/>
      <w:r w:rsidRPr="00781112">
        <w:rPr>
          <w:rFonts w:cs="Arial"/>
          <w:color w:val="000000" w:themeColor="text1"/>
          <w:szCs w:val="16"/>
        </w:rPr>
        <w:t xml:space="preserve"> and the data team is working on revising it for next year to read the demographics of the children and not parents." </w:t>
      </w:r>
    </w:p>
    <w:p w14:paraId="5B521A52" w14:textId="17857299" w:rsidR="00221EC9" w:rsidRPr="00781112" w:rsidRDefault="00752BAF" w:rsidP="008645AD">
      <w:pPr>
        <w:pStyle w:val="Heading2"/>
      </w:pPr>
      <w:r w:rsidRPr="00781112">
        <w:t>8 - OSEP Response</w:t>
      </w:r>
    </w:p>
    <w:p w14:paraId="1A55D397" w14:textId="0DDAC080" w:rsidR="009B37A2" w:rsidRPr="00781112" w:rsidRDefault="009B37A2" w:rsidP="001F692C">
      <w:pPr>
        <w:rPr>
          <w:rFonts w:cs="Arial"/>
          <w:color w:val="000000" w:themeColor="text1"/>
          <w:szCs w:val="16"/>
        </w:rPr>
      </w:pPr>
    </w:p>
    <w:p w14:paraId="13389642" w14:textId="758A1D0A" w:rsidR="00221EC9" w:rsidRPr="00781112" w:rsidRDefault="00752BAF" w:rsidP="008645AD">
      <w:pPr>
        <w:pStyle w:val="Heading2"/>
      </w:pPr>
      <w:r w:rsidRPr="00781112">
        <w:t>8 - Required Actions</w:t>
      </w:r>
    </w:p>
    <w:p w14:paraId="48F68B87" w14:textId="7D160B08" w:rsidR="009B37A2" w:rsidRPr="00781112" w:rsidRDefault="002B7490" w:rsidP="001F692C">
      <w:pPr>
        <w:rPr>
          <w:rFonts w:cs="Arial"/>
          <w:color w:val="000000" w:themeColor="text1"/>
          <w:szCs w:val="16"/>
        </w:rPr>
      </w:pPr>
      <w:r w:rsidRPr="00781112">
        <w:rPr>
          <w:rFonts w:cs="Arial"/>
          <w:color w:val="000000" w:themeColor="text1"/>
          <w:szCs w:val="16"/>
        </w:rPr>
        <w:t xml:space="preserve">In the FFY 2023 SPP/APR, the State must report whether the FFY 2023 data are from a response group that is representative of the demographics of children receiving special education services, and, if not, the actions the State is taking to address this issue. The State must also include its analysis of the extent to which the response data are representative of the demographics of children receiving special education services. </w:t>
      </w:r>
    </w:p>
    <w:p w14:paraId="6D95E736" w14:textId="77777777" w:rsidR="00102FA3" w:rsidRPr="00781112" w:rsidRDefault="00102FA3">
      <w:pPr>
        <w:spacing w:before="0" w:after="200" w:line="276" w:lineRule="auto"/>
        <w:rPr>
          <w:rFonts w:eastAsiaTheme="majorEastAsia" w:cs="Arial"/>
          <w:b/>
          <w:bCs/>
          <w:color w:val="000000" w:themeColor="text1"/>
          <w:szCs w:val="16"/>
        </w:rPr>
      </w:pPr>
      <w:r w:rsidRPr="00781112">
        <w:rPr>
          <w:rFonts w:cs="Arial"/>
          <w:color w:val="000000" w:themeColor="text1"/>
          <w:szCs w:val="16"/>
        </w:rPr>
        <w:br w:type="page"/>
      </w:r>
    </w:p>
    <w:p w14:paraId="0E39FDA6" w14:textId="025763A2" w:rsidR="00D03701" w:rsidRPr="00781112" w:rsidRDefault="00D03701" w:rsidP="000444E2">
      <w:pPr>
        <w:pStyle w:val="Heading1"/>
        <w:rPr>
          <w:color w:val="000000" w:themeColor="text1"/>
          <w:sz w:val="22"/>
        </w:rPr>
      </w:pPr>
      <w:r w:rsidRPr="00781112">
        <w:rPr>
          <w:color w:val="000000" w:themeColor="text1"/>
          <w:sz w:val="22"/>
        </w:rPr>
        <w:lastRenderedPageBreak/>
        <w:t>Indicator 9: Disproportionate Representation</w:t>
      </w:r>
    </w:p>
    <w:p w14:paraId="30C4375D" w14:textId="77777777" w:rsidR="00AF5AFB" w:rsidRPr="00781112" w:rsidRDefault="00AF5AFB" w:rsidP="00A018D4">
      <w:pPr>
        <w:rPr>
          <w:color w:val="000000" w:themeColor="text1"/>
          <w:szCs w:val="20"/>
        </w:rPr>
      </w:pPr>
      <w:bookmarkStart w:id="47" w:name="_Toc384383343"/>
      <w:bookmarkStart w:id="48" w:name="_Toc392159311"/>
      <w:r w:rsidRPr="00781112">
        <w:rPr>
          <w:b/>
          <w:color w:val="000000" w:themeColor="text1"/>
          <w:sz w:val="20"/>
          <w:szCs w:val="20"/>
        </w:rPr>
        <w:t>Instructions and Measurement</w:t>
      </w:r>
    </w:p>
    <w:p w14:paraId="61C479DB" w14:textId="1E252334" w:rsidR="00CC634E" w:rsidRPr="00781112" w:rsidRDefault="00CC634E" w:rsidP="006357C5">
      <w:pPr>
        <w:rPr>
          <w:rFonts w:cs="Arial"/>
          <w:b/>
          <w:color w:val="000000" w:themeColor="text1"/>
          <w:szCs w:val="16"/>
        </w:rPr>
      </w:pPr>
      <w:r w:rsidRPr="00781112">
        <w:rPr>
          <w:rFonts w:cs="Arial"/>
          <w:b/>
          <w:color w:val="000000" w:themeColor="text1"/>
          <w:szCs w:val="16"/>
        </w:rPr>
        <w:t xml:space="preserve">Monitoring Priority: </w:t>
      </w:r>
      <w:r w:rsidRPr="00781112">
        <w:rPr>
          <w:rFonts w:cs="Arial"/>
          <w:color w:val="000000" w:themeColor="text1"/>
          <w:szCs w:val="16"/>
        </w:rPr>
        <w:t>Disproportionality</w:t>
      </w:r>
    </w:p>
    <w:p w14:paraId="2539829F" w14:textId="77777777" w:rsidR="00876394" w:rsidRPr="00781112" w:rsidRDefault="00CC634E" w:rsidP="006357C5">
      <w:pPr>
        <w:rPr>
          <w:rFonts w:cs="Arial"/>
          <w:color w:val="000000" w:themeColor="text1"/>
          <w:szCs w:val="16"/>
        </w:rPr>
      </w:pPr>
      <w:r w:rsidRPr="00781112">
        <w:rPr>
          <w:rFonts w:cs="Arial"/>
          <w:b/>
          <w:color w:val="000000" w:themeColor="text1"/>
          <w:szCs w:val="16"/>
        </w:rPr>
        <w:t>Compliance indicator</w:t>
      </w:r>
      <w:r w:rsidRPr="00781112">
        <w:rPr>
          <w:rFonts w:cs="Arial"/>
          <w:color w:val="000000" w:themeColor="text1"/>
          <w:szCs w:val="16"/>
        </w:rPr>
        <w:t xml:space="preserve">: Percent of districts with disproportionate representation of racial and ethnic groups in special education and related services that is the result of inappropriate identification. </w:t>
      </w:r>
    </w:p>
    <w:p w14:paraId="4983BB5F" w14:textId="28C83F84" w:rsidR="00CC634E" w:rsidRPr="00781112" w:rsidRDefault="00CC634E" w:rsidP="006357C5">
      <w:pPr>
        <w:rPr>
          <w:rFonts w:cs="Arial"/>
          <w:color w:val="000000" w:themeColor="text1"/>
          <w:szCs w:val="16"/>
        </w:rPr>
      </w:pPr>
      <w:r w:rsidRPr="00781112">
        <w:rPr>
          <w:rFonts w:cs="Arial"/>
          <w:color w:val="000000" w:themeColor="text1"/>
          <w:szCs w:val="16"/>
        </w:rPr>
        <w:t>(20 U.S.C. 1416(a)(3)(C))</w:t>
      </w:r>
    </w:p>
    <w:p w14:paraId="6D2519CF" w14:textId="77777777" w:rsidR="00A66715" w:rsidRPr="00781112" w:rsidRDefault="00A66715" w:rsidP="004369B2">
      <w:pPr>
        <w:rPr>
          <w:color w:val="000000" w:themeColor="text1"/>
        </w:rPr>
      </w:pPr>
      <w:r w:rsidRPr="00781112">
        <w:rPr>
          <w:b/>
          <w:color w:val="000000" w:themeColor="text1"/>
        </w:rPr>
        <w:t>Data Source</w:t>
      </w:r>
    </w:p>
    <w:p w14:paraId="435C1BC0" w14:textId="1F2EA9FD" w:rsidR="00A66715" w:rsidRPr="00781112" w:rsidRDefault="00A66715" w:rsidP="00286BDF">
      <w:pPr>
        <w:rPr>
          <w:rFonts w:cs="Arial"/>
          <w:color w:val="000000" w:themeColor="text1"/>
          <w:szCs w:val="16"/>
        </w:rPr>
      </w:pPr>
      <w:r w:rsidRPr="00781112">
        <w:rPr>
          <w:rFonts w:cs="Arial"/>
          <w:color w:val="000000" w:themeColor="text1"/>
          <w:szCs w:val="16"/>
          <w:shd w:val="clear" w:color="auto" w:fill="FFFFFF"/>
        </w:rPr>
        <w:t>State’s analysis, based on State’s Child Count data collected under IDEA section 618, to determine if the disproportionate representation of racial and ethnic groups in special education and related services was the result of inappropriate identification.</w:t>
      </w:r>
    </w:p>
    <w:p w14:paraId="3FA170D6" w14:textId="77777777" w:rsidR="00A66715" w:rsidRPr="00781112" w:rsidRDefault="00A66715" w:rsidP="004369B2">
      <w:pPr>
        <w:rPr>
          <w:color w:val="000000" w:themeColor="text1"/>
        </w:rPr>
      </w:pPr>
      <w:r w:rsidRPr="00781112">
        <w:rPr>
          <w:b/>
          <w:color w:val="000000" w:themeColor="text1"/>
        </w:rPr>
        <w:t>Measurement</w:t>
      </w:r>
    </w:p>
    <w:p w14:paraId="477AA533" w14:textId="06ADBA36" w:rsidR="00A66715" w:rsidRPr="00781112" w:rsidRDefault="00A66715" w:rsidP="00286BDF">
      <w:pPr>
        <w:rPr>
          <w:rFonts w:cs="Arial"/>
          <w:color w:val="000000" w:themeColor="text1"/>
          <w:szCs w:val="16"/>
        </w:rPr>
      </w:pPr>
      <w:r w:rsidRPr="00781112">
        <w:rPr>
          <w:rFonts w:cs="Arial"/>
          <w:color w:val="000000" w:themeColor="text1"/>
          <w:szCs w:val="16"/>
        </w:rPr>
        <w:t>Percent = [(# of districts, that meet the State-established n and/or cell size (if applicable) for one or more racial/ethnic groups, with disproportionate representation of racial and ethnic groups in special education and related services that is the result of inappropriate identification) divided by the (# of districts in the State that meet the State-established n and/or cell size (if applicable) for one or more racial/ethnic groups)] times 100.</w:t>
      </w:r>
    </w:p>
    <w:p w14:paraId="47207609" w14:textId="77777777" w:rsidR="00A66715" w:rsidRPr="00781112" w:rsidRDefault="00A66715" w:rsidP="00286BDF">
      <w:pPr>
        <w:rPr>
          <w:rFonts w:cs="Arial"/>
          <w:color w:val="000000" w:themeColor="text1"/>
          <w:szCs w:val="16"/>
        </w:rPr>
      </w:pPr>
      <w:r w:rsidRPr="00781112">
        <w:rPr>
          <w:rFonts w:cs="Arial"/>
          <w:color w:val="000000" w:themeColor="text1"/>
          <w:szCs w:val="16"/>
        </w:rPr>
        <w:t>Include State’s definition of “disproportionate representation.” Please specify in your definition: 1) the calculation method(s) being used (i.e., risk ratio, weighted risk ratio, e-formula, etc.); and 2) the threshold at which disproportionate representation is identified. Also include, as appropriate, 3) the number of years of data used in the calculation; and 4) any minimum cell and/or n-sizes (i.e., risk numerator and/or risk denominator).</w:t>
      </w:r>
    </w:p>
    <w:p w14:paraId="2F72A4A6" w14:textId="1E30F4EF" w:rsidR="00A66715" w:rsidRPr="00781112" w:rsidRDefault="0016730D" w:rsidP="00286BDF">
      <w:pPr>
        <w:rPr>
          <w:rFonts w:cs="Arial"/>
          <w:color w:val="000000" w:themeColor="text1"/>
          <w:szCs w:val="16"/>
        </w:rPr>
      </w:pPr>
      <w:r w:rsidRPr="00781112">
        <w:rPr>
          <w:rFonts w:cs="Arial"/>
          <w:color w:val="000000" w:themeColor="text1"/>
          <w:szCs w:val="16"/>
        </w:rPr>
        <w:t>Based on its review of the 618 data for the reporting year, describe how the State made its annual determination as to whether the disproportionate representation it identified of racial and ethnic groups in special education and related services was the result of inappropriate identification as required by 34 CFR §§300.600(d)(3) and 300.602(a), e.g., using monitoring data; reviewing policies, practices and procedures. In determining disproportionate representation, analyze data, for each district, for all racial and ethnic groups in the district, or all racial and ethnic groups in the district that meet a minimum n and/or cell size set by the State. Report on the percent of districts in which disproportionate representation of racial and ethnic groups in special education and related services is the result of inappropriate identification, even if the determination of inappropriate identification was made after the end of the FFY 2022 reporting period (i.e., after June 30, 2023).</w:t>
      </w:r>
    </w:p>
    <w:p w14:paraId="5C234527" w14:textId="77777777" w:rsidR="00A66715" w:rsidRPr="00781112" w:rsidRDefault="00A66715" w:rsidP="004369B2">
      <w:pPr>
        <w:rPr>
          <w:color w:val="000000" w:themeColor="text1"/>
        </w:rPr>
      </w:pPr>
      <w:r w:rsidRPr="00781112">
        <w:rPr>
          <w:b/>
          <w:color w:val="000000" w:themeColor="text1"/>
        </w:rPr>
        <w:t>Instructions</w:t>
      </w:r>
    </w:p>
    <w:p w14:paraId="66307925" w14:textId="51E06C60" w:rsidR="00A66715" w:rsidRPr="00781112" w:rsidRDefault="00A66715" w:rsidP="00286BDF">
      <w:pPr>
        <w:rPr>
          <w:rFonts w:cs="Arial"/>
          <w:color w:val="000000" w:themeColor="text1"/>
          <w:szCs w:val="16"/>
        </w:rPr>
      </w:pPr>
      <w:r w:rsidRPr="00781112">
        <w:rPr>
          <w:rFonts w:cs="Arial"/>
          <w:iCs/>
          <w:color w:val="000000" w:themeColor="text1"/>
          <w:szCs w:val="16"/>
        </w:rPr>
        <w:t>P</w:t>
      </w:r>
      <w:r w:rsidRPr="00781112">
        <w:rPr>
          <w:rFonts w:cs="Arial"/>
          <w:color w:val="000000" w:themeColor="text1"/>
          <w:szCs w:val="16"/>
        </w:rPr>
        <w:t xml:space="preserve">rovide racial/ethnic disproportionality data for all children aged </w:t>
      </w:r>
      <w:r w:rsidR="00071D42" w:rsidRPr="00781112">
        <w:rPr>
          <w:rFonts w:cs="Arial"/>
        </w:rPr>
        <w:t xml:space="preserve">5 who are enrolled in kindergarten and </w:t>
      </w:r>
      <w:r w:rsidRPr="00781112">
        <w:rPr>
          <w:rFonts w:cs="Arial"/>
          <w:color w:val="000000" w:themeColor="text1"/>
          <w:szCs w:val="16"/>
        </w:rPr>
        <w:t>6 through 21 served under IDEA, aggregated across all disability categories.</w:t>
      </w:r>
      <w:r w:rsidR="009E27F2">
        <w:rPr>
          <w:rFonts w:cs="Arial"/>
          <w:color w:val="000000" w:themeColor="text1"/>
          <w:szCs w:val="16"/>
        </w:rPr>
        <w:t xml:space="preserve"> </w:t>
      </w:r>
      <w:r w:rsidR="009E27F2" w:rsidRPr="009E27F2">
        <w:rPr>
          <w:rFonts w:cs="Arial"/>
          <w:color w:val="000000" w:themeColor="text1"/>
          <w:szCs w:val="16"/>
        </w:rPr>
        <w:t>Provide the actual numbers used in the calculation.</w:t>
      </w:r>
    </w:p>
    <w:p w14:paraId="6CA47C85" w14:textId="77777777" w:rsidR="00A66715" w:rsidRPr="00781112" w:rsidRDefault="00A66715" w:rsidP="00286BDF">
      <w:pPr>
        <w:rPr>
          <w:rFonts w:cs="Arial"/>
          <w:color w:val="000000" w:themeColor="text1"/>
          <w:szCs w:val="16"/>
        </w:rPr>
      </w:pPr>
      <w:r w:rsidRPr="00781112">
        <w:rPr>
          <w:rFonts w:cs="Arial"/>
          <w:color w:val="000000" w:themeColor="text1"/>
          <w:szCs w:val="16"/>
        </w:rPr>
        <w:t>States are not required to report on underrepresentation.</w:t>
      </w:r>
    </w:p>
    <w:p w14:paraId="7D49F2B9" w14:textId="77777777" w:rsidR="00A66715" w:rsidRPr="00781112" w:rsidRDefault="00A66715" w:rsidP="00286BDF">
      <w:pPr>
        <w:rPr>
          <w:rFonts w:cs="Arial"/>
          <w:color w:val="000000" w:themeColor="text1"/>
          <w:szCs w:val="16"/>
        </w:rPr>
      </w:pPr>
      <w:r w:rsidRPr="00781112">
        <w:rPr>
          <w:rFonts w:cs="Arial"/>
          <w:color w:val="000000" w:themeColor="text1"/>
          <w:szCs w:val="16"/>
        </w:rPr>
        <w:t xml:space="preserve">If the State has established a minimum n and/or cell size requirement, the State may only include, in both the numerator and the denominator, districts that met that State-established n and/or cell size. If the State used a minimum n and/or cell size requirement, report the number of districts totally excluded from the calculation </w:t>
      </w:r>
      <w:proofErr w:type="gramStart"/>
      <w:r w:rsidRPr="00781112">
        <w:rPr>
          <w:rFonts w:cs="Arial"/>
          <w:color w:val="000000" w:themeColor="text1"/>
          <w:szCs w:val="16"/>
        </w:rPr>
        <w:t>as a result of</w:t>
      </w:r>
      <w:proofErr w:type="gramEnd"/>
      <w:r w:rsidRPr="00781112">
        <w:rPr>
          <w:rFonts w:cs="Arial"/>
          <w:color w:val="000000" w:themeColor="text1"/>
          <w:szCs w:val="16"/>
        </w:rPr>
        <w:t xml:space="preserve"> this requirement because the district did not meet the minimum n and/or cell size for any racial/ethnic group.</w:t>
      </w:r>
    </w:p>
    <w:p w14:paraId="18F19F84" w14:textId="77777777" w:rsidR="00A66715" w:rsidRPr="00781112" w:rsidRDefault="00A66715" w:rsidP="00286BDF">
      <w:pPr>
        <w:rPr>
          <w:rFonts w:cs="Arial"/>
          <w:color w:val="000000" w:themeColor="text1"/>
          <w:szCs w:val="16"/>
        </w:rPr>
      </w:pPr>
      <w:r w:rsidRPr="00781112">
        <w:rPr>
          <w:rFonts w:cs="Arial"/>
          <w:color w:val="000000" w:themeColor="text1"/>
          <w:szCs w:val="16"/>
        </w:rPr>
        <w:t>Consider using multiple methods in calculating disproportionate representation of racial and ethnic groups to reduce the risk of overlooking potential problems. Describe the method(s) used to calculate disproportionate representation.</w:t>
      </w:r>
    </w:p>
    <w:p w14:paraId="08814B9F" w14:textId="77777777" w:rsidR="00A66715" w:rsidRPr="00781112" w:rsidRDefault="00A66715" w:rsidP="00286BDF">
      <w:pPr>
        <w:rPr>
          <w:rFonts w:cs="Arial"/>
          <w:color w:val="000000" w:themeColor="text1"/>
          <w:szCs w:val="16"/>
        </w:rPr>
      </w:pPr>
      <w:r w:rsidRPr="00781112">
        <w:rPr>
          <w:rFonts w:cs="Arial"/>
          <w:color w:val="000000" w:themeColor="text1"/>
          <w:szCs w:val="16"/>
        </w:rPr>
        <w:t>Provide the number of districts that met the State-established n and/or cell size (if applicable) for one or more racial/ethnic groups identified with disproportionate representation of racial and ethnic groups in special education and related services and the number of those districts identified with disproportionate representation that is the result of inappropriate identification.</w:t>
      </w:r>
    </w:p>
    <w:p w14:paraId="633EBCDF" w14:textId="77777777" w:rsidR="00A66715" w:rsidRPr="00781112" w:rsidRDefault="00A66715" w:rsidP="00286BDF">
      <w:pPr>
        <w:rPr>
          <w:rFonts w:cs="Arial"/>
          <w:color w:val="000000" w:themeColor="text1"/>
          <w:szCs w:val="16"/>
        </w:rPr>
      </w:pPr>
      <w:r w:rsidRPr="00781112">
        <w:rPr>
          <w:rFonts w:cs="Arial"/>
          <w:color w:val="000000" w:themeColor="text1"/>
          <w:szCs w:val="16"/>
        </w:rPr>
        <w:t>Targets must be 0%.</w:t>
      </w:r>
    </w:p>
    <w:p w14:paraId="78E093FF" w14:textId="57312F7E" w:rsidR="00A66715" w:rsidRPr="00781112" w:rsidRDefault="0016730D" w:rsidP="00286BDF">
      <w:pPr>
        <w:rPr>
          <w:rFonts w:cs="Arial"/>
          <w:color w:val="000000" w:themeColor="text1"/>
          <w:szCs w:val="16"/>
        </w:rPr>
      </w:pPr>
      <w:r w:rsidRPr="00781112">
        <w:rPr>
          <w:rFonts w:cs="Arial"/>
          <w:color w:val="000000" w:themeColor="text1"/>
          <w:szCs w:val="16"/>
        </w:rPr>
        <w:t xml:space="preserve">Provide detailed information about the timely correction of </w:t>
      </w:r>
      <w:bookmarkStart w:id="49" w:name="_Hlk150864210"/>
      <w:r w:rsidR="009E27F2" w:rsidRPr="009E27F2">
        <w:rPr>
          <w:rFonts w:cs="Arial"/>
          <w:color w:val="000000" w:themeColor="text1"/>
          <w:szCs w:val="16"/>
        </w:rPr>
        <w:t>child-specific and regulatory/systemic</w:t>
      </w:r>
      <w:r w:rsidR="009E27F2">
        <w:rPr>
          <w:sz w:val="20"/>
          <w:szCs w:val="14"/>
        </w:rPr>
        <w:t xml:space="preserve"> </w:t>
      </w:r>
      <w:bookmarkEnd w:id="49"/>
      <w:r w:rsidRPr="00781112">
        <w:rPr>
          <w:rFonts w:cs="Arial"/>
          <w:color w:val="000000" w:themeColor="text1"/>
          <w:szCs w:val="16"/>
        </w:rPr>
        <w:t>noncompliance as noted in OSEP’s response for the previous SPP/APR. If the State did not ensure timely correction of the previous noncompliance, provide information on the extent to which noncompliance was subsequently corrected (more than one year after identification). In addition, provide information regarding the nature of any continuing noncompliance, improvement activities completed (e.g., review of policies and procedures, technical assistance, training) and any enforcement actions that were taken. If the State reported less than 100% compliance for the previous reporting period (e.g., for the FFY 2022 SPP/APR, the data for FFY 2021), and the State did not identify any findings of noncompliance, provide an explanation of why the State did not identify any findings of noncompliance.</w:t>
      </w:r>
    </w:p>
    <w:p w14:paraId="1A6C01D0" w14:textId="1BD83E55" w:rsidR="00AF5AFB" w:rsidRPr="00781112" w:rsidRDefault="00400C56" w:rsidP="008645AD">
      <w:pPr>
        <w:pStyle w:val="Heading2"/>
      </w:pPr>
      <w:bookmarkStart w:id="50" w:name="_Toc384383344"/>
      <w:bookmarkStart w:id="51" w:name="_Toc392159312"/>
      <w:bookmarkEnd w:id="47"/>
      <w:bookmarkEnd w:id="48"/>
      <w:r w:rsidRPr="00781112">
        <w:t>9</w:t>
      </w:r>
      <w:r w:rsidR="000D746C" w:rsidRPr="00781112">
        <w:t xml:space="preserve"> </w:t>
      </w:r>
      <w:r w:rsidRPr="00781112">
        <w:t xml:space="preserve">- </w:t>
      </w:r>
      <w:r w:rsidR="00AF5AFB" w:rsidRPr="00781112">
        <w:t>Indicator Data</w:t>
      </w:r>
    </w:p>
    <w:p w14:paraId="3B629025" w14:textId="77777777" w:rsidR="0091098C" w:rsidRPr="00781112" w:rsidRDefault="0091098C" w:rsidP="004369B2">
      <w:pPr>
        <w:rPr>
          <w:color w:val="000000" w:themeColor="text1"/>
        </w:rPr>
      </w:pPr>
      <w:r w:rsidRPr="00781112">
        <w:rPr>
          <w:b/>
          <w:color w:val="000000" w:themeColor="text1"/>
        </w:rPr>
        <w:t>Not Applicable</w:t>
      </w:r>
    </w:p>
    <w:p w14:paraId="26955027" w14:textId="78EADA59" w:rsidR="003E7FC1" w:rsidRPr="00781112" w:rsidRDefault="00E54DDA">
      <w:pPr>
        <w:rPr>
          <w:b/>
          <w:color w:val="000000" w:themeColor="text1"/>
        </w:rPr>
      </w:pPr>
      <w:r w:rsidRPr="00781112">
        <w:rPr>
          <w:b/>
          <w:color w:val="000000" w:themeColor="text1"/>
        </w:rPr>
        <w:t>Select yes if this indicator is not applicable.</w:t>
      </w:r>
    </w:p>
    <w:p w14:paraId="6AB001BB" w14:textId="1DB937E1" w:rsidR="00043AC9" w:rsidRPr="00781112" w:rsidRDefault="00043AC9" w:rsidP="004369B2">
      <w:pPr>
        <w:rPr>
          <w:rFonts w:cs="Arial"/>
          <w:color w:val="000000" w:themeColor="text1"/>
          <w:szCs w:val="16"/>
        </w:rPr>
      </w:pPr>
      <w:r w:rsidRPr="00781112">
        <w:rPr>
          <w:rFonts w:cs="Arial"/>
          <w:color w:val="000000" w:themeColor="text1"/>
          <w:szCs w:val="16"/>
        </w:rPr>
        <w:t>NO</w:t>
      </w:r>
    </w:p>
    <w:p w14:paraId="3A71D697" w14:textId="346BA4D1" w:rsidR="00EC46E4" w:rsidRPr="00781112" w:rsidRDefault="00EC46E4" w:rsidP="004369B2">
      <w:pPr>
        <w:rPr>
          <w:b/>
          <w:color w:val="000000" w:themeColor="text1"/>
        </w:rPr>
      </w:pPr>
      <w:r w:rsidRPr="00781112">
        <w:rPr>
          <w:b/>
          <w:color w:val="000000" w:themeColor="text1"/>
        </w:rPr>
        <w:t>Historical Data</w:t>
      </w:r>
    </w:p>
    <w:tbl>
      <w:tblPr>
        <w:tblStyle w:val="TableGrid"/>
        <w:tblW w:w="0" w:type="auto"/>
        <w:tblLayout w:type="fixed"/>
        <w:tblLook w:val="04A0" w:firstRow="1" w:lastRow="0" w:firstColumn="1" w:lastColumn="0" w:noHBand="0" w:noVBand="1"/>
        <w:tblCaption w:val="B09BASELINEDATA"/>
      </w:tblPr>
      <w:tblGrid>
        <w:gridCol w:w="1797"/>
        <w:gridCol w:w="1798"/>
      </w:tblGrid>
      <w:tr w:rsidR="00956DB0" w:rsidRPr="00781112" w14:paraId="5182274F" w14:textId="77777777" w:rsidTr="00123D76">
        <w:trPr>
          <w:trHeight w:val="311"/>
          <w:tblHeader/>
        </w:trPr>
        <w:tc>
          <w:tcPr>
            <w:tcW w:w="1797" w:type="dxa"/>
          </w:tcPr>
          <w:p w14:paraId="1A2818C6" w14:textId="77777777" w:rsidR="00956DB0" w:rsidRPr="00781112" w:rsidRDefault="00956DB0" w:rsidP="00123D76">
            <w:pPr>
              <w:jc w:val="center"/>
              <w:rPr>
                <w:b/>
                <w:color w:val="000000" w:themeColor="text1"/>
              </w:rPr>
            </w:pPr>
            <w:r w:rsidRPr="00781112">
              <w:rPr>
                <w:rFonts w:cs="Arial"/>
                <w:b/>
                <w:color w:val="000000" w:themeColor="text1"/>
                <w:szCs w:val="16"/>
              </w:rPr>
              <w:t>Baseline Year</w:t>
            </w:r>
          </w:p>
        </w:tc>
        <w:tc>
          <w:tcPr>
            <w:tcW w:w="1798" w:type="dxa"/>
          </w:tcPr>
          <w:p w14:paraId="0F4B2975" w14:textId="77777777" w:rsidR="00956DB0" w:rsidRPr="00781112" w:rsidRDefault="00956DB0" w:rsidP="00123D76">
            <w:pPr>
              <w:jc w:val="center"/>
              <w:rPr>
                <w:b/>
                <w:color w:val="000000" w:themeColor="text1"/>
              </w:rPr>
            </w:pPr>
            <w:r w:rsidRPr="00781112">
              <w:rPr>
                <w:b/>
                <w:color w:val="000000" w:themeColor="text1"/>
              </w:rPr>
              <w:t>Baseline Data</w:t>
            </w:r>
          </w:p>
        </w:tc>
      </w:tr>
      <w:tr w:rsidR="00956DB0" w:rsidRPr="00781112" w14:paraId="610EE192" w14:textId="77777777" w:rsidTr="00123D76">
        <w:trPr>
          <w:trHeight w:val="311"/>
        </w:trPr>
        <w:tc>
          <w:tcPr>
            <w:tcW w:w="1797" w:type="dxa"/>
            <w:vAlign w:val="center"/>
          </w:tcPr>
          <w:p w14:paraId="092AF3EE" w14:textId="300E0F13" w:rsidR="00956DB0" w:rsidRPr="00781112" w:rsidRDefault="00956DB0" w:rsidP="00123D76">
            <w:pPr>
              <w:jc w:val="center"/>
              <w:rPr>
                <w:bCs/>
                <w:color w:val="000000" w:themeColor="text1"/>
              </w:rPr>
            </w:pPr>
            <w:r w:rsidRPr="00781112">
              <w:rPr>
                <w:bCs/>
                <w:color w:val="000000" w:themeColor="text1"/>
              </w:rPr>
              <w:t>2020</w:t>
            </w:r>
          </w:p>
        </w:tc>
        <w:tc>
          <w:tcPr>
            <w:tcW w:w="1798" w:type="dxa"/>
            <w:vAlign w:val="center"/>
          </w:tcPr>
          <w:p w14:paraId="4FDCB4BF" w14:textId="0D2A0C74" w:rsidR="00956DB0" w:rsidRPr="00781112" w:rsidRDefault="00956DB0" w:rsidP="00123D76">
            <w:pPr>
              <w:jc w:val="center"/>
              <w:rPr>
                <w:bCs/>
                <w:color w:val="000000" w:themeColor="text1"/>
              </w:rPr>
            </w:pPr>
            <w:r w:rsidRPr="00781112">
              <w:rPr>
                <w:bCs/>
                <w:color w:val="000000" w:themeColor="text1"/>
              </w:rPr>
              <w:t>0.00%</w:t>
            </w:r>
          </w:p>
        </w:tc>
      </w:tr>
    </w:tbl>
    <w:p w14:paraId="209EB354" w14:textId="77777777" w:rsidR="00956DB0" w:rsidRPr="00781112" w:rsidRDefault="00956DB0" w:rsidP="004369B2">
      <w:pPr>
        <w:rPr>
          <w:color w:val="000000" w:themeColor="text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B09HISTDATA"/>
      </w:tblPr>
      <w:tblGrid>
        <w:gridCol w:w="1798"/>
        <w:gridCol w:w="1798"/>
        <w:gridCol w:w="1798"/>
        <w:gridCol w:w="1798"/>
        <w:gridCol w:w="1798"/>
        <w:gridCol w:w="1800"/>
      </w:tblGrid>
      <w:tr w:rsidR="005C29F8" w:rsidRPr="00781112" w14:paraId="29257DEC" w14:textId="77777777" w:rsidTr="002B4D97">
        <w:trPr>
          <w:trHeight w:val="350"/>
        </w:trPr>
        <w:tc>
          <w:tcPr>
            <w:tcW w:w="833" w:type="pct"/>
            <w:tcBorders>
              <w:bottom w:val="single" w:sz="4" w:space="0" w:color="auto"/>
            </w:tcBorders>
            <w:shd w:val="clear" w:color="auto" w:fill="auto"/>
          </w:tcPr>
          <w:p w14:paraId="2ACD0221" w14:textId="77777777" w:rsidR="006357C5" w:rsidRPr="00781112" w:rsidRDefault="006357C5" w:rsidP="004369B2">
            <w:pPr>
              <w:jc w:val="center"/>
              <w:rPr>
                <w:rFonts w:cs="Arial"/>
                <w:b/>
                <w:color w:val="000000" w:themeColor="text1"/>
                <w:szCs w:val="16"/>
              </w:rPr>
            </w:pPr>
            <w:r w:rsidRPr="00781112">
              <w:rPr>
                <w:rFonts w:cs="Arial"/>
                <w:b/>
                <w:color w:val="000000" w:themeColor="text1"/>
                <w:szCs w:val="16"/>
              </w:rPr>
              <w:t>FFY</w:t>
            </w:r>
          </w:p>
        </w:tc>
        <w:tc>
          <w:tcPr>
            <w:tcW w:w="833" w:type="pct"/>
            <w:shd w:val="clear" w:color="auto" w:fill="auto"/>
          </w:tcPr>
          <w:p w14:paraId="15D764B6" w14:textId="19C54EAA" w:rsidR="006357C5" w:rsidRPr="00781112" w:rsidRDefault="002B7490" w:rsidP="00B6413B">
            <w:pPr>
              <w:jc w:val="center"/>
              <w:rPr>
                <w:rFonts w:cs="Arial"/>
                <w:b/>
                <w:color w:val="000000" w:themeColor="text1"/>
                <w:szCs w:val="16"/>
              </w:rPr>
            </w:pPr>
            <w:r w:rsidRPr="00781112">
              <w:rPr>
                <w:rFonts w:cs="Arial"/>
                <w:b/>
                <w:color w:val="000000" w:themeColor="text1"/>
                <w:szCs w:val="16"/>
              </w:rPr>
              <w:t>2017</w:t>
            </w:r>
          </w:p>
        </w:tc>
        <w:tc>
          <w:tcPr>
            <w:tcW w:w="833" w:type="pct"/>
            <w:shd w:val="clear" w:color="auto" w:fill="auto"/>
          </w:tcPr>
          <w:p w14:paraId="033F60DB" w14:textId="27C2FA3D" w:rsidR="006357C5" w:rsidRPr="00781112" w:rsidRDefault="002B7490" w:rsidP="00B6413B">
            <w:pPr>
              <w:jc w:val="center"/>
              <w:rPr>
                <w:rFonts w:cs="Arial"/>
                <w:b/>
                <w:color w:val="000000" w:themeColor="text1"/>
                <w:szCs w:val="16"/>
              </w:rPr>
            </w:pPr>
            <w:r w:rsidRPr="00781112">
              <w:rPr>
                <w:rFonts w:cs="Arial"/>
                <w:b/>
                <w:color w:val="000000" w:themeColor="text1"/>
                <w:szCs w:val="16"/>
              </w:rPr>
              <w:t>2018</w:t>
            </w:r>
          </w:p>
        </w:tc>
        <w:tc>
          <w:tcPr>
            <w:tcW w:w="833" w:type="pct"/>
            <w:shd w:val="clear" w:color="auto" w:fill="auto"/>
            <w:vAlign w:val="center"/>
          </w:tcPr>
          <w:p w14:paraId="317350A8" w14:textId="7D4D6C23" w:rsidR="006357C5" w:rsidRPr="00781112" w:rsidRDefault="002B7490" w:rsidP="00B6413B">
            <w:pPr>
              <w:jc w:val="center"/>
              <w:rPr>
                <w:rFonts w:cs="Arial"/>
                <w:b/>
                <w:color w:val="000000" w:themeColor="text1"/>
                <w:szCs w:val="16"/>
              </w:rPr>
            </w:pPr>
            <w:r w:rsidRPr="00781112">
              <w:rPr>
                <w:rFonts w:cs="Arial"/>
                <w:b/>
                <w:color w:val="000000" w:themeColor="text1"/>
                <w:szCs w:val="16"/>
              </w:rPr>
              <w:t>2019</w:t>
            </w:r>
          </w:p>
        </w:tc>
        <w:tc>
          <w:tcPr>
            <w:tcW w:w="833" w:type="pct"/>
            <w:shd w:val="clear" w:color="auto" w:fill="auto"/>
            <w:vAlign w:val="center"/>
          </w:tcPr>
          <w:p w14:paraId="2FE9FF1F" w14:textId="6B14CCED" w:rsidR="006357C5" w:rsidRPr="00781112" w:rsidRDefault="002B7490" w:rsidP="00B6413B">
            <w:pPr>
              <w:jc w:val="center"/>
              <w:rPr>
                <w:rFonts w:cs="Arial"/>
                <w:b/>
                <w:color w:val="000000" w:themeColor="text1"/>
                <w:szCs w:val="16"/>
              </w:rPr>
            </w:pPr>
            <w:r w:rsidRPr="00781112">
              <w:rPr>
                <w:rFonts w:cs="Arial"/>
                <w:b/>
                <w:color w:val="000000" w:themeColor="text1"/>
                <w:szCs w:val="16"/>
              </w:rPr>
              <w:t>2020</w:t>
            </w:r>
          </w:p>
        </w:tc>
        <w:tc>
          <w:tcPr>
            <w:tcW w:w="834" w:type="pct"/>
            <w:shd w:val="clear" w:color="auto" w:fill="auto"/>
            <w:vAlign w:val="center"/>
          </w:tcPr>
          <w:p w14:paraId="3EED1AAF" w14:textId="5F49372A" w:rsidR="006357C5" w:rsidRPr="00781112" w:rsidRDefault="002B7490" w:rsidP="00B6413B">
            <w:pPr>
              <w:jc w:val="center"/>
              <w:rPr>
                <w:rFonts w:cs="Arial"/>
                <w:b/>
                <w:color w:val="000000" w:themeColor="text1"/>
                <w:szCs w:val="16"/>
              </w:rPr>
            </w:pPr>
            <w:r w:rsidRPr="00781112">
              <w:rPr>
                <w:rFonts w:cs="Arial"/>
                <w:b/>
                <w:color w:val="000000" w:themeColor="text1"/>
                <w:szCs w:val="16"/>
              </w:rPr>
              <w:t>2021</w:t>
            </w:r>
          </w:p>
        </w:tc>
      </w:tr>
      <w:tr w:rsidR="005C29F8" w:rsidRPr="00781112" w14:paraId="2B1048CB" w14:textId="77777777" w:rsidTr="002B4D97">
        <w:trPr>
          <w:trHeight w:val="357"/>
        </w:trPr>
        <w:tc>
          <w:tcPr>
            <w:tcW w:w="833" w:type="pct"/>
            <w:shd w:val="clear" w:color="auto" w:fill="auto"/>
          </w:tcPr>
          <w:p w14:paraId="1E5C921D" w14:textId="552D02B6" w:rsidR="006357C5" w:rsidRPr="00781112" w:rsidRDefault="006357C5" w:rsidP="00BA3DBE">
            <w:pPr>
              <w:jc w:val="center"/>
              <w:rPr>
                <w:rFonts w:cs="Arial"/>
                <w:color w:val="000000" w:themeColor="text1"/>
                <w:szCs w:val="16"/>
              </w:rPr>
            </w:pPr>
            <w:r w:rsidRPr="00781112">
              <w:rPr>
                <w:rFonts w:cs="Arial"/>
                <w:color w:val="000000" w:themeColor="text1"/>
                <w:szCs w:val="16"/>
              </w:rPr>
              <w:t>Target</w:t>
            </w:r>
          </w:p>
        </w:tc>
        <w:tc>
          <w:tcPr>
            <w:tcW w:w="833" w:type="pct"/>
            <w:shd w:val="clear" w:color="auto" w:fill="auto"/>
          </w:tcPr>
          <w:p w14:paraId="605E3208" w14:textId="6058696A" w:rsidR="006357C5" w:rsidRPr="00781112" w:rsidRDefault="00BA56C8">
            <w:pPr>
              <w:jc w:val="center"/>
              <w:rPr>
                <w:rFonts w:cs="Arial"/>
                <w:color w:val="000000" w:themeColor="text1"/>
                <w:szCs w:val="16"/>
              </w:rPr>
            </w:pPr>
            <w:r w:rsidRPr="00781112">
              <w:rPr>
                <w:rFonts w:cs="Arial"/>
                <w:color w:val="000000" w:themeColor="text1"/>
                <w:szCs w:val="16"/>
              </w:rPr>
              <w:t>0%</w:t>
            </w:r>
          </w:p>
        </w:tc>
        <w:tc>
          <w:tcPr>
            <w:tcW w:w="833" w:type="pct"/>
            <w:shd w:val="clear" w:color="auto" w:fill="auto"/>
          </w:tcPr>
          <w:p w14:paraId="18B25266" w14:textId="3AD0FECB" w:rsidR="006357C5" w:rsidRPr="00781112" w:rsidRDefault="00BA56C8">
            <w:pPr>
              <w:jc w:val="center"/>
              <w:rPr>
                <w:rFonts w:cs="Arial"/>
                <w:color w:val="000000" w:themeColor="text1"/>
                <w:szCs w:val="16"/>
              </w:rPr>
            </w:pPr>
            <w:r w:rsidRPr="00781112">
              <w:rPr>
                <w:rFonts w:cs="Arial"/>
                <w:color w:val="000000" w:themeColor="text1"/>
                <w:szCs w:val="16"/>
              </w:rPr>
              <w:t>0%</w:t>
            </w:r>
          </w:p>
        </w:tc>
        <w:tc>
          <w:tcPr>
            <w:tcW w:w="833" w:type="pct"/>
            <w:shd w:val="clear" w:color="auto" w:fill="auto"/>
          </w:tcPr>
          <w:p w14:paraId="0C0FBF57" w14:textId="7ECB922D" w:rsidR="006357C5" w:rsidRPr="00781112" w:rsidRDefault="00BA56C8">
            <w:pPr>
              <w:jc w:val="center"/>
              <w:rPr>
                <w:rFonts w:cs="Arial"/>
                <w:color w:val="000000" w:themeColor="text1"/>
                <w:szCs w:val="16"/>
              </w:rPr>
            </w:pPr>
            <w:r w:rsidRPr="00781112">
              <w:rPr>
                <w:rFonts w:cs="Arial"/>
                <w:color w:val="000000" w:themeColor="text1"/>
                <w:szCs w:val="16"/>
              </w:rPr>
              <w:t>0%</w:t>
            </w:r>
          </w:p>
        </w:tc>
        <w:tc>
          <w:tcPr>
            <w:tcW w:w="833" w:type="pct"/>
            <w:shd w:val="clear" w:color="auto" w:fill="auto"/>
          </w:tcPr>
          <w:p w14:paraId="532C2D7E" w14:textId="62B3BFC8" w:rsidR="006357C5" w:rsidRPr="00781112" w:rsidRDefault="00BA56C8">
            <w:pPr>
              <w:jc w:val="center"/>
              <w:rPr>
                <w:rFonts w:cs="Arial"/>
                <w:color w:val="000000" w:themeColor="text1"/>
                <w:szCs w:val="16"/>
              </w:rPr>
            </w:pPr>
            <w:r w:rsidRPr="00781112">
              <w:rPr>
                <w:rFonts w:cs="Arial"/>
                <w:color w:val="000000" w:themeColor="text1"/>
                <w:szCs w:val="16"/>
              </w:rPr>
              <w:t>0%</w:t>
            </w:r>
          </w:p>
        </w:tc>
        <w:tc>
          <w:tcPr>
            <w:tcW w:w="834" w:type="pct"/>
            <w:shd w:val="clear" w:color="auto" w:fill="auto"/>
          </w:tcPr>
          <w:p w14:paraId="60DA2026" w14:textId="24D14A2D" w:rsidR="006357C5" w:rsidRPr="00781112" w:rsidRDefault="00BA56C8">
            <w:pPr>
              <w:jc w:val="center"/>
              <w:rPr>
                <w:rFonts w:cs="Arial"/>
                <w:color w:val="000000" w:themeColor="text1"/>
                <w:szCs w:val="16"/>
              </w:rPr>
            </w:pPr>
            <w:r w:rsidRPr="00781112">
              <w:rPr>
                <w:rFonts w:cs="Arial"/>
                <w:color w:val="000000" w:themeColor="text1"/>
                <w:szCs w:val="16"/>
              </w:rPr>
              <w:t>0%</w:t>
            </w:r>
          </w:p>
        </w:tc>
      </w:tr>
      <w:tr w:rsidR="005C29F8" w:rsidRPr="00781112" w14:paraId="3159C03B" w14:textId="77777777" w:rsidTr="002B4D97">
        <w:trPr>
          <w:trHeight w:val="85"/>
        </w:trPr>
        <w:tc>
          <w:tcPr>
            <w:tcW w:w="833" w:type="pct"/>
            <w:shd w:val="clear" w:color="auto" w:fill="auto"/>
          </w:tcPr>
          <w:p w14:paraId="2AC5584F" w14:textId="77777777" w:rsidR="006357C5" w:rsidRPr="00781112" w:rsidRDefault="006357C5" w:rsidP="00BA3DBE">
            <w:pPr>
              <w:jc w:val="center"/>
              <w:rPr>
                <w:rFonts w:cs="Arial"/>
                <w:color w:val="000000" w:themeColor="text1"/>
                <w:szCs w:val="16"/>
              </w:rPr>
            </w:pPr>
            <w:r w:rsidRPr="00781112">
              <w:rPr>
                <w:rFonts w:cs="Arial"/>
                <w:color w:val="000000" w:themeColor="text1"/>
                <w:szCs w:val="16"/>
              </w:rPr>
              <w:t>Data</w:t>
            </w:r>
          </w:p>
        </w:tc>
        <w:tc>
          <w:tcPr>
            <w:tcW w:w="833" w:type="pct"/>
            <w:shd w:val="clear" w:color="auto" w:fill="auto"/>
          </w:tcPr>
          <w:p w14:paraId="6FD989E4" w14:textId="34237C82" w:rsidR="006357C5" w:rsidRPr="00781112" w:rsidRDefault="002B7490" w:rsidP="00A018D4">
            <w:pPr>
              <w:jc w:val="center"/>
              <w:rPr>
                <w:rFonts w:cs="Arial"/>
                <w:color w:val="000000" w:themeColor="text1"/>
                <w:szCs w:val="16"/>
              </w:rPr>
            </w:pPr>
            <w:r w:rsidRPr="00781112">
              <w:rPr>
                <w:rFonts w:cs="Arial"/>
                <w:color w:val="000000" w:themeColor="text1"/>
                <w:szCs w:val="16"/>
              </w:rPr>
              <w:t>0.00%</w:t>
            </w:r>
          </w:p>
        </w:tc>
        <w:tc>
          <w:tcPr>
            <w:tcW w:w="833" w:type="pct"/>
            <w:shd w:val="clear" w:color="auto" w:fill="auto"/>
          </w:tcPr>
          <w:p w14:paraId="078BDCB4" w14:textId="6678F601" w:rsidR="006357C5" w:rsidRPr="00781112" w:rsidRDefault="002B7490" w:rsidP="00A018D4">
            <w:pPr>
              <w:jc w:val="center"/>
              <w:rPr>
                <w:rFonts w:cs="Arial"/>
                <w:color w:val="000000" w:themeColor="text1"/>
                <w:szCs w:val="16"/>
              </w:rPr>
            </w:pPr>
            <w:r w:rsidRPr="00781112">
              <w:rPr>
                <w:rFonts w:cs="Arial"/>
                <w:color w:val="000000" w:themeColor="text1"/>
                <w:szCs w:val="16"/>
              </w:rPr>
              <w:t>0.00%</w:t>
            </w:r>
          </w:p>
        </w:tc>
        <w:tc>
          <w:tcPr>
            <w:tcW w:w="833" w:type="pct"/>
            <w:tcBorders>
              <w:bottom w:val="single" w:sz="4" w:space="0" w:color="auto"/>
            </w:tcBorders>
            <w:shd w:val="clear" w:color="auto" w:fill="auto"/>
            <w:vAlign w:val="center"/>
          </w:tcPr>
          <w:p w14:paraId="1B9E9606" w14:textId="2C899E5A" w:rsidR="006357C5" w:rsidRPr="00781112" w:rsidRDefault="002B7490" w:rsidP="00A018D4">
            <w:pPr>
              <w:jc w:val="center"/>
              <w:rPr>
                <w:rFonts w:cs="Arial"/>
                <w:color w:val="000000" w:themeColor="text1"/>
                <w:szCs w:val="16"/>
              </w:rPr>
            </w:pPr>
            <w:r w:rsidRPr="00781112">
              <w:rPr>
                <w:rFonts w:cs="Arial"/>
                <w:color w:val="000000" w:themeColor="text1"/>
                <w:szCs w:val="16"/>
              </w:rPr>
              <w:t>0.00%</w:t>
            </w:r>
          </w:p>
        </w:tc>
        <w:tc>
          <w:tcPr>
            <w:tcW w:w="833" w:type="pct"/>
            <w:tcBorders>
              <w:bottom w:val="single" w:sz="4" w:space="0" w:color="auto"/>
            </w:tcBorders>
            <w:shd w:val="clear" w:color="auto" w:fill="auto"/>
            <w:vAlign w:val="center"/>
          </w:tcPr>
          <w:p w14:paraId="2DEE133C" w14:textId="4FA56B64" w:rsidR="006357C5" w:rsidRPr="00781112" w:rsidRDefault="002B7490" w:rsidP="00A018D4">
            <w:pPr>
              <w:jc w:val="center"/>
              <w:rPr>
                <w:rFonts w:cs="Arial"/>
                <w:color w:val="000000" w:themeColor="text1"/>
                <w:szCs w:val="16"/>
              </w:rPr>
            </w:pPr>
            <w:r w:rsidRPr="00781112">
              <w:rPr>
                <w:rFonts w:cs="Arial"/>
                <w:color w:val="000000" w:themeColor="text1"/>
                <w:szCs w:val="16"/>
              </w:rPr>
              <w:t>0.00%</w:t>
            </w:r>
          </w:p>
        </w:tc>
        <w:tc>
          <w:tcPr>
            <w:tcW w:w="834" w:type="pct"/>
            <w:tcBorders>
              <w:bottom w:val="single" w:sz="4" w:space="0" w:color="auto"/>
            </w:tcBorders>
            <w:shd w:val="clear" w:color="auto" w:fill="auto"/>
            <w:vAlign w:val="center"/>
          </w:tcPr>
          <w:p w14:paraId="2164C156" w14:textId="136C88F4" w:rsidR="006357C5" w:rsidRPr="00781112" w:rsidRDefault="002B7490" w:rsidP="00A018D4">
            <w:pPr>
              <w:jc w:val="center"/>
              <w:rPr>
                <w:rFonts w:cs="Arial"/>
                <w:color w:val="000000" w:themeColor="text1"/>
                <w:szCs w:val="16"/>
              </w:rPr>
            </w:pPr>
            <w:r w:rsidRPr="00781112">
              <w:rPr>
                <w:rFonts w:cs="Arial"/>
                <w:color w:val="000000" w:themeColor="text1"/>
                <w:szCs w:val="16"/>
              </w:rPr>
              <w:t>0.00%</w:t>
            </w:r>
          </w:p>
        </w:tc>
      </w:tr>
    </w:tbl>
    <w:p w14:paraId="38D93E0F" w14:textId="77777777" w:rsidR="00870121" w:rsidRPr="00781112" w:rsidRDefault="00870121" w:rsidP="004369B2">
      <w:pPr>
        <w:rPr>
          <w:color w:val="000000" w:themeColor="text1"/>
        </w:rPr>
      </w:pPr>
    </w:p>
    <w:p w14:paraId="1D3DD603" w14:textId="00F457CF" w:rsidR="0016730D" w:rsidRPr="00781112" w:rsidRDefault="0016730D" w:rsidP="004369B2">
      <w:pPr>
        <w:rPr>
          <w:color w:val="000000" w:themeColor="text1"/>
        </w:rPr>
      </w:pPr>
      <w:r w:rsidRPr="00781112">
        <w:rPr>
          <w:b/>
          <w:color w:val="000000" w:themeColor="text1"/>
        </w:rPr>
        <w:t>Targets</w:t>
      </w:r>
    </w:p>
    <w:tbl>
      <w:tblPr>
        <w:tblW w:w="404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B09TARGETS"/>
      </w:tblPr>
      <w:tblGrid>
        <w:gridCol w:w="679"/>
        <w:gridCol w:w="1908"/>
        <w:gridCol w:w="2044"/>
        <w:gridCol w:w="2044"/>
        <w:gridCol w:w="2043"/>
      </w:tblGrid>
      <w:tr w:rsidR="00B67FCE" w:rsidRPr="00781112" w14:paraId="3B5E697E" w14:textId="22491944" w:rsidTr="00845B9B">
        <w:trPr>
          <w:trHeight w:val="307"/>
        </w:trPr>
        <w:tc>
          <w:tcPr>
            <w:tcW w:w="327" w:type="pct"/>
            <w:tcBorders>
              <w:bottom w:val="single" w:sz="4" w:space="0" w:color="auto"/>
            </w:tcBorders>
            <w:shd w:val="clear" w:color="auto" w:fill="auto"/>
          </w:tcPr>
          <w:p w14:paraId="6847FBDE" w14:textId="77777777" w:rsidR="00B67FCE" w:rsidRPr="00781112" w:rsidRDefault="00B67FCE" w:rsidP="00AD5583">
            <w:pPr>
              <w:jc w:val="center"/>
              <w:rPr>
                <w:b/>
                <w:color w:val="000000" w:themeColor="text1"/>
              </w:rPr>
            </w:pPr>
            <w:r w:rsidRPr="00781112">
              <w:rPr>
                <w:b/>
                <w:color w:val="000000" w:themeColor="text1"/>
              </w:rPr>
              <w:t>FFY</w:t>
            </w:r>
          </w:p>
        </w:tc>
        <w:tc>
          <w:tcPr>
            <w:tcW w:w="1110" w:type="pct"/>
            <w:shd w:val="clear" w:color="auto" w:fill="auto"/>
          </w:tcPr>
          <w:p w14:paraId="2C965821" w14:textId="77777777" w:rsidR="00B67FCE" w:rsidRPr="00781112" w:rsidRDefault="00B67FCE" w:rsidP="00AD5583">
            <w:pPr>
              <w:jc w:val="center"/>
              <w:rPr>
                <w:b/>
                <w:color w:val="000000" w:themeColor="text1"/>
              </w:rPr>
            </w:pPr>
            <w:r w:rsidRPr="00781112">
              <w:rPr>
                <w:b/>
                <w:color w:val="000000" w:themeColor="text1"/>
              </w:rPr>
              <w:t>2022</w:t>
            </w:r>
          </w:p>
        </w:tc>
        <w:tc>
          <w:tcPr>
            <w:tcW w:w="1188" w:type="pct"/>
          </w:tcPr>
          <w:p w14:paraId="695B1CC5" w14:textId="0A8E7C74" w:rsidR="00B67FCE" w:rsidRPr="00781112" w:rsidRDefault="00B67FCE" w:rsidP="00AD5583">
            <w:pPr>
              <w:jc w:val="center"/>
              <w:rPr>
                <w:b/>
                <w:color w:val="000000" w:themeColor="text1"/>
              </w:rPr>
            </w:pPr>
            <w:r w:rsidRPr="00781112">
              <w:rPr>
                <w:rFonts w:cs="Arial"/>
                <w:b/>
                <w:color w:val="000000" w:themeColor="text1"/>
                <w:szCs w:val="16"/>
              </w:rPr>
              <w:t>2023</w:t>
            </w:r>
          </w:p>
        </w:tc>
        <w:tc>
          <w:tcPr>
            <w:tcW w:w="1188" w:type="pct"/>
          </w:tcPr>
          <w:p w14:paraId="676B8DF3" w14:textId="1749272A" w:rsidR="00B67FCE" w:rsidRPr="00781112" w:rsidRDefault="00B67FCE" w:rsidP="00AD5583">
            <w:pPr>
              <w:jc w:val="center"/>
              <w:rPr>
                <w:b/>
                <w:color w:val="000000" w:themeColor="text1"/>
              </w:rPr>
            </w:pPr>
            <w:r w:rsidRPr="00781112">
              <w:rPr>
                <w:rFonts w:cs="Arial"/>
                <w:b/>
                <w:color w:val="000000" w:themeColor="text1"/>
                <w:szCs w:val="16"/>
              </w:rPr>
              <w:t>2024</w:t>
            </w:r>
          </w:p>
        </w:tc>
        <w:tc>
          <w:tcPr>
            <w:tcW w:w="1188" w:type="pct"/>
          </w:tcPr>
          <w:p w14:paraId="2431A20F" w14:textId="6C70327F" w:rsidR="00B67FCE" w:rsidRPr="00781112" w:rsidRDefault="00B67FCE" w:rsidP="00AD5583">
            <w:pPr>
              <w:jc w:val="center"/>
              <w:rPr>
                <w:b/>
                <w:color w:val="000000" w:themeColor="text1"/>
              </w:rPr>
            </w:pPr>
            <w:r w:rsidRPr="00781112">
              <w:rPr>
                <w:rFonts w:cs="Arial"/>
                <w:b/>
                <w:color w:val="000000" w:themeColor="text1"/>
                <w:szCs w:val="16"/>
              </w:rPr>
              <w:t>2025</w:t>
            </w:r>
          </w:p>
        </w:tc>
      </w:tr>
      <w:tr w:rsidR="00B67FCE" w:rsidRPr="00781112" w14:paraId="48E9BF63" w14:textId="16949127" w:rsidTr="00845B9B">
        <w:trPr>
          <w:trHeight w:val="313"/>
        </w:trPr>
        <w:tc>
          <w:tcPr>
            <w:tcW w:w="327" w:type="pct"/>
            <w:shd w:val="clear" w:color="auto" w:fill="auto"/>
            <w:vAlign w:val="center"/>
          </w:tcPr>
          <w:p w14:paraId="3001E3D6" w14:textId="6C45C234" w:rsidR="00B67FCE" w:rsidRPr="00781112" w:rsidRDefault="00B67FCE" w:rsidP="00BA3DBE">
            <w:pPr>
              <w:jc w:val="center"/>
              <w:rPr>
                <w:rFonts w:cs="Arial"/>
                <w:color w:val="000000" w:themeColor="text1"/>
                <w:szCs w:val="16"/>
              </w:rPr>
            </w:pPr>
            <w:r w:rsidRPr="00781112">
              <w:rPr>
                <w:rFonts w:cs="Arial"/>
                <w:color w:val="000000" w:themeColor="text1"/>
                <w:szCs w:val="16"/>
              </w:rPr>
              <w:t>Target</w:t>
            </w:r>
          </w:p>
        </w:tc>
        <w:tc>
          <w:tcPr>
            <w:tcW w:w="1110" w:type="pct"/>
            <w:shd w:val="clear" w:color="auto" w:fill="auto"/>
            <w:vAlign w:val="center"/>
          </w:tcPr>
          <w:p w14:paraId="538E5325" w14:textId="0C17771E" w:rsidR="00B67FCE" w:rsidRPr="00781112" w:rsidRDefault="00B67FCE" w:rsidP="00AD5583">
            <w:pPr>
              <w:jc w:val="center"/>
              <w:rPr>
                <w:rFonts w:cs="Arial"/>
                <w:color w:val="000000" w:themeColor="text1"/>
                <w:szCs w:val="16"/>
              </w:rPr>
            </w:pPr>
            <w:r w:rsidRPr="00781112">
              <w:rPr>
                <w:rFonts w:cs="Arial"/>
                <w:color w:val="000000" w:themeColor="text1"/>
                <w:szCs w:val="16"/>
              </w:rPr>
              <w:t>0%</w:t>
            </w:r>
          </w:p>
        </w:tc>
        <w:tc>
          <w:tcPr>
            <w:tcW w:w="1188" w:type="pct"/>
          </w:tcPr>
          <w:p w14:paraId="5C91471A" w14:textId="351E6F13" w:rsidR="00B67FCE" w:rsidRPr="00781112" w:rsidRDefault="00B67FCE" w:rsidP="00AD5583">
            <w:pPr>
              <w:jc w:val="center"/>
              <w:rPr>
                <w:rFonts w:cs="Arial"/>
                <w:color w:val="000000" w:themeColor="text1"/>
                <w:szCs w:val="16"/>
              </w:rPr>
            </w:pPr>
            <w:r w:rsidRPr="00781112">
              <w:rPr>
                <w:color w:val="000000" w:themeColor="text1"/>
                <w:szCs w:val="16"/>
              </w:rPr>
              <w:t>0%</w:t>
            </w:r>
          </w:p>
        </w:tc>
        <w:tc>
          <w:tcPr>
            <w:tcW w:w="1188" w:type="pct"/>
          </w:tcPr>
          <w:p w14:paraId="4C61AAA7" w14:textId="75046312" w:rsidR="00B67FCE" w:rsidRPr="00781112" w:rsidRDefault="00B67FCE" w:rsidP="00AD5583">
            <w:pPr>
              <w:jc w:val="center"/>
              <w:rPr>
                <w:rFonts w:cs="Arial"/>
                <w:color w:val="000000" w:themeColor="text1"/>
                <w:szCs w:val="16"/>
              </w:rPr>
            </w:pPr>
            <w:r w:rsidRPr="00781112">
              <w:rPr>
                <w:color w:val="000000" w:themeColor="text1"/>
                <w:szCs w:val="16"/>
              </w:rPr>
              <w:t>0%</w:t>
            </w:r>
          </w:p>
        </w:tc>
        <w:tc>
          <w:tcPr>
            <w:tcW w:w="1188" w:type="pct"/>
          </w:tcPr>
          <w:p w14:paraId="59DCAC52" w14:textId="3AB87F0D" w:rsidR="00B67FCE" w:rsidRPr="00781112" w:rsidRDefault="00B67FCE" w:rsidP="00AD5583">
            <w:pPr>
              <w:jc w:val="center"/>
              <w:rPr>
                <w:rFonts w:cs="Arial"/>
                <w:color w:val="000000" w:themeColor="text1"/>
                <w:szCs w:val="16"/>
              </w:rPr>
            </w:pPr>
            <w:r w:rsidRPr="00781112">
              <w:rPr>
                <w:color w:val="000000" w:themeColor="text1"/>
                <w:szCs w:val="16"/>
              </w:rPr>
              <w:t>0%</w:t>
            </w:r>
          </w:p>
        </w:tc>
      </w:tr>
    </w:tbl>
    <w:bookmarkEnd w:id="50"/>
    <w:bookmarkEnd w:id="51"/>
    <w:p w14:paraId="77101B89" w14:textId="6F213008" w:rsidR="00D03701" w:rsidRPr="00781112" w:rsidRDefault="0047313F">
      <w:pPr>
        <w:rPr>
          <w:b/>
          <w:color w:val="000000" w:themeColor="text1"/>
        </w:rPr>
      </w:pPr>
      <w:r>
        <w:rPr>
          <w:b/>
          <w:color w:val="000000" w:themeColor="text1"/>
        </w:rPr>
        <w:t>FFY 2022 SPP/APR Data</w:t>
      </w:r>
    </w:p>
    <w:p w14:paraId="5771AAAE" w14:textId="3421DD27" w:rsidR="003E7FC1" w:rsidRPr="00781112" w:rsidRDefault="003E7FC1">
      <w:pPr>
        <w:rPr>
          <w:rFonts w:cs="Arial"/>
          <w:b/>
          <w:color w:val="000000" w:themeColor="text1"/>
          <w:szCs w:val="16"/>
        </w:rPr>
      </w:pPr>
      <w:r w:rsidRPr="00781112">
        <w:rPr>
          <w:rFonts w:cs="Arial"/>
          <w:b/>
          <w:color w:val="000000" w:themeColor="text1"/>
          <w:szCs w:val="16"/>
        </w:rPr>
        <w:t>Has the state established a minimum n and/or cell size requirement? (yes/no)</w:t>
      </w:r>
    </w:p>
    <w:p w14:paraId="122DE20F" w14:textId="4373CB68" w:rsidR="003E7FC1" w:rsidRPr="00781112" w:rsidRDefault="003E7FC1">
      <w:pPr>
        <w:rPr>
          <w:rFonts w:cs="Arial"/>
          <w:color w:val="000000" w:themeColor="text1"/>
          <w:szCs w:val="16"/>
        </w:rPr>
      </w:pPr>
      <w:r w:rsidRPr="00781112">
        <w:rPr>
          <w:rFonts w:cs="Arial"/>
          <w:color w:val="000000" w:themeColor="text1"/>
          <w:szCs w:val="16"/>
        </w:rPr>
        <w:lastRenderedPageBreak/>
        <w:t>YES</w:t>
      </w:r>
    </w:p>
    <w:p w14:paraId="76B8CAF9" w14:textId="53FE4658" w:rsidR="003E7FC1" w:rsidRPr="00781112" w:rsidRDefault="003E7FC1">
      <w:pPr>
        <w:rPr>
          <w:rFonts w:cs="Arial"/>
          <w:b/>
          <w:color w:val="000000" w:themeColor="text1"/>
          <w:szCs w:val="16"/>
        </w:rPr>
      </w:pPr>
      <w:r w:rsidRPr="00781112">
        <w:rPr>
          <w:rFonts w:cs="Arial"/>
          <w:b/>
          <w:color w:val="000000" w:themeColor="text1"/>
          <w:szCs w:val="16"/>
        </w:rPr>
        <w:t xml:space="preserve">If yes, the State may only include, in both the numerator and the denominator, districts that </w:t>
      </w:r>
      <w:proofErr w:type="gramStart"/>
      <w:r w:rsidRPr="00781112">
        <w:rPr>
          <w:rFonts w:cs="Arial"/>
          <w:b/>
          <w:color w:val="000000" w:themeColor="text1"/>
          <w:szCs w:val="16"/>
        </w:rPr>
        <w:t>met</w:t>
      </w:r>
      <w:proofErr w:type="gramEnd"/>
      <w:r w:rsidRPr="00781112">
        <w:rPr>
          <w:rFonts w:cs="Arial"/>
          <w:b/>
          <w:color w:val="000000" w:themeColor="text1"/>
          <w:szCs w:val="16"/>
        </w:rPr>
        <w:t xml:space="preserve"> the State-established n and/or cell size. Report the number of districts excluded from the calculation </w:t>
      </w:r>
      <w:proofErr w:type="gramStart"/>
      <w:r w:rsidRPr="00781112">
        <w:rPr>
          <w:rFonts w:cs="Arial"/>
          <w:b/>
          <w:color w:val="000000" w:themeColor="text1"/>
          <w:szCs w:val="16"/>
        </w:rPr>
        <w:t>as a result of</w:t>
      </w:r>
      <w:proofErr w:type="gramEnd"/>
      <w:r w:rsidRPr="00781112">
        <w:rPr>
          <w:rFonts w:cs="Arial"/>
          <w:b/>
          <w:color w:val="000000" w:themeColor="text1"/>
          <w:szCs w:val="16"/>
        </w:rPr>
        <w:t xml:space="preserve"> the requirement.</w:t>
      </w:r>
    </w:p>
    <w:p w14:paraId="62270301" w14:textId="20B3D538" w:rsidR="003E7FC1" w:rsidRPr="00781112" w:rsidRDefault="003E7FC1" w:rsidP="004369B2">
      <w:pPr>
        <w:rPr>
          <w:rFonts w:cs="Arial"/>
          <w:color w:val="000000" w:themeColor="text1"/>
          <w:szCs w:val="16"/>
        </w:rPr>
      </w:pPr>
      <w:r w:rsidRPr="00781112">
        <w:rPr>
          <w:rFonts w:cs="Arial"/>
          <w:color w:val="000000" w:themeColor="text1"/>
          <w:szCs w:val="16"/>
        </w:rPr>
        <w:t>2</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B09CFFYAPRDATA"/>
      </w:tblPr>
      <w:tblGrid>
        <w:gridCol w:w="1488"/>
        <w:gridCol w:w="1488"/>
        <w:gridCol w:w="1709"/>
        <w:gridCol w:w="1079"/>
        <w:gridCol w:w="1627"/>
        <w:gridCol w:w="970"/>
        <w:gridCol w:w="1235"/>
        <w:gridCol w:w="1194"/>
      </w:tblGrid>
      <w:tr w:rsidR="00206A65" w:rsidRPr="00781112" w14:paraId="53F272CD" w14:textId="23013B7B" w:rsidTr="002B4D97">
        <w:trPr>
          <w:trHeight w:val="354"/>
          <w:jc w:val="center"/>
        </w:trPr>
        <w:tc>
          <w:tcPr>
            <w:tcW w:w="652" w:type="pct"/>
            <w:shd w:val="clear" w:color="auto" w:fill="auto"/>
            <w:vAlign w:val="bottom"/>
          </w:tcPr>
          <w:p w14:paraId="18E013DB" w14:textId="1E730C58" w:rsidR="00206A65" w:rsidRPr="00781112" w:rsidRDefault="00206A65" w:rsidP="00206A65">
            <w:pPr>
              <w:jc w:val="center"/>
              <w:rPr>
                <w:b/>
                <w:color w:val="000000" w:themeColor="text1"/>
              </w:rPr>
            </w:pPr>
            <w:r w:rsidRPr="00781112">
              <w:rPr>
                <w:b/>
                <w:color w:val="000000" w:themeColor="text1"/>
              </w:rPr>
              <w:t>Number of districts with disproportionate representation of racial/ethnic groups in special education and related services</w:t>
            </w:r>
          </w:p>
        </w:tc>
        <w:tc>
          <w:tcPr>
            <w:tcW w:w="583" w:type="pct"/>
            <w:shd w:val="clear" w:color="auto" w:fill="auto"/>
            <w:vAlign w:val="bottom"/>
          </w:tcPr>
          <w:p w14:paraId="67667553" w14:textId="3EAD48D0" w:rsidR="00206A65" w:rsidRPr="00781112" w:rsidRDefault="00206A65" w:rsidP="00206A65">
            <w:pPr>
              <w:jc w:val="center"/>
              <w:rPr>
                <w:b/>
                <w:color w:val="000000" w:themeColor="text1"/>
              </w:rPr>
            </w:pPr>
            <w:r w:rsidRPr="00781112">
              <w:rPr>
                <w:b/>
                <w:color w:val="000000" w:themeColor="text1"/>
              </w:rPr>
              <w:t>Number of districts with disproportionate representation of racial/ethnic groups in special education and related services that is the result of inappropriate identification</w:t>
            </w:r>
          </w:p>
        </w:tc>
        <w:tc>
          <w:tcPr>
            <w:tcW w:w="816" w:type="pct"/>
            <w:shd w:val="clear" w:color="auto" w:fill="auto"/>
            <w:vAlign w:val="bottom"/>
          </w:tcPr>
          <w:p w14:paraId="33AFFA6F" w14:textId="7F185165" w:rsidR="00206A65" w:rsidRPr="00781112" w:rsidRDefault="00206A65" w:rsidP="00206A65">
            <w:pPr>
              <w:jc w:val="center"/>
              <w:rPr>
                <w:b/>
                <w:color w:val="000000" w:themeColor="text1"/>
              </w:rPr>
            </w:pPr>
            <w:r w:rsidRPr="00781112">
              <w:rPr>
                <w:b/>
                <w:color w:val="000000" w:themeColor="text1"/>
              </w:rPr>
              <w:t>Number of districts that met the State's minimum n and/or cell size</w:t>
            </w:r>
          </w:p>
        </w:tc>
        <w:tc>
          <w:tcPr>
            <w:tcW w:w="524" w:type="pct"/>
            <w:shd w:val="clear" w:color="auto" w:fill="auto"/>
            <w:vAlign w:val="bottom"/>
          </w:tcPr>
          <w:p w14:paraId="600C49E0" w14:textId="673C95C5" w:rsidR="00206A65" w:rsidRPr="00CC1061" w:rsidRDefault="00206A65" w:rsidP="00206A65">
            <w:pPr>
              <w:jc w:val="center"/>
              <w:rPr>
                <w:b/>
                <w:bCs/>
                <w:color w:val="000000" w:themeColor="text1"/>
              </w:rPr>
            </w:pPr>
            <w:r w:rsidRPr="00CC1061">
              <w:rPr>
                <w:b/>
                <w:bCs/>
              </w:rPr>
              <w:t>FFY 2021 Data</w:t>
            </w:r>
          </w:p>
        </w:tc>
        <w:tc>
          <w:tcPr>
            <w:tcW w:w="778" w:type="pct"/>
            <w:shd w:val="clear" w:color="auto" w:fill="auto"/>
            <w:vAlign w:val="bottom"/>
          </w:tcPr>
          <w:p w14:paraId="1B6D5875" w14:textId="1A4A91F1" w:rsidR="00206A65" w:rsidRPr="00CC1061" w:rsidRDefault="00206A65" w:rsidP="00206A65">
            <w:pPr>
              <w:jc w:val="center"/>
              <w:rPr>
                <w:b/>
                <w:bCs/>
                <w:color w:val="000000" w:themeColor="text1"/>
              </w:rPr>
            </w:pPr>
            <w:r w:rsidRPr="00CC1061">
              <w:rPr>
                <w:b/>
                <w:bCs/>
              </w:rPr>
              <w:t>FFY 2022 Target</w:t>
            </w:r>
          </w:p>
        </w:tc>
        <w:tc>
          <w:tcPr>
            <w:tcW w:w="473" w:type="pct"/>
            <w:shd w:val="clear" w:color="auto" w:fill="auto"/>
            <w:vAlign w:val="bottom"/>
          </w:tcPr>
          <w:p w14:paraId="33B20FA6" w14:textId="39CD8931" w:rsidR="00206A65" w:rsidRPr="00CC1061" w:rsidRDefault="00206A65" w:rsidP="00206A65">
            <w:pPr>
              <w:jc w:val="center"/>
              <w:rPr>
                <w:b/>
                <w:bCs/>
                <w:color w:val="000000" w:themeColor="text1"/>
              </w:rPr>
            </w:pPr>
            <w:r w:rsidRPr="00CC1061">
              <w:rPr>
                <w:b/>
                <w:bCs/>
              </w:rPr>
              <w:t>FFY 2022 Data</w:t>
            </w:r>
          </w:p>
        </w:tc>
        <w:tc>
          <w:tcPr>
            <w:tcW w:w="596" w:type="pct"/>
            <w:shd w:val="clear" w:color="auto" w:fill="auto"/>
            <w:vAlign w:val="bottom"/>
          </w:tcPr>
          <w:p w14:paraId="7561FBFF" w14:textId="5BCCF9DB" w:rsidR="00206A65" w:rsidRPr="00781112" w:rsidRDefault="00206A65" w:rsidP="00206A65">
            <w:pPr>
              <w:jc w:val="center"/>
              <w:rPr>
                <w:b/>
                <w:color w:val="000000" w:themeColor="text1"/>
              </w:rPr>
            </w:pPr>
            <w:r w:rsidRPr="00781112">
              <w:rPr>
                <w:b/>
                <w:color w:val="000000" w:themeColor="text1"/>
              </w:rPr>
              <w:t>Status</w:t>
            </w:r>
          </w:p>
        </w:tc>
        <w:tc>
          <w:tcPr>
            <w:tcW w:w="577" w:type="pct"/>
            <w:shd w:val="clear" w:color="auto" w:fill="auto"/>
            <w:vAlign w:val="bottom"/>
          </w:tcPr>
          <w:p w14:paraId="0153B20F" w14:textId="69571E1B" w:rsidR="00206A65" w:rsidRPr="00781112" w:rsidRDefault="00206A65" w:rsidP="00206A65">
            <w:pPr>
              <w:jc w:val="center"/>
              <w:rPr>
                <w:b/>
                <w:color w:val="000000" w:themeColor="text1"/>
              </w:rPr>
            </w:pPr>
            <w:r w:rsidRPr="00781112">
              <w:rPr>
                <w:b/>
                <w:color w:val="000000" w:themeColor="text1"/>
              </w:rPr>
              <w:t>Slippage</w:t>
            </w:r>
          </w:p>
        </w:tc>
      </w:tr>
      <w:tr w:rsidR="005C29F8" w:rsidRPr="00781112" w14:paraId="57CF8532" w14:textId="02E28ACC" w:rsidTr="002B4D97">
        <w:trPr>
          <w:trHeight w:val="361"/>
          <w:jc w:val="center"/>
        </w:trPr>
        <w:tc>
          <w:tcPr>
            <w:tcW w:w="652" w:type="pct"/>
            <w:shd w:val="clear" w:color="auto" w:fill="auto"/>
            <w:vAlign w:val="center"/>
          </w:tcPr>
          <w:p w14:paraId="172AFDD0" w14:textId="0A73037E" w:rsidR="004B2A77" w:rsidRPr="00781112" w:rsidRDefault="004B2A77" w:rsidP="00A018D4">
            <w:pPr>
              <w:jc w:val="center"/>
              <w:rPr>
                <w:rFonts w:cs="Arial"/>
                <w:color w:val="000000" w:themeColor="text1"/>
                <w:szCs w:val="16"/>
              </w:rPr>
            </w:pPr>
            <w:r w:rsidRPr="00781112">
              <w:rPr>
                <w:rFonts w:cs="Arial"/>
                <w:color w:val="000000" w:themeColor="text1"/>
                <w:szCs w:val="16"/>
              </w:rPr>
              <w:t>0</w:t>
            </w:r>
          </w:p>
        </w:tc>
        <w:tc>
          <w:tcPr>
            <w:tcW w:w="583" w:type="pct"/>
            <w:shd w:val="clear" w:color="auto" w:fill="auto"/>
            <w:vAlign w:val="center"/>
          </w:tcPr>
          <w:p w14:paraId="6757D825" w14:textId="1A92A410" w:rsidR="004B2A77" w:rsidRPr="00781112" w:rsidRDefault="004B2A77" w:rsidP="00A018D4">
            <w:pPr>
              <w:jc w:val="center"/>
              <w:rPr>
                <w:rFonts w:cs="Arial"/>
                <w:color w:val="000000" w:themeColor="text1"/>
                <w:szCs w:val="16"/>
              </w:rPr>
            </w:pPr>
            <w:r w:rsidRPr="00781112">
              <w:rPr>
                <w:rFonts w:cs="Arial"/>
                <w:color w:val="000000" w:themeColor="text1"/>
                <w:szCs w:val="16"/>
              </w:rPr>
              <w:t>0</w:t>
            </w:r>
          </w:p>
        </w:tc>
        <w:tc>
          <w:tcPr>
            <w:tcW w:w="816" w:type="pct"/>
            <w:shd w:val="clear" w:color="auto" w:fill="auto"/>
          </w:tcPr>
          <w:p w14:paraId="5A5C0509" w14:textId="06ACAFFD" w:rsidR="004B2A77" w:rsidRPr="00781112" w:rsidRDefault="004B2A77" w:rsidP="00A018D4">
            <w:pPr>
              <w:jc w:val="center"/>
              <w:rPr>
                <w:rFonts w:cs="Arial"/>
                <w:color w:val="000000" w:themeColor="text1"/>
                <w:szCs w:val="16"/>
              </w:rPr>
            </w:pPr>
            <w:r w:rsidRPr="00781112">
              <w:rPr>
                <w:rFonts w:cs="Arial"/>
                <w:color w:val="000000" w:themeColor="text1"/>
                <w:szCs w:val="16"/>
              </w:rPr>
              <w:t>66</w:t>
            </w:r>
          </w:p>
        </w:tc>
        <w:tc>
          <w:tcPr>
            <w:tcW w:w="524" w:type="pct"/>
            <w:shd w:val="clear" w:color="auto" w:fill="auto"/>
          </w:tcPr>
          <w:p w14:paraId="5124C23D" w14:textId="44EC7AED" w:rsidR="004B2A77" w:rsidRPr="00781112" w:rsidRDefault="004B2A77" w:rsidP="00A018D4">
            <w:pPr>
              <w:jc w:val="center"/>
              <w:rPr>
                <w:rFonts w:cs="Arial"/>
                <w:color w:val="000000" w:themeColor="text1"/>
                <w:szCs w:val="16"/>
              </w:rPr>
            </w:pPr>
            <w:r w:rsidRPr="00781112">
              <w:rPr>
                <w:rFonts w:cs="Arial"/>
                <w:color w:val="000000" w:themeColor="text1"/>
                <w:szCs w:val="16"/>
              </w:rPr>
              <w:t>0.00%</w:t>
            </w:r>
          </w:p>
        </w:tc>
        <w:tc>
          <w:tcPr>
            <w:tcW w:w="778" w:type="pct"/>
            <w:shd w:val="clear" w:color="auto" w:fill="auto"/>
          </w:tcPr>
          <w:p w14:paraId="60374E05" w14:textId="3E7E167C" w:rsidR="004B2A77" w:rsidRPr="00781112" w:rsidRDefault="009C65E9" w:rsidP="00A018D4">
            <w:pPr>
              <w:jc w:val="center"/>
              <w:rPr>
                <w:rFonts w:cs="Arial"/>
                <w:color w:val="000000" w:themeColor="text1"/>
                <w:szCs w:val="16"/>
              </w:rPr>
            </w:pPr>
            <w:r w:rsidRPr="00781112">
              <w:rPr>
                <w:rFonts w:cs="Arial"/>
                <w:color w:val="000000" w:themeColor="text1"/>
                <w:szCs w:val="16"/>
              </w:rPr>
              <w:t>0%</w:t>
            </w:r>
          </w:p>
        </w:tc>
        <w:tc>
          <w:tcPr>
            <w:tcW w:w="473" w:type="pct"/>
            <w:shd w:val="clear" w:color="auto" w:fill="auto"/>
          </w:tcPr>
          <w:p w14:paraId="4C77CACE" w14:textId="610C95DA" w:rsidR="004B2A77" w:rsidRPr="00781112" w:rsidRDefault="004B2A77" w:rsidP="00A018D4">
            <w:pPr>
              <w:jc w:val="center"/>
              <w:rPr>
                <w:rFonts w:cs="Arial"/>
                <w:color w:val="000000" w:themeColor="text1"/>
                <w:szCs w:val="16"/>
              </w:rPr>
            </w:pPr>
            <w:r w:rsidRPr="00781112">
              <w:rPr>
                <w:rFonts w:cs="Arial"/>
                <w:color w:val="000000" w:themeColor="text1"/>
                <w:szCs w:val="16"/>
              </w:rPr>
              <w:t>0.00%</w:t>
            </w:r>
          </w:p>
        </w:tc>
        <w:tc>
          <w:tcPr>
            <w:tcW w:w="596" w:type="pct"/>
            <w:shd w:val="clear" w:color="auto" w:fill="auto"/>
          </w:tcPr>
          <w:p w14:paraId="58A781DA" w14:textId="678D3288" w:rsidR="004B2A77" w:rsidRPr="00781112" w:rsidRDefault="004B2A77" w:rsidP="00A018D4">
            <w:pPr>
              <w:jc w:val="center"/>
              <w:rPr>
                <w:rFonts w:cs="Arial"/>
                <w:color w:val="000000" w:themeColor="text1"/>
                <w:szCs w:val="16"/>
              </w:rPr>
            </w:pPr>
            <w:r w:rsidRPr="00781112">
              <w:rPr>
                <w:rFonts w:cs="Arial"/>
                <w:color w:val="000000" w:themeColor="text1"/>
                <w:szCs w:val="16"/>
              </w:rPr>
              <w:t>Met target</w:t>
            </w:r>
          </w:p>
        </w:tc>
        <w:tc>
          <w:tcPr>
            <w:tcW w:w="577" w:type="pct"/>
            <w:shd w:val="clear" w:color="auto" w:fill="auto"/>
          </w:tcPr>
          <w:p w14:paraId="47F36111" w14:textId="3F2C8DFF" w:rsidR="004B2A77" w:rsidRPr="00781112" w:rsidRDefault="004B2A77" w:rsidP="00A018D4">
            <w:pPr>
              <w:jc w:val="center"/>
              <w:rPr>
                <w:rFonts w:cs="Arial"/>
                <w:color w:val="000000" w:themeColor="text1"/>
                <w:szCs w:val="16"/>
              </w:rPr>
            </w:pPr>
            <w:r w:rsidRPr="00781112">
              <w:rPr>
                <w:rFonts w:cs="Arial"/>
                <w:color w:val="000000" w:themeColor="text1"/>
                <w:szCs w:val="16"/>
              </w:rPr>
              <w:t>No Slippage</w:t>
            </w:r>
          </w:p>
        </w:tc>
      </w:tr>
    </w:tbl>
    <w:p w14:paraId="220899ED" w14:textId="09CDAC50" w:rsidR="003E7FC1" w:rsidRPr="00781112" w:rsidRDefault="00955FDB" w:rsidP="007D435F">
      <w:pPr>
        <w:rPr>
          <w:rFonts w:cs="Arial"/>
          <w:b/>
          <w:color w:val="000000" w:themeColor="text1"/>
          <w:szCs w:val="16"/>
        </w:rPr>
      </w:pPr>
      <w:r w:rsidRPr="00781112">
        <w:rPr>
          <w:rFonts w:cs="Arial"/>
          <w:b/>
          <w:color w:val="000000" w:themeColor="text1"/>
          <w:szCs w:val="16"/>
        </w:rPr>
        <w:t xml:space="preserve">Were all races and ethnicities included in the review? </w:t>
      </w:r>
    </w:p>
    <w:p w14:paraId="64B5C6B5" w14:textId="17D64090" w:rsidR="003E7FC1" w:rsidRPr="00781112" w:rsidRDefault="003E7FC1" w:rsidP="007D435F">
      <w:pPr>
        <w:rPr>
          <w:rFonts w:cs="Arial"/>
          <w:color w:val="000000" w:themeColor="text1"/>
          <w:szCs w:val="16"/>
        </w:rPr>
      </w:pPr>
      <w:r w:rsidRPr="00781112">
        <w:rPr>
          <w:rFonts w:cs="Arial"/>
          <w:color w:val="000000" w:themeColor="text1"/>
          <w:szCs w:val="16"/>
        </w:rPr>
        <w:t>YES</w:t>
      </w:r>
    </w:p>
    <w:p w14:paraId="6A959542" w14:textId="25AC6B55" w:rsidR="00030B45" w:rsidRPr="00781112" w:rsidRDefault="000F256B" w:rsidP="004369B2">
      <w:pPr>
        <w:rPr>
          <w:b/>
          <w:color w:val="000000" w:themeColor="text1"/>
        </w:rPr>
      </w:pPr>
      <w:r w:rsidRPr="00781112">
        <w:rPr>
          <w:b/>
          <w:color w:val="000000" w:themeColor="text1"/>
        </w:rPr>
        <w:t xml:space="preserve">Define “disproportionate representation.” Please specify in your definition: 1) the calculation method(s) being used (i.e., risk ratio, weighted risk ratio, e-formula, etc.); and 2) the threshold at which disproportionate representation is identified. Also include, as appropriate, 3) the number of years of data used in the calculation; and 4) any minimum cell and/or n-sizes (i.e., risk numerator and/or risk denominator). </w:t>
      </w:r>
    </w:p>
    <w:p w14:paraId="6885C863" w14:textId="66F69B19" w:rsidR="009B37A2" w:rsidRPr="00781112" w:rsidRDefault="002B7490" w:rsidP="00CE1CE8">
      <w:pPr>
        <w:rPr>
          <w:rFonts w:cs="Arial"/>
          <w:color w:val="000000" w:themeColor="text1"/>
          <w:szCs w:val="16"/>
        </w:rPr>
      </w:pPr>
      <w:bookmarkStart w:id="52" w:name="_Hlk494459610"/>
      <w:r w:rsidRPr="00781112">
        <w:rPr>
          <w:rFonts w:cs="Arial"/>
          <w:color w:val="000000" w:themeColor="text1"/>
          <w:szCs w:val="16"/>
        </w:rPr>
        <w:t>1) the calculation method(s) being used: risk ratio and alternate risk ratio methods</w:t>
      </w:r>
      <w:r w:rsidRPr="00781112">
        <w:rPr>
          <w:rFonts w:cs="Arial"/>
          <w:color w:val="000000" w:themeColor="text1"/>
          <w:szCs w:val="16"/>
        </w:rPr>
        <w:br/>
        <w:t>2) the threshold at which disproportionate representation is identified: 4.0 and above</w:t>
      </w:r>
      <w:r w:rsidRPr="00781112">
        <w:rPr>
          <w:rFonts w:cs="Arial"/>
          <w:color w:val="000000" w:themeColor="text1"/>
          <w:szCs w:val="16"/>
        </w:rPr>
        <w:br/>
        <w:t>3) The number of years of data used in the calculation: 1 year</w:t>
      </w:r>
      <w:r w:rsidRPr="00781112">
        <w:rPr>
          <w:rFonts w:cs="Arial"/>
          <w:color w:val="000000" w:themeColor="text1"/>
          <w:szCs w:val="16"/>
        </w:rPr>
        <w:br/>
        <w:t>4) minimum cell and/or n-sizes:</w:t>
      </w:r>
      <w:r w:rsidRPr="00781112">
        <w:rPr>
          <w:rFonts w:cs="Arial"/>
          <w:color w:val="000000" w:themeColor="text1"/>
          <w:szCs w:val="16"/>
        </w:rPr>
        <w:br/>
        <w:t>minimum cell (risk numerator) size = 10</w:t>
      </w:r>
      <w:r w:rsidRPr="00781112">
        <w:rPr>
          <w:rFonts w:cs="Arial"/>
          <w:color w:val="000000" w:themeColor="text1"/>
          <w:szCs w:val="16"/>
        </w:rPr>
        <w:br/>
        <w:t>minimum n (risk denominator) size = 10</w:t>
      </w:r>
    </w:p>
    <w:bookmarkEnd w:id="52"/>
    <w:p w14:paraId="7574A63E" w14:textId="34AB5613" w:rsidR="000F256B" w:rsidRPr="00781112" w:rsidRDefault="000F256B" w:rsidP="004369B2">
      <w:pPr>
        <w:rPr>
          <w:b/>
          <w:color w:val="000000" w:themeColor="text1"/>
        </w:rPr>
      </w:pPr>
      <w:r w:rsidRPr="00781112">
        <w:rPr>
          <w:b/>
          <w:color w:val="000000" w:themeColor="text1"/>
        </w:rPr>
        <w:t>Describe how the State made its annual determination as to whether the disproportionate representation it identified of racial and ethnic groups in special education and related services was the result of inappropriate identification.</w:t>
      </w:r>
    </w:p>
    <w:p w14:paraId="43771B17" w14:textId="1EE1B86A" w:rsidR="009B37A2" w:rsidRPr="00781112" w:rsidRDefault="002B7490" w:rsidP="003817C0">
      <w:pPr>
        <w:rPr>
          <w:rFonts w:cs="Arial"/>
          <w:color w:val="000000" w:themeColor="text1"/>
          <w:szCs w:val="16"/>
        </w:rPr>
      </w:pPr>
      <w:r w:rsidRPr="00781112">
        <w:rPr>
          <w:rFonts w:cs="Arial"/>
          <w:color w:val="000000" w:themeColor="text1"/>
          <w:szCs w:val="16"/>
        </w:rPr>
        <w:t xml:space="preserve">None of the AUs exceeded </w:t>
      </w:r>
      <w:proofErr w:type="gramStart"/>
      <w:r w:rsidRPr="00781112">
        <w:rPr>
          <w:rFonts w:cs="Arial"/>
          <w:color w:val="000000" w:themeColor="text1"/>
          <w:szCs w:val="16"/>
        </w:rPr>
        <w:t>the  risk</w:t>
      </w:r>
      <w:proofErr w:type="gramEnd"/>
      <w:r w:rsidRPr="00781112">
        <w:rPr>
          <w:rFonts w:cs="Arial"/>
          <w:color w:val="000000" w:themeColor="text1"/>
          <w:szCs w:val="16"/>
        </w:rPr>
        <w:t xml:space="preserve"> ratio threshold while meeting the minimum cell/n-sizes, thus, none were investigated for inappropriate identification for Indicator 9 purposes.</w:t>
      </w:r>
    </w:p>
    <w:p w14:paraId="3B71A72A" w14:textId="77777777" w:rsidR="00DF1529" w:rsidRPr="00781112" w:rsidRDefault="00DF1529" w:rsidP="00DF1529">
      <w:pPr>
        <w:rPr>
          <w:rFonts w:cs="Arial"/>
          <w:b/>
          <w:color w:val="000000" w:themeColor="text1"/>
          <w:szCs w:val="16"/>
        </w:rPr>
      </w:pPr>
      <w:bookmarkStart w:id="53" w:name="_Toc381956337"/>
      <w:bookmarkStart w:id="54" w:name="_Toc384383347"/>
      <w:bookmarkStart w:id="55" w:name="_Toc392159315"/>
      <w:r w:rsidRPr="00781112">
        <w:rPr>
          <w:rFonts w:cs="Arial"/>
          <w:b/>
          <w:color w:val="000000" w:themeColor="text1"/>
          <w:szCs w:val="16"/>
        </w:rPr>
        <w:t>Provide additional information about this indicator (optional)</w:t>
      </w:r>
    </w:p>
    <w:p w14:paraId="0CC85C5C" w14:textId="196142DC" w:rsidR="009B37A2" w:rsidRPr="00781112" w:rsidRDefault="002B7490" w:rsidP="007D435F">
      <w:pPr>
        <w:rPr>
          <w:rFonts w:cs="Arial"/>
          <w:color w:val="000000" w:themeColor="text1"/>
          <w:szCs w:val="16"/>
        </w:rPr>
      </w:pPr>
      <w:r w:rsidRPr="00781112">
        <w:rPr>
          <w:rFonts w:cs="Arial"/>
          <w:color w:val="000000" w:themeColor="text1"/>
          <w:szCs w:val="16"/>
        </w:rPr>
        <w:t xml:space="preserve">Two AUs (1 correctional facility and 1 mental-health facility) were excluded from the calculation of this indicator because they did not meet the minimum cell/n size. </w:t>
      </w:r>
    </w:p>
    <w:p w14:paraId="1FEDA55E" w14:textId="77777777" w:rsidR="00F14FC6" w:rsidRPr="00781112" w:rsidRDefault="00F14FC6" w:rsidP="004369B2">
      <w:pPr>
        <w:rPr>
          <w:color w:val="000000" w:themeColor="text1"/>
        </w:rPr>
      </w:pPr>
    </w:p>
    <w:p w14:paraId="69DF7E10" w14:textId="1D14F0F3" w:rsidR="009A755E" w:rsidRPr="00781112" w:rsidRDefault="00450F98" w:rsidP="004369B2">
      <w:pPr>
        <w:rPr>
          <w:color w:val="000000" w:themeColor="text1"/>
        </w:rPr>
      </w:pPr>
      <w:r>
        <w:rPr>
          <w:b/>
          <w:color w:val="000000" w:themeColor="text1"/>
        </w:rPr>
        <w:t>Correction of Findings of Noncompliance Identified in FFY 2021</w:t>
      </w:r>
    </w:p>
    <w:tbl>
      <w:tblPr>
        <w:tblStyle w:val="TableGrid"/>
        <w:tblW w:w="5000" w:type="pct"/>
        <w:tblLook w:val="04A0" w:firstRow="1" w:lastRow="0" w:firstColumn="1" w:lastColumn="0" w:noHBand="0" w:noVBand="1"/>
        <w:tblCaption w:val="B09PFFYNCFINDINGS"/>
      </w:tblPr>
      <w:tblGrid>
        <w:gridCol w:w="2650"/>
        <w:gridCol w:w="2780"/>
        <w:gridCol w:w="2656"/>
        <w:gridCol w:w="2704"/>
      </w:tblGrid>
      <w:tr w:rsidR="005C29F8" w:rsidRPr="00781112" w14:paraId="435C2E3A" w14:textId="77777777" w:rsidTr="004671FF">
        <w:trPr>
          <w:trHeight w:val="389"/>
          <w:tblHeader/>
        </w:trPr>
        <w:tc>
          <w:tcPr>
            <w:tcW w:w="1228" w:type="pct"/>
            <w:shd w:val="clear" w:color="auto" w:fill="auto"/>
            <w:vAlign w:val="bottom"/>
          </w:tcPr>
          <w:p w14:paraId="3DF4178F" w14:textId="77777777" w:rsidR="009A755E" w:rsidRPr="00781112" w:rsidRDefault="009A755E" w:rsidP="009A755E">
            <w:pPr>
              <w:jc w:val="center"/>
              <w:rPr>
                <w:rFonts w:cs="Arial"/>
                <w:b/>
                <w:color w:val="000000" w:themeColor="text1"/>
                <w:szCs w:val="16"/>
              </w:rPr>
            </w:pPr>
            <w:r w:rsidRPr="00781112">
              <w:rPr>
                <w:rFonts w:cs="Arial"/>
                <w:b/>
                <w:color w:val="000000" w:themeColor="text1"/>
                <w:szCs w:val="16"/>
              </w:rPr>
              <w:t>Findings of Noncompliance Identified</w:t>
            </w:r>
          </w:p>
        </w:tc>
        <w:tc>
          <w:tcPr>
            <w:tcW w:w="1288" w:type="pct"/>
            <w:shd w:val="clear" w:color="auto" w:fill="auto"/>
            <w:vAlign w:val="bottom"/>
          </w:tcPr>
          <w:p w14:paraId="5838AA6E" w14:textId="77777777" w:rsidR="009A755E" w:rsidRPr="00781112" w:rsidRDefault="009A755E" w:rsidP="009A755E">
            <w:pPr>
              <w:jc w:val="center"/>
              <w:rPr>
                <w:rFonts w:cs="Arial"/>
                <w:b/>
                <w:color w:val="000000" w:themeColor="text1"/>
                <w:szCs w:val="16"/>
              </w:rPr>
            </w:pPr>
            <w:r w:rsidRPr="00781112">
              <w:rPr>
                <w:rFonts w:cs="Arial"/>
                <w:b/>
                <w:color w:val="000000" w:themeColor="text1"/>
                <w:szCs w:val="16"/>
              </w:rPr>
              <w:t>Findings of Noncompliance Verified as Corrected Within One Year</w:t>
            </w:r>
          </w:p>
        </w:tc>
        <w:tc>
          <w:tcPr>
            <w:tcW w:w="1231" w:type="pct"/>
            <w:shd w:val="clear" w:color="auto" w:fill="auto"/>
            <w:vAlign w:val="bottom"/>
          </w:tcPr>
          <w:p w14:paraId="10EF23DE" w14:textId="77777777" w:rsidR="009A755E" w:rsidRPr="00781112" w:rsidRDefault="009A755E" w:rsidP="009A755E">
            <w:pPr>
              <w:jc w:val="center"/>
              <w:rPr>
                <w:rFonts w:cs="Arial"/>
                <w:b/>
                <w:color w:val="000000" w:themeColor="text1"/>
                <w:szCs w:val="16"/>
              </w:rPr>
            </w:pPr>
            <w:r w:rsidRPr="00781112">
              <w:rPr>
                <w:rFonts w:cs="Arial"/>
                <w:b/>
                <w:color w:val="000000" w:themeColor="text1"/>
                <w:szCs w:val="16"/>
              </w:rPr>
              <w:t>Findings of Noncompliance Subsequently Corrected</w:t>
            </w:r>
          </w:p>
        </w:tc>
        <w:tc>
          <w:tcPr>
            <w:tcW w:w="1254" w:type="pct"/>
            <w:shd w:val="clear" w:color="auto" w:fill="auto"/>
            <w:vAlign w:val="bottom"/>
          </w:tcPr>
          <w:p w14:paraId="413FB053" w14:textId="77777777" w:rsidR="009A755E" w:rsidRPr="00781112" w:rsidRDefault="009A755E" w:rsidP="009A755E">
            <w:pPr>
              <w:jc w:val="center"/>
              <w:rPr>
                <w:rFonts w:cs="Arial"/>
                <w:b/>
                <w:color w:val="000000" w:themeColor="text1"/>
                <w:szCs w:val="16"/>
              </w:rPr>
            </w:pPr>
            <w:r w:rsidRPr="00781112">
              <w:rPr>
                <w:rFonts w:cs="Arial"/>
                <w:b/>
                <w:color w:val="000000" w:themeColor="text1"/>
                <w:szCs w:val="16"/>
              </w:rPr>
              <w:t>Findings Not Yet Verified as Corrected</w:t>
            </w:r>
          </w:p>
        </w:tc>
      </w:tr>
      <w:tr w:rsidR="005C29F8" w:rsidRPr="00781112" w14:paraId="764124D7" w14:textId="77777777" w:rsidTr="004671FF">
        <w:tc>
          <w:tcPr>
            <w:tcW w:w="1228" w:type="pct"/>
            <w:shd w:val="clear" w:color="auto" w:fill="auto"/>
          </w:tcPr>
          <w:p w14:paraId="42664B40" w14:textId="26FCEE8E" w:rsidR="009A755E" w:rsidRPr="00781112" w:rsidRDefault="002B7490" w:rsidP="00A018D4">
            <w:pPr>
              <w:jc w:val="center"/>
              <w:rPr>
                <w:rFonts w:cs="Arial"/>
                <w:color w:val="000000" w:themeColor="text1"/>
                <w:szCs w:val="16"/>
              </w:rPr>
            </w:pPr>
            <w:r w:rsidRPr="00781112">
              <w:rPr>
                <w:rFonts w:cs="Arial"/>
                <w:color w:val="000000" w:themeColor="text1"/>
                <w:szCs w:val="16"/>
              </w:rPr>
              <w:t>0</w:t>
            </w:r>
          </w:p>
        </w:tc>
        <w:tc>
          <w:tcPr>
            <w:tcW w:w="1288" w:type="pct"/>
            <w:shd w:val="clear" w:color="auto" w:fill="auto"/>
          </w:tcPr>
          <w:p w14:paraId="6961AA78" w14:textId="6F435E76" w:rsidR="009A755E" w:rsidRPr="00781112" w:rsidRDefault="002B7490" w:rsidP="00A018D4">
            <w:pPr>
              <w:jc w:val="center"/>
              <w:rPr>
                <w:rFonts w:cs="Arial"/>
                <w:color w:val="000000" w:themeColor="text1"/>
                <w:szCs w:val="16"/>
              </w:rPr>
            </w:pPr>
            <w:r w:rsidRPr="00781112">
              <w:rPr>
                <w:rFonts w:cs="Arial"/>
                <w:color w:val="000000" w:themeColor="text1"/>
                <w:szCs w:val="16"/>
              </w:rPr>
              <w:t>0</w:t>
            </w:r>
          </w:p>
        </w:tc>
        <w:tc>
          <w:tcPr>
            <w:tcW w:w="1231" w:type="pct"/>
            <w:shd w:val="clear" w:color="auto" w:fill="auto"/>
          </w:tcPr>
          <w:p w14:paraId="62D59DBA" w14:textId="3A100C9A" w:rsidR="009A755E" w:rsidRPr="00781112" w:rsidRDefault="002B7490" w:rsidP="00A018D4">
            <w:pPr>
              <w:jc w:val="center"/>
              <w:rPr>
                <w:rFonts w:cs="Arial"/>
                <w:color w:val="000000" w:themeColor="text1"/>
                <w:szCs w:val="16"/>
              </w:rPr>
            </w:pPr>
            <w:r w:rsidRPr="00781112">
              <w:rPr>
                <w:rFonts w:cs="Arial"/>
                <w:color w:val="000000" w:themeColor="text1"/>
                <w:szCs w:val="16"/>
              </w:rPr>
              <w:t>0</w:t>
            </w:r>
          </w:p>
        </w:tc>
        <w:tc>
          <w:tcPr>
            <w:tcW w:w="1254" w:type="pct"/>
            <w:shd w:val="clear" w:color="auto" w:fill="auto"/>
          </w:tcPr>
          <w:p w14:paraId="3810C422" w14:textId="3AC4106C" w:rsidR="009A755E" w:rsidRPr="00781112" w:rsidRDefault="002B7490" w:rsidP="00A018D4">
            <w:pPr>
              <w:jc w:val="center"/>
              <w:rPr>
                <w:rFonts w:cs="Arial"/>
                <w:color w:val="000000" w:themeColor="text1"/>
                <w:szCs w:val="16"/>
              </w:rPr>
            </w:pPr>
            <w:r w:rsidRPr="00781112">
              <w:rPr>
                <w:rFonts w:cs="Arial"/>
                <w:color w:val="000000" w:themeColor="text1"/>
                <w:szCs w:val="16"/>
              </w:rPr>
              <w:t>0</w:t>
            </w:r>
          </w:p>
        </w:tc>
      </w:tr>
    </w:tbl>
    <w:p w14:paraId="47600374" w14:textId="77777777" w:rsidR="00F5391D" w:rsidRPr="00781112" w:rsidRDefault="00F5391D" w:rsidP="004369B2">
      <w:pPr>
        <w:rPr>
          <w:color w:val="000000" w:themeColor="text1"/>
        </w:rPr>
      </w:pPr>
    </w:p>
    <w:p w14:paraId="287CA0E8" w14:textId="46CA5D65" w:rsidR="009A755E" w:rsidRPr="00781112" w:rsidRDefault="00450F98" w:rsidP="004369B2">
      <w:pPr>
        <w:rPr>
          <w:color w:val="000000" w:themeColor="text1"/>
        </w:rPr>
      </w:pPr>
      <w:r>
        <w:rPr>
          <w:b/>
          <w:color w:val="000000" w:themeColor="text1"/>
        </w:rPr>
        <w:t>Correction of Findings of Noncompliance Identified Prior to FFY 2021</w:t>
      </w:r>
    </w:p>
    <w:tbl>
      <w:tblPr>
        <w:tblStyle w:val="TableGrid"/>
        <w:tblW w:w="5000" w:type="pct"/>
        <w:tblLook w:val="04A0" w:firstRow="1" w:lastRow="0" w:firstColumn="1" w:lastColumn="0" w:noHBand="0" w:noVBand="1"/>
        <w:tblCaption w:val="B09PPFFYNCFINDINGS"/>
      </w:tblPr>
      <w:tblGrid>
        <w:gridCol w:w="1890"/>
        <w:gridCol w:w="3131"/>
        <w:gridCol w:w="3123"/>
        <w:gridCol w:w="2646"/>
      </w:tblGrid>
      <w:tr w:rsidR="005C29F8" w:rsidRPr="00781112" w14:paraId="45BB80A1" w14:textId="77777777" w:rsidTr="00052590">
        <w:trPr>
          <w:tblHeader/>
        </w:trPr>
        <w:tc>
          <w:tcPr>
            <w:tcW w:w="876" w:type="pct"/>
            <w:shd w:val="clear" w:color="auto" w:fill="auto"/>
            <w:vAlign w:val="bottom"/>
          </w:tcPr>
          <w:p w14:paraId="5035B654" w14:textId="11C86A56" w:rsidR="009A755E" w:rsidRPr="00781112" w:rsidRDefault="003A4027" w:rsidP="009A755E">
            <w:pPr>
              <w:jc w:val="center"/>
              <w:rPr>
                <w:rFonts w:cs="Arial"/>
                <w:b/>
                <w:color w:val="000000" w:themeColor="text1"/>
                <w:szCs w:val="16"/>
              </w:rPr>
            </w:pPr>
            <w:r w:rsidRPr="00781112">
              <w:rPr>
                <w:rFonts w:cs="Arial"/>
                <w:b/>
                <w:color w:val="000000" w:themeColor="text1"/>
                <w:szCs w:val="16"/>
              </w:rPr>
              <w:t>Year Findings of Noncompliance Were Identified</w:t>
            </w:r>
          </w:p>
        </w:tc>
        <w:tc>
          <w:tcPr>
            <w:tcW w:w="1451" w:type="pct"/>
            <w:shd w:val="clear" w:color="auto" w:fill="auto"/>
            <w:vAlign w:val="bottom"/>
          </w:tcPr>
          <w:p w14:paraId="37A08A62" w14:textId="5C6DB68B" w:rsidR="009A755E" w:rsidRPr="00781112" w:rsidRDefault="00450F98" w:rsidP="009A755E">
            <w:pPr>
              <w:jc w:val="center"/>
              <w:rPr>
                <w:rFonts w:cs="Arial"/>
                <w:b/>
                <w:color w:val="000000" w:themeColor="text1"/>
                <w:szCs w:val="16"/>
              </w:rPr>
            </w:pPr>
            <w:r>
              <w:rPr>
                <w:rFonts w:cs="Arial"/>
                <w:b/>
                <w:color w:val="000000" w:themeColor="text1"/>
                <w:szCs w:val="16"/>
              </w:rPr>
              <w:t>Findings of Noncompliance Not Yet Verified as Corrected as of FFY 2021 APR</w:t>
            </w:r>
          </w:p>
        </w:tc>
        <w:tc>
          <w:tcPr>
            <w:tcW w:w="1447" w:type="pct"/>
            <w:shd w:val="clear" w:color="auto" w:fill="auto"/>
            <w:vAlign w:val="bottom"/>
          </w:tcPr>
          <w:p w14:paraId="24E9B196" w14:textId="77777777" w:rsidR="009A755E" w:rsidRPr="00781112" w:rsidRDefault="009A755E" w:rsidP="009A755E">
            <w:pPr>
              <w:jc w:val="center"/>
              <w:rPr>
                <w:rFonts w:cs="Arial"/>
                <w:b/>
                <w:color w:val="000000" w:themeColor="text1"/>
                <w:szCs w:val="16"/>
              </w:rPr>
            </w:pPr>
            <w:r w:rsidRPr="00781112">
              <w:rPr>
                <w:rFonts w:cs="Arial"/>
                <w:b/>
                <w:color w:val="000000" w:themeColor="text1"/>
                <w:szCs w:val="16"/>
              </w:rPr>
              <w:t>Findings of Noncompliance Verified as Corrected</w:t>
            </w:r>
          </w:p>
        </w:tc>
        <w:tc>
          <w:tcPr>
            <w:tcW w:w="1226" w:type="pct"/>
            <w:shd w:val="clear" w:color="auto" w:fill="auto"/>
            <w:vAlign w:val="bottom"/>
          </w:tcPr>
          <w:p w14:paraId="344E951E" w14:textId="77777777" w:rsidR="009A755E" w:rsidRPr="00781112" w:rsidRDefault="009A755E" w:rsidP="009A755E">
            <w:pPr>
              <w:jc w:val="center"/>
              <w:rPr>
                <w:rFonts w:cs="Arial"/>
                <w:b/>
                <w:color w:val="000000" w:themeColor="text1"/>
                <w:szCs w:val="16"/>
              </w:rPr>
            </w:pPr>
            <w:r w:rsidRPr="00781112">
              <w:rPr>
                <w:rFonts w:cs="Arial"/>
                <w:b/>
                <w:color w:val="000000" w:themeColor="text1"/>
                <w:szCs w:val="16"/>
              </w:rPr>
              <w:t>Findings Not Yet Verified as Corrected</w:t>
            </w:r>
          </w:p>
        </w:tc>
      </w:tr>
      <w:tr w:rsidR="005C29F8" w:rsidRPr="00781112" w14:paraId="5988805E" w14:textId="77777777" w:rsidTr="00052590">
        <w:tc>
          <w:tcPr>
            <w:tcW w:w="876" w:type="pct"/>
            <w:shd w:val="clear" w:color="auto" w:fill="auto"/>
          </w:tcPr>
          <w:p w14:paraId="45428D6F" w14:textId="7D4EAEAA" w:rsidR="009A755E" w:rsidRPr="00781112" w:rsidRDefault="009A755E" w:rsidP="00A018D4">
            <w:pPr>
              <w:jc w:val="center"/>
              <w:rPr>
                <w:rFonts w:cs="Arial"/>
                <w:color w:val="000000" w:themeColor="text1"/>
                <w:szCs w:val="16"/>
              </w:rPr>
            </w:pPr>
          </w:p>
        </w:tc>
        <w:tc>
          <w:tcPr>
            <w:tcW w:w="1451" w:type="pct"/>
            <w:shd w:val="clear" w:color="auto" w:fill="auto"/>
          </w:tcPr>
          <w:p w14:paraId="2538B936" w14:textId="1E5EBCEA" w:rsidR="009A755E" w:rsidRPr="00781112" w:rsidRDefault="009A755E">
            <w:pPr>
              <w:jc w:val="center"/>
              <w:rPr>
                <w:rFonts w:cs="Arial"/>
                <w:noProof/>
                <w:color w:val="000000" w:themeColor="text1"/>
                <w:szCs w:val="16"/>
              </w:rPr>
            </w:pPr>
          </w:p>
        </w:tc>
        <w:tc>
          <w:tcPr>
            <w:tcW w:w="1447" w:type="pct"/>
            <w:shd w:val="clear" w:color="auto" w:fill="auto"/>
          </w:tcPr>
          <w:p w14:paraId="0C2616F3" w14:textId="51C19A6F" w:rsidR="009A755E" w:rsidRPr="00781112" w:rsidRDefault="009A755E">
            <w:pPr>
              <w:jc w:val="center"/>
              <w:rPr>
                <w:rFonts w:cs="Arial"/>
                <w:noProof/>
                <w:color w:val="000000" w:themeColor="text1"/>
                <w:szCs w:val="16"/>
              </w:rPr>
            </w:pPr>
          </w:p>
        </w:tc>
        <w:tc>
          <w:tcPr>
            <w:tcW w:w="1226" w:type="pct"/>
            <w:shd w:val="clear" w:color="auto" w:fill="auto"/>
          </w:tcPr>
          <w:p w14:paraId="2C4B22F3" w14:textId="328F69BF" w:rsidR="009A755E" w:rsidRPr="00781112" w:rsidRDefault="009A755E">
            <w:pPr>
              <w:jc w:val="center"/>
              <w:rPr>
                <w:rFonts w:cs="Arial"/>
                <w:noProof/>
                <w:color w:val="000000" w:themeColor="text1"/>
                <w:szCs w:val="16"/>
              </w:rPr>
            </w:pPr>
          </w:p>
        </w:tc>
      </w:tr>
      <w:tr w:rsidR="005C29F8" w:rsidRPr="00781112" w14:paraId="64C29D12" w14:textId="77777777" w:rsidTr="00052590">
        <w:tc>
          <w:tcPr>
            <w:tcW w:w="876" w:type="pct"/>
            <w:shd w:val="clear" w:color="auto" w:fill="auto"/>
          </w:tcPr>
          <w:p w14:paraId="64B189E9" w14:textId="0AFBAB97" w:rsidR="009A755E" w:rsidRPr="00781112" w:rsidRDefault="009A755E" w:rsidP="00A018D4">
            <w:pPr>
              <w:jc w:val="center"/>
              <w:rPr>
                <w:rFonts w:cs="Arial"/>
                <w:color w:val="000000" w:themeColor="text1"/>
                <w:szCs w:val="16"/>
              </w:rPr>
            </w:pPr>
          </w:p>
        </w:tc>
        <w:tc>
          <w:tcPr>
            <w:tcW w:w="1451" w:type="pct"/>
            <w:shd w:val="clear" w:color="auto" w:fill="auto"/>
          </w:tcPr>
          <w:p w14:paraId="0A04A1D7" w14:textId="686FEC4A" w:rsidR="009A755E" w:rsidRPr="00781112" w:rsidRDefault="009A755E">
            <w:pPr>
              <w:jc w:val="center"/>
              <w:rPr>
                <w:rFonts w:cs="Arial"/>
                <w:noProof/>
                <w:color w:val="000000" w:themeColor="text1"/>
                <w:szCs w:val="16"/>
              </w:rPr>
            </w:pPr>
          </w:p>
        </w:tc>
        <w:tc>
          <w:tcPr>
            <w:tcW w:w="1447" w:type="pct"/>
            <w:shd w:val="clear" w:color="auto" w:fill="auto"/>
          </w:tcPr>
          <w:p w14:paraId="6EC161AF" w14:textId="6E0D3C99" w:rsidR="009A755E" w:rsidRPr="00781112" w:rsidRDefault="009A755E">
            <w:pPr>
              <w:jc w:val="center"/>
              <w:rPr>
                <w:rFonts w:cs="Arial"/>
                <w:noProof/>
                <w:color w:val="000000" w:themeColor="text1"/>
                <w:szCs w:val="16"/>
              </w:rPr>
            </w:pPr>
          </w:p>
        </w:tc>
        <w:tc>
          <w:tcPr>
            <w:tcW w:w="1226" w:type="pct"/>
            <w:shd w:val="clear" w:color="auto" w:fill="auto"/>
          </w:tcPr>
          <w:p w14:paraId="0BCD79B4" w14:textId="02E3B9EE" w:rsidR="009A755E" w:rsidRPr="00781112" w:rsidRDefault="009A755E">
            <w:pPr>
              <w:jc w:val="center"/>
              <w:rPr>
                <w:rFonts w:cs="Arial"/>
                <w:noProof/>
                <w:color w:val="000000" w:themeColor="text1"/>
                <w:szCs w:val="16"/>
              </w:rPr>
            </w:pPr>
          </w:p>
        </w:tc>
      </w:tr>
      <w:tr w:rsidR="005C29F8" w:rsidRPr="00781112" w14:paraId="5DBE1D84" w14:textId="77777777" w:rsidTr="00052590">
        <w:tc>
          <w:tcPr>
            <w:tcW w:w="876" w:type="pct"/>
            <w:shd w:val="clear" w:color="auto" w:fill="auto"/>
          </w:tcPr>
          <w:p w14:paraId="19109B9A" w14:textId="16CEFD65" w:rsidR="009A755E" w:rsidRPr="00781112" w:rsidRDefault="009A755E" w:rsidP="00A018D4">
            <w:pPr>
              <w:jc w:val="center"/>
              <w:rPr>
                <w:rFonts w:cs="Arial"/>
                <w:color w:val="000000" w:themeColor="text1"/>
                <w:szCs w:val="16"/>
              </w:rPr>
            </w:pPr>
          </w:p>
        </w:tc>
        <w:tc>
          <w:tcPr>
            <w:tcW w:w="1451" w:type="pct"/>
            <w:shd w:val="clear" w:color="auto" w:fill="auto"/>
          </w:tcPr>
          <w:p w14:paraId="2D2E112D" w14:textId="794C18F8" w:rsidR="009A755E" w:rsidRPr="00781112" w:rsidRDefault="009A755E">
            <w:pPr>
              <w:jc w:val="center"/>
              <w:rPr>
                <w:rFonts w:cs="Arial"/>
                <w:noProof/>
                <w:color w:val="000000" w:themeColor="text1"/>
                <w:szCs w:val="16"/>
              </w:rPr>
            </w:pPr>
          </w:p>
        </w:tc>
        <w:tc>
          <w:tcPr>
            <w:tcW w:w="1447" w:type="pct"/>
            <w:shd w:val="clear" w:color="auto" w:fill="auto"/>
          </w:tcPr>
          <w:p w14:paraId="5B55C7F5" w14:textId="3406276E" w:rsidR="009A755E" w:rsidRPr="00781112" w:rsidRDefault="009A755E">
            <w:pPr>
              <w:jc w:val="center"/>
              <w:rPr>
                <w:rFonts w:cs="Arial"/>
                <w:noProof/>
                <w:color w:val="000000" w:themeColor="text1"/>
                <w:szCs w:val="16"/>
              </w:rPr>
            </w:pPr>
          </w:p>
        </w:tc>
        <w:tc>
          <w:tcPr>
            <w:tcW w:w="1226" w:type="pct"/>
            <w:shd w:val="clear" w:color="auto" w:fill="auto"/>
          </w:tcPr>
          <w:p w14:paraId="04E4EF54" w14:textId="064E0A7A" w:rsidR="009A755E" w:rsidRPr="00781112" w:rsidRDefault="009A755E">
            <w:pPr>
              <w:jc w:val="center"/>
              <w:rPr>
                <w:rFonts w:cs="Arial"/>
                <w:noProof/>
                <w:color w:val="000000" w:themeColor="text1"/>
                <w:szCs w:val="16"/>
              </w:rPr>
            </w:pPr>
          </w:p>
        </w:tc>
      </w:tr>
      <w:tr w:rsidR="00052590" w:rsidRPr="00781112" w14:paraId="48E611E2" w14:textId="77777777" w:rsidTr="00052590">
        <w:tc>
          <w:tcPr>
            <w:tcW w:w="876" w:type="pct"/>
            <w:shd w:val="clear" w:color="auto" w:fill="auto"/>
          </w:tcPr>
          <w:p w14:paraId="04BACD3E" w14:textId="36D5B78A" w:rsidR="00052590" w:rsidRPr="00781112" w:rsidRDefault="00052590" w:rsidP="00052590">
            <w:pPr>
              <w:jc w:val="center"/>
              <w:rPr>
                <w:rFonts w:cs="Arial"/>
                <w:color w:val="000000" w:themeColor="text1"/>
                <w:szCs w:val="16"/>
              </w:rPr>
            </w:pPr>
          </w:p>
        </w:tc>
        <w:tc>
          <w:tcPr>
            <w:tcW w:w="1451" w:type="pct"/>
            <w:shd w:val="clear" w:color="auto" w:fill="auto"/>
          </w:tcPr>
          <w:p w14:paraId="0D60840A" w14:textId="145B9759" w:rsidR="00052590" w:rsidRPr="00781112" w:rsidRDefault="00052590" w:rsidP="00052590">
            <w:pPr>
              <w:jc w:val="center"/>
              <w:rPr>
                <w:rFonts w:cs="Arial"/>
                <w:color w:val="000000" w:themeColor="text1"/>
                <w:szCs w:val="16"/>
              </w:rPr>
            </w:pPr>
          </w:p>
        </w:tc>
        <w:tc>
          <w:tcPr>
            <w:tcW w:w="1447" w:type="pct"/>
            <w:shd w:val="clear" w:color="auto" w:fill="auto"/>
          </w:tcPr>
          <w:p w14:paraId="4AB6362B" w14:textId="02CFA0F9" w:rsidR="00052590" w:rsidRPr="00781112" w:rsidRDefault="00052590" w:rsidP="00052590">
            <w:pPr>
              <w:jc w:val="center"/>
              <w:rPr>
                <w:rFonts w:cs="Arial"/>
                <w:color w:val="000000" w:themeColor="text1"/>
                <w:szCs w:val="16"/>
              </w:rPr>
            </w:pPr>
          </w:p>
        </w:tc>
        <w:tc>
          <w:tcPr>
            <w:tcW w:w="1226" w:type="pct"/>
            <w:shd w:val="clear" w:color="auto" w:fill="auto"/>
          </w:tcPr>
          <w:p w14:paraId="4B48F4D9" w14:textId="7D6E3BDD" w:rsidR="00052590" w:rsidRPr="00781112" w:rsidRDefault="00052590" w:rsidP="00052590">
            <w:pPr>
              <w:jc w:val="center"/>
              <w:rPr>
                <w:rFonts w:cs="Arial"/>
                <w:color w:val="000000" w:themeColor="text1"/>
                <w:szCs w:val="16"/>
              </w:rPr>
            </w:pPr>
          </w:p>
        </w:tc>
      </w:tr>
      <w:tr w:rsidR="00052590" w:rsidRPr="00781112" w14:paraId="0E5C2E26" w14:textId="77777777" w:rsidTr="00052590">
        <w:tc>
          <w:tcPr>
            <w:tcW w:w="876" w:type="pct"/>
            <w:shd w:val="clear" w:color="auto" w:fill="auto"/>
          </w:tcPr>
          <w:p w14:paraId="209314FB" w14:textId="49BE47EC" w:rsidR="00052590" w:rsidRPr="00781112" w:rsidRDefault="00052590" w:rsidP="00052590">
            <w:pPr>
              <w:jc w:val="center"/>
              <w:rPr>
                <w:rFonts w:cs="Arial"/>
                <w:color w:val="000000" w:themeColor="text1"/>
                <w:szCs w:val="16"/>
              </w:rPr>
            </w:pPr>
          </w:p>
        </w:tc>
        <w:tc>
          <w:tcPr>
            <w:tcW w:w="1451" w:type="pct"/>
            <w:shd w:val="clear" w:color="auto" w:fill="auto"/>
          </w:tcPr>
          <w:p w14:paraId="459895DC" w14:textId="6755A04B" w:rsidR="00052590" w:rsidRPr="00781112" w:rsidRDefault="00052590" w:rsidP="00052590">
            <w:pPr>
              <w:jc w:val="center"/>
              <w:rPr>
                <w:rFonts w:cs="Arial"/>
                <w:color w:val="000000" w:themeColor="text1"/>
                <w:szCs w:val="16"/>
              </w:rPr>
            </w:pPr>
          </w:p>
        </w:tc>
        <w:tc>
          <w:tcPr>
            <w:tcW w:w="1447" w:type="pct"/>
            <w:shd w:val="clear" w:color="auto" w:fill="auto"/>
          </w:tcPr>
          <w:p w14:paraId="09B9E700" w14:textId="2464B5FB" w:rsidR="00052590" w:rsidRPr="00781112" w:rsidRDefault="00052590" w:rsidP="00052590">
            <w:pPr>
              <w:jc w:val="center"/>
              <w:rPr>
                <w:rFonts w:cs="Arial"/>
                <w:color w:val="000000" w:themeColor="text1"/>
                <w:szCs w:val="16"/>
              </w:rPr>
            </w:pPr>
          </w:p>
        </w:tc>
        <w:tc>
          <w:tcPr>
            <w:tcW w:w="1226" w:type="pct"/>
            <w:shd w:val="clear" w:color="auto" w:fill="auto"/>
          </w:tcPr>
          <w:p w14:paraId="3BDFA8D1" w14:textId="2BBB1D3D" w:rsidR="00052590" w:rsidRPr="00781112" w:rsidRDefault="00052590" w:rsidP="00052590">
            <w:pPr>
              <w:jc w:val="center"/>
              <w:rPr>
                <w:rFonts w:cs="Arial"/>
                <w:color w:val="000000" w:themeColor="text1"/>
                <w:szCs w:val="16"/>
              </w:rPr>
            </w:pPr>
          </w:p>
        </w:tc>
      </w:tr>
    </w:tbl>
    <w:p w14:paraId="7A74DCD8" w14:textId="61B7BAF7" w:rsidR="004E2151" w:rsidRPr="00781112" w:rsidRDefault="00400C56" w:rsidP="008645AD">
      <w:pPr>
        <w:pStyle w:val="Heading2"/>
      </w:pPr>
      <w:r w:rsidRPr="00781112">
        <w:t>9</w:t>
      </w:r>
      <w:r w:rsidR="00844ADE" w:rsidRPr="00781112">
        <w:t xml:space="preserve"> </w:t>
      </w:r>
      <w:r w:rsidRPr="00781112">
        <w:t xml:space="preserve">- </w:t>
      </w:r>
      <w:r w:rsidR="004E2151" w:rsidRPr="00781112">
        <w:t>Prior FFY Required Actions</w:t>
      </w:r>
    </w:p>
    <w:p w14:paraId="704944D3" w14:textId="21E697E2" w:rsidR="004E2151" w:rsidRPr="00781112" w:rsidRDefault="002B7490" w:rsidP="004E2151">
      <w:pPr>
        <w:rPr>
          <w:rFonts w:cs="Arial"/>
          <w:color w:val="000000" w:themeColor="text1"/>
          <w:szCs w:val="16"/>
        </w:rPr>
      </w:pPr>
      <w:r w:rsidRPr="00781112">
        <w:rPr>
          <w:rFonts w:cs="Arial"/>
          <w:color w:val="000000" w:themeColor="text1"/>
          <w:szCs w:val="16"/>
        </w:rPr>
        <w:t>None</w:t>
      </w:r>
    </w:p>
    <w:p w14:paraId="7A2A42E5" w14:textId="77777777" w:rsidR="00591597" w:rsidRPr="00781112" w:rsidRDefault="00591597" w:rsidP="004E2151">
      <w:pPr>
        <w:rPr>
          <w:rFonts w:cs="Arial"/>
          <w:color w:val="000000" w:themeColor="text1"/>
          <w:szCs w:val="16"/>
        </w:rPr>
      </w:pPr>
    </w:p>
    <w:p w14:paraId="1139CB4A" w14:textId="77777777" w:rsidR="00591597" w:rsidRPr="00781112" w:rsidRDefault="00591597" w:rsidP="004E2151">
      <w:pPr>
        <w:rPr>
          <w:rFonts w:cs="Arial"/>
          <w:color w:val="000000" w:themeColor="text1"/>
          <w:szCs w:val="16"/>
        </w:rPr>
      </w:pPr>
    </w:p>
    <w:p w14:paraId="6FDBF7F5" w14:textId="608C7842" w:rsidR="007F5071" w:rsidRPr="00781112" w:rsidRDefault="00400C56" w:rsidP="008645AD">
      <w:pPr>
        <w:pStyle w:val="Heading2"/>
      </w:pPr>
      <w:r w:rsidRPr="00781112">
        <w:t>9 - OSEP Response</w:t>
      </w:r>
    </w:p>
    <w:p w14:paraId="77DED45E" w14:textId="3920B295" w:rsidR="00481536" w:rsidRPr="00781112" w:rsidRDefault="00481536" w:rsidP="00212954">
      <w:pPr>
        <w:rPr>
          <w:rFonts w:cs="Arial"/>
          <w:color w:val="000000" w:themeColor="text1"/>
          <w:szCs w:val="16"/>
        </w:rPr>
      </w:pPr>
    </w:p>
    <w:p w14:paraId="3F79B021" w14:textId="16E0C852" w:rsidR="007F5071" w:rsidRPr="00781112" w:rsidRDefault="00977D0D" w:rsidP="008645AD">
      <w:pPr>
        <w:pStyle w:val="Heading2"/>
      </w:pPr>
      <w:r w:rsidRPr="00781112">
        <w:lastRenderedPageBreak/>
        <w:t>9 - Required Actions</w:t>
      </w:r>
    </w:p>
    <w:p w14:paraId="0B404586" w14:textId="0A97D85C" w:rsidR="00481536" w:rsidRPr="00781112" w:rsidRDefault="00481536" w:rsidP="00212954">
      <w:pPr>
        <w:rPr>
          <w:rFonts w:cs="Arial"/>
          <w:color w:val="000000" w:themeColor="text1"/>
          <w:szCs w:val="16"/>
        </w:rPr>
      </w:pPr>
    </w:p>
    <w:p w14:paraId="20A15EBC" w14:textId="77777777" w:rsidR="00102FA3" w:rsidRPr="00781112" w:rsidRDefault="00102FA3">
      <w:pPr>
        <w:spacing w:before="0" w:after="200" w:line="276" w:lineRule="auto"/>
        <w:rPr>
          <w:rFonts w:eastAsiaTheme="majorEastAsia" w:cs="Arial"/>
          <w:b/>
          <w:bCs/>
          <w:color w:val="000000" w:themeColor="text1"/>
          <w:szCs w:val="16"/>
        </w:rPr>
      </w:pPr>
      <w:r w:rsidRPr="00781112">
        <w:rPr>
          <w:rFonts w:cs="Arial"/>
          <w:color w:val="000000" w:themeColor="text1"/>
          <w:szCs w:val="16"/>
        </w:rPr>
        <w:br w:type="page"/>
      </w:r>
    </w:p>
    <w:p w14:paraId="5D8087B6" w14:textId="0C652DF9" w:rsidR="00D03701" w:rsidRPr="00781112" w:rsidRDefault="00D03701" w:rsidP="000444E2">
      <w:pPr>
        <w:pStyle w:val="Heading1"/>
        <w:rPr>
          <w:color w:val="000000" w:themeColor="text1"/>
          <w:sz w:val="22"/>
        </w:rPr>
      </w:pPr>
      <w:r w:rsidRPr="00781112">
        <w:rPr>
          <w:color w:val="000000" w:themeColor="text1"/>
          <w:sz w:val="22"/>
        </w:rPr>
        <w:lastRenderedPageBreak/>
        <w:t>Indicator 10: Disproportionate Representation in Specific Disability Categories</w:t>
      </w:r>
      <w:bookmarkEnd w:id="53"/>
      <w:bookmarkEnd w:id="54"/>
      <w:bookmarkEnd w:id="55"/>
      <w:r w:rsidRPr="00781112">
        <w:rPr>
          <w:color w:val="000000" w:themeColor="text1"/>
          <w:sz w:val="22"/>
        </w:rPr>
        <w:t xml:space="preserve"> </w:t>
      </w:r>
    </w:p>
    <w:p w14:paraId="139B488B" w14:textId="77777777" w:rsidR="00B70FBF" w:rsidRPr="00781112" w:rsidRDefault="00B70FBF" w:rsidP="00A018D4">
      <w:pPr>
        <w:rPr>
          <w:color w:val="000000" w:themeColor="text1"/>
          <w:szCs w:val="20"/>
        </w:rPr>
      </w:pPr>
      <w:bookmarkStart w:id="56" w:name="_Toc384383348"/>
      <w:bookmarkStart w:id="57" w:name="_Toc392159316"/>
      <w:r w:rsidRPr="00781112">
        <w:rPr>
          <w:b/>
          <w:color w:val="000000" w:themeColor="text1"/>
          <w:sz w:val="20"/>
          <w:szCs w:val="20"/>
        </w:rPr>
        <w:t>Instructions and Measurement</w:t>
      </w:r>
    </w:p>
    <w:p w14:paraId="26E33C31" w14:textId="3616C8E9" w:rsidR="00CC634E" w:rsidRPr="00781112" w:rsidRDefault="00CC634E" w:rsidP="005A3C12">
      <w:pPr>
        <w:rPr>
          <w:rFonts w:cs="Arial"/>
          <w:b/>
          <w:color w:val="000000" w:themeColor="text1"/>
          <w:szCs w:val="16"/>
        </w:rPr>
      </w:pPr>
      <w:r w:rsidRPr="00781112">
        <w:rPr>
          <w:rFonts w:cs="Arial"/>
          <w:b/>
          <w:color w:val="000000" w:themeColor="text1"/>
          <w:szCs w:val="16"/>
        </w:rPr>
        <w:t>Monitoring Priority:</w:t>
      </w:r>
      <w:r w:rsidRPr="00781112">
        <w:rPr>
          <w:rFonts w:cs="Arial"/>
          <w:color w:val="000000" w:themeColor="text1"/>
          <w:szCs w:val="16"/>
        </w:rPr>
        <w:t xml:space="preserve"> Disproportionality</w:t>
      </w:r>
    </w:p>
    <w:p w14:paraId="2D2ACC66" w14:textId="77777777" w:rsidR="001D677D" w:rsidRPr="00781112" w:rsidRDefault="00CC634E" w:rsidP="005A3C12">
      <w:pPr>
        <w:rPr>
          <w:rFonts w:cs="Arial"/>
          <w:color w:val="000000" w:themeColor="text1"/>
          <w:szCs w:val="16"/>
        </w:rPr>
      </w:pPr>
      <w:r w:rsidRPr="00781112">
        <w:rPr>
          <w:rFonts w:cs="Arial"/>
          <w:b/>
          <w:color w:val="000000" w:themeColor="text1"/>
          <w:szCs w:val="16"/>
        </w:rPr>
        <w:t>Compliance indicator</w:t>
      </w:r>
      <w:r w:rsidRPr="00781112">
        <w:rPr>
          <w:rFonts w:cs="Arial"/>
          <w:color w:val="000000" w:themeColor="text1"/>
          <w:szCs w:val="16"/>
        </w:rPr>
        <w:t xml:space="preserve">: Percent of districts with disproportionate representation of racial and ethnic groups in specific disability </w:t>
      </w:r>
      <w:proofErr w:type="gramStart"/>
      <w:r w:rsidRPr="00781112">
        <w:rPr>
          <w:rFonts w:cs="Arial"/>
          <w:color w:val="000000" w:themeColor="text1"/>
          <w:szCs w:val="16"/>
        </w:rPr>
        <w:t>categories that</w:t>
      </w:r>
      <w:proofErr w:type="gramEnd"/>
      <w:r w:rsidRPr="00781112">
        <w:rPr>
          <w:rFonts w:cs="Arial"/>
          <w:color w:val="000000" w:themeColor="text1"/>
          <w:szCs w:val="16"/>
        </w:rPr>
        <w:t xml:space="preserve"> is the result of inappropriate identification.</w:t>
      </w:r>
    </w:p>
    <w:p w14:paraId="7688ECEE" w14:textId="1C1D5AA2" w:rsidR="00CC634E" w:rsidRPr="00781112" w:rsidRDefault="00CC634E" w:rsidP="005A3C12">
      <w:pPr>
        <w:rPr>
          <w:rFonts w:cs="Arial"/>
          <w:color w:val="000000" w:themeColor="text1"/>
          <w:szCs w:val="16"/>
        </w:rPr>
      </w:pPr>
      <w:r w:rsidRPr="00781112">
        <w:rPr>
          <w:rFonts w:cs="Arial"/>
          <w:color w:val="000000" w:themeColor="text1"/>
          <w:szCs w:val="16"/>
        </w:rPr>
        <w:t xml:space="preserve"> (20 U.S.C. 1416(a)(3)(C))</w:t>
      </w:r>
    </w:p>
    <w:p w14:paraId="37F13F1F" w14:textId="77777777" w:rsidR="001D677D" w:rsidRPr="00781112" w:rsidRDefault="001D677D" w:rsidP="004369B2">
      <w:pPr>
        <w:rPr>
          <w:color w:val="000000" w:themeColor="text1"/>
        </w:rPr>
      </w:pPr>
      <w:r w:rsidRPr="00781112">
        <w:rPr>
          <w:b/>
          <w:color w:val="000000" w:themeColor="text1"/>
        </w:rPr>
        <w:t>Data Source</w:t>
      </w:r>
    </w:p>
    <w:p w14:paraId="3D0F53DD" w14:textId="1C69F23D" w:rsidR="001D677D" w:rsidRPr="00781112" w:rsidRDefault="007A3964" w:rsidP="00286BDF">
      <w:pPr>
        <w:rPr>
          <w:rFonts w:cs="Arial"/>
          <w:color w:val="000000" w:themeColor="text1"/>
          <w:szCs w:val="16"/>
        </w:rPr>
      </w:pPr>
      <w:r w:rsidRPr="00781112">
        <w:rPr>
          <w:rFonts w:cs="Arial"/>
          <w:color w:val="000000" w:themeColor="text1"/>
          <w:szCs w:val="16"/>
          <w:shd w:val="clear" w:color="auto" w:fill="FFFFFF"/>
        </w:rPr>
        <w:t>State’s analysis, based on State’s Child Count data collected under IDEA section 618, to determine if the disproportionate representation of racial and ethnic groups in specific disability categories was the result of inappropriate identification.</w:t>
      </w:r>
    </w:p>
    <w:p w14:paraId="101129B1" w14:textId="77777777" w:rsidR="001D677D" w:rsidRPr="00781112" w:rsidRDefault="001D677D" w:rsidP="004369B2">
      <w:pPr>
        <w:rPr>
          <w:color w:val="000000" w:themeColor="text1"/>
        </w:rPr>
      </w:pPr>
      <w:r w:rsidRPr="00781112">
        <w:rPr>
          <w:b/>
          <w:color w:val="000000" w:themeColor="text1"/>
        </w:rPr>
        <w:t>Measurement</w:t>
      </w:r>
    </w:p>
    <w:p w14:paraId="564157FF" w14:textId="77777777" w:rsidR="007A3964" w:rsidRPr="00781112" w:rsidRDefault="007A3964" w:rsidP="007A3964">
      <w:pPr>
        <w:rPr>
          <w:rFonts w:cs="Arial"/>
          <w:color w:val="000000" w:themeColor="text1"/>
          <w:szCs w:val="16"/>
        </w:rPr>
      </w:pPr>
      <w:r w:rsidRPr="00781112">
        <w:rPr>
          <w:rFonts w:cs="Arial"/>
          <w:color w:val="000000" w:themeColor="text1"/>
          <w:szCs w:val="16"/>
        </w:rPr>
        <w:t>Percent = [(# of districts, that meet the State-established n and/or cell size (if applicable) for one or more racial/ethnic groups, with disproportionate representation of racial and ethnic groups in specific disability categories that is the result of inappropriate identification) divided by the (# of districts in the State that meet the State-established n and/or cell size (if applicable) for one or more racial/ethnic groups)] times 100.</w:t>
      </w:r>
    </w:p>
    <w:p w14:paraId="23D9C135" w14:textId="77777777" w:rsidR="007A3964" w:rsidRPr="00781112" w:rsidRDefault="007A3964" w:rsidP="007A3964">
      <w:pPr>
        <w:rPr>
          <w:rFonts w:cs="Arial"/>
          <w:color w:val="000000" w:themeColor="text1"/>
          <w:szCs w:val="16"/>
        </w:rPr>
      </w:pPr>
      <w:r w:rsidRPr="00781112">
        <w:rPr>
          <w:rFonts w:cs="Arial"/>
          <w:color w:val="000000" w:themeColor="text1"/>
          <w:szCs w:val="16"/>
        </w:rPr>
        <w:t>Include State’s definition of “disproportionate representation.” Please specify in your definition: 1) the calculation method(s) being used (i.e., risk ratio, weighted risk ratio, e-formula, etc.); and 2) the threshold at which disproportionate representation is identified. Also include, as appropriate, 3) the number of years of data used in the calculation; and 4) any minimum cell and/or n-sizes (i.e., risk numerator and/or risk denominator).</w:t>
      </w:r>
    </w:p>
    <w:p w14:paraId="7F3C03F6" w14:textId="14F7D73B" w:rsidR="001D677D" w:rsidRPr="00781112" w:rsidRDefault="007A3964" w:rsidP="007A3964">
      <w:pPr>
        <w:rPr>
          <w:rFonts w:cs="Arial"/>
          <w:color w:val="000000" w:themeColor="text1"/>
          <w:szCs w:val="16"/>
        </w:rPr>
      </w:pPr>
      <w:r w:rsidRPr="00781112">
        <w:rPr>
          <w:rFonts w:cs="Arial"/>
          <w:color w:val="000000" w:themeColor="text1"/>
          <w:szCs w:val="16"/>
        </w:rPr>
        <w:t xml:space="preserve">Based on its review of the </w:t>
      </w:r>
      <w:r w:rsidR="00084AD7">
        <w:rPr>
          <w:rFonts w:cs="Arial"/>
          <w:color w:val="000000" w:themeColor="text1"/>
          <w:szCs w:val="16"/>
        </w:rPr>
        <w:t xml:space="preserve">section </w:t>
      </w:r>
      <w:r w:rsidRPr="00781112">
        <w:rPr>
          <w:rFonts w:cs="Arial"/>
          <w:color w:val="000000" w:themeColor="text1"/>
          <w:szCs w:val="16"/>
        </w:rPr>
        <w:t xml:space="preserve">618 data for the reporting year, describe how the State made its annual determination as to whether the disproportionate representation it identified of racial and ethnic groups in specific disability categories was the result of inappropriate identification as required by 34 CFR §§300.600(d)(3) and 300.602(a), </w:t>
      </w:r>
      <w:r w:rsidR="00084AD7">
        <w:rPr>
          <w:rFonts w:cs="Arial"/>
          <w:color w:val="000000" w:themeColor="text1"/>
          <w:szCs w:val="16"/>
        </w:rPr>
        <w:t>(</w:t>
      </w:r>
      <w:r w:rsidRPr="00781112">
        <w:rPr>
          <w:rFonts w:cs="Arial"/>
          <w:color w:val="000000" w:themeColor="text1"/>
          <w:szCs w:val="16"/>
        </w:rPr>
        <w:t>e.g., using monitoring data; reviewing policies, practices and procedures</w:t>
      </w:r>
      <w:r w:rsidR="00084AD7">
        <w:rPr>
          <w:rFonts w:cs="Arial"/>
          <w:color w:val="000000" w:themeColor="text1"/>
          <w:szCs w:val="16"/>
        </w:rPr>
        <w:t>).</w:t>
      </w:r>
      <w:r w:rsidRPr="00781112">
        <w:rPr>
          <w:rFonts w:cs="Arial"/>
          <w:color w:val="000000" w:themeColor="text1"/>
          <w:szCs w:val="16"/>
        </w:rPr>
        <w:t xml:space="preserve"> In determining disproportionate representation, analyze data, for each district, for all racial and ethnic groups in the district, or all racial and ethnic groups in the district that meet a minimum n and/or cell size set by the State. Report on the percent of districts in which disproportionate representation of racial and ethnic groups in </w:t>
      </w:r>
      <w:r w:rsidR="00C77D8E" w:rsidRPr="00781112">
        <w:rPr>
          <w:rFonts w:cs="Arial"/>
          <w:szCs w:val="16"/>
        </w:rPr>
        <w:t xml:space="preserve">specific disability categories </w:t>
      </w:r>
      <w:r w:rsidRPr="00781112">
        <w:rPr>
          <w:rFonts w:cs="Arial"/>
          <w:color w:val="000000" w:themeColor="text1"/>
          <w:szCs w:val="16"/>
        </w:rPr>
        <w:t xml:space="preserve">is the result of inappropriate identification, even if the determination of inappropriate identification was made after the end of the FFY </w:t>
      </w:r>
      <w:r w:rsidR="00206A65" w:rsidRPr="00781112">
        <w:rPr>
          <w:rFonts w:cs="Arial"/>
          <w:color w:val="000000" w:themeColor="text1"/>
          <w:szCs w:val="16"/>
        </w:rPr>
        <w:t>202</w:t>
      </w:r>
      <w:r w:rsidR="00676379">
        <w:rPr>
          <w:rFonts w:cs="Arial"/>
          <w:color w:val="000000" w:themeColor="text1"/>
          <w:szCs w:val="16"/>
        </w:rPr>
        <w:t>2</w:t>
      </w:r>
      <w:r w:rsidR="00206A65" w:rsidRPr="00781112">
        <w:rPr>
          <w:rFonts w:cs="Arial"/>
          <w:color w:val="000000" w:themeColor="text1"/>
          <w:szCs w:val="16"/>
        </w:rPr>
        <w:t xml:space="preserve"> </w:t>
      </w:r>
      <w:r w:rsidRPr="00781112">
        <w:rPr>
          <w:rFonts w:cs="Arial"/>
          <w:color w:val="000000" w:themeColor="text1"/>
          <w:szCs w:val="16"/>
        </w:rPr>
        <w:t xml:space="preserve">reporting period (i.e., after June 30, </w:t>
      </w:r>
      <w:r w:rsidR="00206A65" w:rsidRPr="00781112">
        <w:rPr>
          <w:rFonts w:cs="Arial"/>
          <w:color w:val="000000" w:themeColor="text1"/>
          <w:szCs w:val="16"/>
        </w:rPr>
        <w:t>202</w:t>
      </w:r>
      <w:r w:rsidR="00676379">
        <w:rPr>
          <w:rFonts w:cs="Arial"/>
          <w:color w:val="000000" w:themeColor="text1"/>
          <w:szCs w:val="16"/>
        </w:rPr>
        <w:t>3</w:t>
      </w:r>
      <w:r w:rsidRPr="00781112">
        <w:rPr>
          <w:rFonts w:cs="Arial"/>
          <w:color w:val="000000" w:themeColor="text1"/>
          <w:szCs w:val="16"/>
        </w:rPr>
        <w:t>).</w:t>
      </w:r>
    </w:p>
    <w:p w14:paraId="3C70F698" w14:textId="77777777" w:rsidR="001D677D" w:rsidRPr="00781112" w:rsidRDefault="001D677D" w:rsidP="004369B2">
      <w:pPr>
        <w:rPr>
          <w:color w:val="000000" w:themeColor="text1"/>
        </w:rPr>
      </w:pPr>
      <w:r w:rsidRPr="00781112">
        <w:rPr>
          <w:b/>
          <w:color w:val="000000" w:themeColor="text1"/>
        </w:rPr>
        <w:t>Instructions</w:t>
      </w:r>
    </w:p>
    <w:p w14:paraId="54B0F35E" w14:textId="65BA9D20" w:rsidR="001D677D" w:rsidRPr="00781112" w:rsidRDefault="001D677D" w:rsidP="00286BDF">
      <w:pPr>
        <w:rPr>
          <w:rFonts w:cs="Arial"/>
          <w:color w:val="000000" w:themeColor="text1"/>
          <w:szCs w:val="16"/>
        </w:rPr>
      </w:pPr>
      <w:r w:rsidRPr="00781112">
        <w:rPr>
          <w:rFonts w:cs="Arial"/>
          <w:iCs/>
          <w:color w:val="000000" w:themeColor="text1"/>
          <w:szCs w:val="16"/>
        </w:rPr>
        <w:t>P</w:t>
      </w:r>
      <w:r w:rsidRPr="00781112">
        <w:rPr>
          <w:rFonts w:cs="Arial"/>
          <w:color w:val="000000" w:themeColor="text1"/>
          <w:szCs w:val="16"/>
        </w:rPr>
        <w:t>rovide racial/ethnic disproportionality data for all children</w:t>
      </w:r>
      <w:r w:rsidR="00522BEA" w:rsidRPr="00522BEA">
        <w:t xml:space="preserve"> </w:t>
      </w:r>
      <w:r w:rsidR="00522BEA" w:rsidRPr="00522BEA">
        <w:rPr>
          <w:rFonts w:cs="Arial"/>
          <w:color w:val="000000" w:themeColor="text1"/>
          <w:szCs w:val="16"/>
        </w:rPr>
        <w:t>aged 5 who are enrolled in kindergarten and</w:t>
      </w:r>
      <w:r w:rsidRPr="00781112">
        <w:rPr>
          <w:rFonts w:cs="Arial"/>
          <w:color w:val="000000" w:themeColor="text1"/>
          <w:szCs w:val="16"/>
        </w:rPr>
        <w:t xml:space="preserve"> aged 6 through 21 served under IDEA.</w:t>
      </w:r>
      <w:r w:rsidR="006E0CC6" w:rsidRPr="00781112">
        <w:rPr>
          <w:rFonts w:cs="Arial"/>
          <w:color w:val="000000" w:themeColor="text1"/>
          <w:szCs w:val="16"/>
        </w:rPr>
        <w:t xml:space="preserve"> </w:t>
      </w:r>
      <w:r w:rsidR="006E0CC6" w:rsidRPr="00781112">
        <w:rPr>
          <w:rFonts w:cs="Arial"/>
          <w:szCs w:val="16"/>
        </w:rPr>
        <w:t>Provide these data at a minimum for children in the following six disability categories: intellectual disability, specific learning disabilities, emotional disturbance, speech or language impairments, other health impairments, and autism. If a State has identified disproportionate representation of racial and ethnic groups in specific disability categories other than these six disability categories, the State must include these data and report on whether the State determined that the disproportionate representation of racial and ethnic groups in specific disability categories was the result of inappropriate identification</w:t>
      </w:r>
      <w:r w:rsidR="009F2D7B" w:rsidRPr="00781112">
        <w:rPr>
          <w:rFonts w:cs="Arial"/>
          <w:szCs w:val="16"/>
        </w:rPr>
        <w:t>.</w:t>
      </w:r>
      <w:r w:rsidR="00084AD7">
        <w:rPr>
          <w:rFonts w:cs="Arial"/>
          <w:szCs w:val="16"/>
        </w:rPr>
        <w:t xml:space="preserve"> </w:t>
      </w:r>
      <w:r w:rsidR="00084AD7" w:rsidRPr="00084AD7">
        <w:rPr>
          <w:rFonts w:cs="Arial"/>
          <w:szCs w:val="16"/>
        </w:rPr>
        <w:t>Provide the actual numbers used in the calculation.</w:t>
      </w:r>
    </w:p>
    <w:p w14:paraId="2375484C" w14:textId="77777777" w:rsidR="001D677D" w:rsidRPr="00781112" w:rsidRDefault="001D677D" w:rsidP="00286BDF">
      <w:pPr>
        <w:rPr>
          <w:rFonts w:cs="Arial"/>
          <w:color w:val="000000" w:themeColor="text1"/>
          <w:szCs w:val="16"/>
        </w:rPr>
      </w:pPr>
      <w:r w:rsidRPr="00781112">
        <w:rPr>
          <w:rFonts w:cs="Arial"/>
          <w:color w:val="000000" w:themeColor="text1"/>
          <w:szCs w:val="16"/>
        </w:rPr>
        <w:t>States are not required to report on underrepresentation.</w:t>
      </w:r>
    </w:p>
    <w:p w14:paraId="65635BB5" w14:textId="77777777" w:rsidR="001D677D" w:rsidRPr="00781112" w:rsidRDefault="001D677D" w:rsidP="00286BDF">
      <w:pPr>
        <w:rPr>
          <w:rFonts w:cs="Arial"/>
          <w:color w:val="000000" w:themeColor="text1"/>
          <w:szCs w:val="16"/>
        </w:rPr>
      </w:pPr>
      <w:r w:rsidRPr="00781112">
        <w:rPr>
          <w:rFonts w:cs="Arial"/>
          <w:color w:val="000000" w:themeColor="text1"/>
          <w:szCs w:val="16"/>
        </w:rPr>
        <w:t xml:space="preserve">If the State has established a minimum n and/or cell size requirement, the State may only include, in both the numerator and the denominator, districts that met that State-established n and/or cell size. If the State used a minimum n and/or cell size requirement, report the number of districts totally excluded from the calculation </w:t>
      </w:r>
      <w:proofErr w:type="gramStart"/>
      <w:r w:rsidRPr="00781112">
        <w:rPr>
          <w:rFonts w:cs="Arial"/>
          <w:color w:val="000000" w:themeColor="text1"/>
          <w:szCs w:val="16"/>
        </w:rPr>
        <w:t>as a result of</w:t>
      </w:r>
      <w:proofErr w:type="gramEnd"/>
      <w:r w:rsidRPr="00781112">
        <w:rPr>
          <w:rFonts w:cs="Arial"/>
          <w:color w:val="000000" w:themeColor="text1"/>
          <w:szCs w:val="16"/>
        </w:rPr>
        <w:t xml:space="preserve"> this requirement because the district did not meet the minimum n and/or cell size for any racial/ethnic group.</w:t>
      </w:r>
    </w:p>
    <w:p w14:paraId="2FC20F43" w14:textId="77777777" w:rsidR="001D677D" w:rsidRPr="00781112" w:rsidRDefault="001D677D" w:rsidP="00286BDF">
      <w:pPr>
        <w:rPr>
          <w:rFonts w:cs="Arial"/>
          <w:color w:val="000000" w:themeColor="text1"/>
          <w:szCs w:val="16"/>
        </w:rPr>
      </w:pPr>
      <w:r w:rsidRPr="00781112">
        <w:rPr>
          <w:rFonts w:cs="Arial"/>
          <w:color w:val="000000" w:themeColor="text1"/>
          <w:szCs w:val="16"/>
        </w:rPr>
        <w:t>Consider using multiple methods in calculating disproportionate representation of racial and ethnic groups to reduce the risk of overlooking potential problems. Describe the method(s) used to calculate disproportionate representation.</w:t>
      </w:r>
    </w:p>
    <w:p w14:paraId="42D05561" w14:textId="057A6DF7" w:rsidR="001D677D" w:rsidRPr="00781112" w:rsidRDefault="001D677D" w:rsidP="00286BDF">
      <w:pPr>
        <w:rPr>
          <w:rFonts w:cs="Arial"/>
          <w:color w:val="000000" w:themeColor="text1"/>
          <w:szCs w:val="16"/>
        </w:rPr>
      </w:pPr>
      <w:r w:rsidRPr="00781112">
        <w:rPr>
          <w:rFonts w:cs="Arial"/>
          <w:color w:val="000000" w:themeColor="text1"/>
          <w:szCs w:val="16"/>
        </w:rPr>
        <w:t xml:space="preserve">Provide the number of districts that met the State-established n and/or cell size (if applicable) for one or more racial/ethnic groups identified with disproportionate representation of racial and ethnic groups in </w:t>
      </w:r>
      <w:r w:rsidR="00175656" w:rsidRPr="00781112">
        <w:rPr>
          <w:rFonts w:cs="Arial"/>
          <w:szCs w:val="16"/>
        </w:rPr>
        <w:t>specific disability categories</w:t>
      </w:r>
      <w:r w:rsidRPr="00781112">
        <w:rPr>
          <w:rFonts w:cs="Arial"/>
          <w:color w:val="000000" w:themeColor="text1"/>
          <w:szCs w:val="16"/>
        </w:rPr>
        <w:t xml:space="preserve"> and the number of those districts identified with disproportionate representation that is the result of inappropriate identification.</w:t>
      </w:r>
    </w:p>
    <w:p w14:paraId="4D68547C" w14:textId="77777777" w:rsidR="001D677D" w:rsidRPr="00781112" w:rsidRDefault="001D677D" w:rsidP="00286BDF">
      <w:pPr>
        <w:rPr>
          <w:rFonts w:cs="Arial"/>
          <w:color w:val="000000" w:themeColor="text1"/>
          <w:szCs w:val="16"/>
        </w:rPr>
      </w:pPr>
      <w:r w:rsidRPr="00781112">
        <w:rPr>
          <w:rFonts w:cs="Arial"/>
          <w:color w:val="000000" w:themeColor="text1"/>
          <w:szCs w:val="16"/>
        </w:rPr>
        <w:t>Targets must be 0%.</w:t>
      </w:r>
    </w:p>
    <w:p w14:paraId="7F575E8E" w14:textId="0308BFD7" w:rsidR="001D677D" w:rsidRPr="00781112" w:rsidRDefault="001D677D" w:rsidP="00286BDF">
      <w:pPr>
        <w:rPr>
          <w:rFonts w:cs="Arial"/>
          <w:color w:val="000000" w:themeColor="text1"/>
          <w:szCs w:val="16"/>
        </w:rPr>
      </w:pPr>
      <w:r w:rsidRPr="00781112">
        <w:rPr>
          <w:rFonts w:cs="Arial"/>
          <w:color w:val="000000" w:themeColor="text1"/>
          <w:szCs w:val="16"/>
        </w:rPr>
        <w:t xml:space="preserve">Provide detailed information about the timely correction of </w:t>
      </w:r>
      <w:bookmarkStart w:id="58" w:name="_Hlk150864288"/>
      <w:r w:rsidR="00084AD7" w:rsidRPr="00084AD7">
        <w:rPr>
          <w:rFonts w:cs="Arial"/>
          <w:color w:val="000000" w:themeColor="text1"/>
          <w:szCs w:val="16"/>
        </w:rPr>
        <w:t>child-specific and regulatory/systemic</w:t>
      </w:r>
      <w:r w:rsidR="00084AD7">
        <w:rPr>
          <w:sz w:val="20"/>
          <w:szCs w:val="14"/>
        </w:rPr>
        <w:t xml:space="preserve"> </w:t>
      </w:r>
      <w:bookmarkEnd w:id="58"/>
      <w:r w:rsidRPr="00781112">
        <w:rPr>
          <w:rFonts w:cs="Arial"/>
          <w:color w:val="000000" w:themeColor="text1"/>
          <w:szCs w:val="16"/>
        </w:rPr>
        <w:t>noncompliance as noted in OSEP’s response for the previous SPP/APR. If the State did not ensure timely correction of the previous noncompliance, provide information on the extent to which noncompliance was subsequently corrected (more than one year after identification). In addition, provide information regarding the nature of any continuing noncompliance, improvement activities completed (e.g., review of policies and procedures, technical assistance, training) and any enforcement actions that were taken.</w:t>
      </w:r>
    </w:p>
    <w:p w14:paraId="367E089E" w14:textId="2EEBFF3C" w:rsidR="001D677D" w:rsidRPr="00781112" w:rsidRDefault="007A3964" w:rsidP="00286BDF">
      <w:pPr>
        <w:rPr>
          <w:rFonts w:cs="Arial"/>
          <w:color w:val="000000" w:themeColor="text1"/>
          <w:szCs w:val="16"/>
        </w:rPr>
      </w:pPr>
      <w:r w:rsidRPr="00781112">
        <w:rPr>
          <w:rFonts w:cs="Arial"/>
          <w:color w:val="000000" w:themeColor="text1"/>
          <w:szCs w:val="16"/>
        </w:rPr>
        <w:t>If the State reported less than 100% compliance for the previous reporting period (e.g., for the FFY 2022 SPP/APR, the data for FFY 2021), and the State did not identify any findings of noncompliance, provide an explanation of why the State did not identify any findings of noncompliance.</w:t>
      </w:r>
    </w:p>
    <w:p w14:paraId="307820E6" w14:textId="2418F86F" w:rsidR="00B70FBF" w:rsidRPr="00781112" w:rsidRDefault="009F64D5" w:rsidP="008645AD">
      <w:pPr>
        <w:pStyle w:val="Heading2"/>
      </w:pPr>
      <w:bookmarkStart w:id="59" w:name="_Toc384383349"/>
      <w:bookmarkStart w:id="60" w:name="_Toc392159317"/>
      <w:bookmarkEnd w:id="56"/>
      <w:bookmarkEnd w:id="57"/>
      <w:r w:rsidRPr="00781112">
        <w:t>10</w:t>
      </w:r>
      <w:r w:rsidR="00596F4D" w:rsidRPr="00781112">
        <w:t xml:space="preserve"> </w:t>
      </w:r>
      <w:r w:rsidRPr="00781112">
        <w:t xml:space="preserve">- </w:t>
      </w:r>
      <w:r w:rsidR="00D853AE" w:rsidRPr="00781112">
        <w:t>Indicator Data</w:t>
      </w:r>
    </w:p>
    <w:p w14:paraId="198C31F1" w14:textId="77777777" w:rsidR="0091098C" w:rsidRPr="00781112" w:rsidRDefault="0091098C" w:rsidP="004369B2">
      <w:pPr>
        <w:rPr>
          <w:color w:val="000000" w:themeColor="text1"/>
        </w:rPr>
      </w:pPr>
      <w:r w:rsidRPr="00781112">
        <w:rPr>
          <w:b/>
          <w:color w:val="000000" w:themeColor="text1"/>
        </w:rPr>
        <w:t>Not Applicable</w:t>
      </w:r>
    </w:p>
    <w:p w14:paraId="769429F9" w14:textId="2143DCD6" w:rsidR="00C2395D" w:rsidRPr="00781112" w:rsidRDefault="001B07D3">
      <w:pPr>
        <w:rPr>
          <w:b/>
          <w:color w:val="000000" w:themeColor="text1"/>
        </w:rPr>
      </w:pPr>
      <w:r w:rsidRPr="00781112">
        <w:rPr>
          <w:b/>
          <w:color w:val="000000" w:themeColor="text1"/>
        </w:rPr>
        <w:t>Select yes if this indicator is not applicable.</w:t>
      </w:r>
    </w:p>
    <w:p w14:paraId="5BEDAC27" w14:textId="63B8B677" w:rsidR="00043AC9" w:rsidRPr="00781112" w:rsidRDefault="00043AC9" w:rsidP="004369B2">
      <w:pPr>
        <w:rPr>
          <w:rFonts w:cs="Arial"/>
          <w:color w:val="000000" w:themeColor="text1"/>
          <w:szCs w:val="16"/>
        </w:rPr>
      </w:pPr>
      <w:r w:rsidRPr="00781112">
        <w:rPr>
          <w:rFonts w:cs="Arial"/>
          <w:color w:val="000000" w:themeColor="text1"/>
          <w:szCs w:val="16"/>
        </w:rPr>
        <w:t>NO</w:t>
      </w:r>
    </w:p>
    <w:p w14:paraId="74ABC795" w14:textId="77777777" w:rsidR="00C50290" w:rsidRPr="00781112" w:rsidRDefault="00C50290" w:rsidP="004369B2">
      <w:pPr>
        <w:rPr>
          <w:color w:val="000000" w:themeColor="text1"/>
        </w:rPr>
      </w:pPr>
    </w:p>
    <w:p w14:paraId="07402C56" w14:textId="1ED19344" w:rsidR="005A3C12" w:rsidRPr="00781112" w:rsidRDefault="005A3C12" w:rsidP="004369B2">
      <w:pPr>
        <w:rPr>
          <w:b/>
          <w:color w:val="000000" w:themeColor="text1"/>
        </w:rPr>
      </w:pPr>
      <w:r w:rsidRPr="00781112">
        <w:rPr>
          <w:b/>
          <w:color w:val="000000" w:themeColor="text1"/>
        </w:rPr>
        <w:t>Historical Data</w:t>
      </w:r>
    </w:p>
    <w:tbl>
      <w:tblPr>
        <w:tblStyle w:val="TableGrid"/>
        <w:tblW w:w="0" w:type="auto"/>
        <w:tblLayout w:type="fixed"/>
        <w:tblLook w:val="04A0" w:firstRow="1" w:lastRow="0" w:firstColumn="1" w:lastColumn="0" w:noHBand="0" w:noVBand="1"/>
        <w:tblCaption w:val="B10BASELINEDATA"/>
      </w:tblPr>
      <w:tblGrid>
        <w:gridCol w:w="1797"/>
        <w:gridCol w:w="1798"/>
      </w:tblGrid>
      <w:tr w:rsidR="00D533A5" w:rsidRPr="00781112" w14:paraId="7C3AA767" w14:textId="77777777" w:rsidTr="00123D76">
        <w:trPr>
          <w:trHeight w:val="311"/>
          <w:tblHeader/>
        </w:trPr>
        <w:tc>
          <w:tcPr>
            <w:tcW w:w="1797" w:type="dxa"/>
          </w:tcPr>
          <w:p w14:paraId="1A4E37E9" w14:textId="77777777" w:rsidR="00D533A5" w:rsidRPr="00781112" w:rsidRDefault="00D533A5" w:rsidP="00123D76">
            <w:pPr>
              <w:jc w:val="center"/>
              <w:rPr>
                <w:b/>
                <w:color w:val="000000" w:themeColor="text1"/>
              </w:rPr>
            </w:pPr>
            <w:r w:rsidRPr="00781112">
              <w:rPr>
                <w:rFonts w:cs="Arial"/>
                <w:b/>
                <w:color w:val="000000" w:themeColor="text1"/>
                <w:szCs w:val="16"/>
              </w:rPr>
              <w:t>Baseline Year</w:t>
            </w:r>
          </w:p>
        </w:tc>
        <w:tc>
          <w:tcPr>
            <w:tcW w:w="1798" w:type="dxa"/>
          </w:tcPr>
          <w:p w14:paraId="45C39BBE" w14:textId="77777777" w:rsidR="00D533A5" w:rsidRPr="00781112" w:rsidRDefault="00D533A5" w:rsidP="00123D76">
            <w:pPr>
              <w:jc w:val="center"/>
              <w:rPr>
                <w:b/>
                <w:color w:val="000000" w:themeColor="text1"/>
              </w:rPr>
            </w:pPr>
            <w:r w:rsidRPr="00781112">
              <w:rPr>
                <w:b/>
                <w:color w:val="000000" w:themeColor="text1"/>
              </w:rPr>
              <w:t>Baseline Data</w:t>
            </w:r>
          </w:p>
        </w:tc>
      </w:tr>
      <w:tr w:rsidR="00D533A5" w:rsidRPr="00781112" w14:paraId="4AFD3BFF" w14:textId="77777777" w:rsidTr="00123D76">
        <w:trPr>
          <w:trHeight w:val="311"/>
        </w:trPr>
        <w:tc>
          <w:tcPr>
            <w:tcW w:w="1797" w:type="dxa"/>
            <w:vAlign w:val="center"/>
          </w:tcPr>
          <w:p w14:paraId="71352362" w14:textId="3C2D4289" w:rsidR="00D533A5" w:rsidRPr="00781112" w:rsidRDefault="00D533A5" w:rsidP="00123D76">
            <w:pPr>
              <w:jc w:val="center"/>
              <w:rPr>
                <w:bCs/>
                <w:color w:val="000000" w:themeColor="text1"/>
              </w:rPr>
            </w:pPr>
            <w:r w:rsidRPr="00781112">
              <w:rPr>
                <w:bCs/>
                <w:color w:val="000000" w:themeColor="text1"/>
              </w:rPr>
              <w:t>2020</w:t>
            </w:r>
          </w:p>
        </w:tc>
        <w:tc>
          <w:tcPr>
            <w:tcW w:w="1798" w:type="dxa"/>
            <w:vAlign w:val="center"/>
          </w:tcPr>
          <w:p w14:paraId="1E9B684E" w14:textId="004A2B05" w:rsidR="00D533A5" w:rsidRPr="00781112" w:rsidRDefault="00D533A5" w:rsidP="00123D76">
            <w:pPr>
              <w:jc w:val="center"/>
              <w:rPr>
                <w:bCs/>
                <w:color w:val="000000" w:themeColor="text1"/>
              </w:rPr>
            </w:pPr>
            <w:r w:rsidRPr="00781112">
              <w:rPr>
                <w:bCs/>
                <w:color w:val="000000" w:themeColor="text1"/>
              </w:rPr>
              <w:t>0.00%</w:t>
            </w:r>
          </w:p>
        </w:tc>
      </w:tr>
    </w:tbl>
    <w:p w14:paraId="690B4CC0" w14:textId="77777777" w:rsidR="00D533A5" w:rsidRPr="00781112" w:rsidRDefault="00D533A5" w:rsidP="004369B2">
      <w:pPr>
        <w:rPr>
          <w:color w:val="000000" w:themeColor="text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B10HISTDATA"/>
      </w:tblPr>
      <w:tblGrid>
        <w:gridCol w:w="1798"/>
        <w:gridCol w:w="1798"/>
        <w:gridCol w:w="1798"/>
        <w:gridCol w:w="1798"/>
        <w:gridCol w:w="1798"/>
        <w:gridCol w:w="1800"/>
      </w:tblGrid>
      <w:tr w:rsidR="005C29F8" w:rsidRPr="00781112" w14:paraId="489E6808" w14:textId="77777777" w:rsidTr="002B4D97">
        <w:trPr>
          <w:trHeight w:val="350"/>
        </w:trPr>
        <w:tc>
          <w:tcPr>
            <w:tcW w:w="833" w:type="pct"/>
            <w:tcBorders>
              <w:bottom w:val="single" w:sz="4" w:space="0" w:color="auto"/>
            </w:tcBorders>
            <w:shd w:val="clear" w:color="auto" w:fill="auto"/>
          </w:tcPr>
          <w:p w14:paraId="0171756F" w14:textId="77777777" w:rsidR="005A3C12" w:rsidRPr="00781112" w:rsidRDefault="005A3C12" w:rsidP="004369B2">
            <w:pPr>
              <w:jc w:val="center"/>
              <w:rPr>
                <w:b/>
                <w:color w:val="000000" w:themeColor="text1"/>
              </w:rPr>
            </w:pPr>
            <w:r w:rsidRPr="00781112">
              <w:rPr>
                <w:b/>
                <w:color w:val="000000" w:themeColor="text1"/>
              </w:rPr>
              <w:t>FFY</w:t>
            </w:r>
          </w:p>
        </w:tc>
        <w:tc>
          <w:tcPr>
            <w:tcW w:w="833" w:type="pct"/>
            <w:shd w:val="clear" w:color="auto" w:fill="auto"/>
          </w:tcPr>
          <w:p w14:paraId="78B2C5F0" w14:textId="44C4ABDF" w:rsidR="005A3C12" w:rsidRPr="00781112" w:rsidRDefault="002B7490" w:rsidP="0077257F">
            <w:pPr>
              <w:jc w:val="center"/>
              <w:rPr>
                <w:b/>
                <w:color w:val="000000" w:themeColor="text1"/>
              </w:rPr>
            </w:pPr>
            <w:r w:rsidRPr="00781112">
              <w:rPr>
                <w:b/>
                <w:color w:val="000000" w:themeColor="text1"/>
              </w:rPr>
              <w:t>2017</w:t>
            </w:r>
          </w:p>
        </w:tc>
        <w:tc>
          <w:tcPr>
            <w:tcW w:w="833" w:type="pct"/>
            <w:shd w:val="clear" w:color="auto" w:fill="auto"/>
          </w:tcPr>
          <w:p w14:paraId="7D60853E" w14:textId="148AFB2D" w:rsidR="005A3C12" w:rsidRPr="00781112" w:rsidRDefault="002B7490" w:rsidP="0077257F">
            <w:pPr>
              <w:jc w:val="center"/>
              <w:rPr>
                <w:b/>
                <w:color w:val="000000" w:themeColor="text1"/>
              </w:rPr>
            </w:pPr>
            <w:r w:rsidRPr="00781112">
              <w:rPr>
                <w:b/>
                <w:color w:val="000000" w:themeColor="text1"/>
              </w:rPr>
              <w:t>2018</w:t>
            </w:r>
          </w:p>
        </w:tc>
        <w:tc>
          <w:tcPr>
            <w:tcW w:w="833" w:type="pct"/>
            <w:shd w:val="clear" w:color="auto" w:fill="auto"/>
          </w:tcPr>
          <w:p w14:paraId="7AE4870B" w14:textId="1CBB7B36" w:rsidR="005A3C12" w:rsidRPr="00781112" w:rsidRDefault="002B7490" w:rsidP="0077257F">
            <w:pPr>
              <w:jc w:val="center"/>
              <w:rPr>
                <w:b/>
                <w:color w:val="000000" w:themeColor="text1"/>
              </w:rPr>
            </w:pPr>
            <w:r w:rsidRPr="00781112">
              <w:rPr>
                <w:b/>
                <w:color w:val="000000" w:themeColor="text1"/>
              </w:rPr>
              <w:t>2019</w:t>
            </w:r>
          </w:p>
        </w:tc>
        <w:tc>
          <w:tcPr>
            <w:tcW w:w="833" w:type="pct"/>
            <w:shd w:val="clear" w:color="auto" w:fill="auto"/>
          </w:tcPr>
          <w:p w14:paraId="2C1DA403" w14:textId="484DDCF7" w:rsidR="005A3C12" w:rsidRPr="00781112" w:rsidRDefault="002B7490" w:rsidP="0077257F">
            <w:pPr>
              <w:jc w:val="center"/>
              <w:rPr>
                <w:b/>
                <w:color w:val="000000" w:themeColor="text1"/>
              </w:rPr>
            </w:pPr>
            <w:r w:rsidRPr="00781112">
              <w:rPr>
                <w:b/>
                <w:color w:val="000000" w:themeColor="text1"/>
              </w:rPr>
              <w:t>2020</w:t>
            </w:r>
          </w:p>
        </w:tc>
        <w:tc>
          <w:tcPr>
            <w:tcW w:w="834" w:type="pct"/>
            <w:shd w:val="clear" w:color="auto" w:fill="auto"/>
          </w:tcPr>
          <w:p w14:paraId="0829DA0A" w14:textId="7480CDCA" w:rsidR="005A3C12" w:rsidRPr="00781112" w:rsidRDefault="002B7490" w:rsidP="0077257F">
            <w:pPr>
              <w:jc w:val="center"/>
              <w:rPr>
                <w:b/>
                <w:color w:val="000000" w:themeColor="text1"/>
              </w:rPr>
            </w:pPr>
            <w:r w:rsidRPr="00781112">
              <w:rPr>
                <w:b/>
                <w:color w:val="000000" w:themeColor="text1"/>
              </w:rPr>
              <w:t>2021</w:t>
            </w:r>
          </w:p>
        </w:tc>
      </w:tr>
      <w:tr w:rsidR="005C29F8" w:rsidRPr="00781112" w14:paraId="070DB2EE" w14:textId="77777777" w:rsidTr="002B4D97">
        <w:trPr>
          <w:trHeight w:val="357"/>
        </w:trPr>
        <w:tc>
          <w:tcPr>
            <w:tcW w:w="833" w:type="pct"/>
            <w:shd w:val="clear" w:color="auto" w:fill="auto"/>
          </w:tcPr>
          <w:p w14:paraId="0009CFCE" w14:textId="438B1224" w:rsidR="005A3C12" w:rsidRPr="00781112" w:rsidRDefault="005A3C12" w:rsidP="00BA3DBE">
            <w:pPr>
              <w:jc w:val="center"/>
              <w:rPr>
                <w:rFonts w:cs="Arial"/>
                <w:color w:val="000000" w:themeColor="text1"/>
                <w:szCs w:val="16"/>
              </w:rPr>
            </w:pPr>
            <w:r w:rsidRPr="00781112">
              <w:rPr>
                <w:rFonts w:cs="Arial"/>
                <w:color w:val="000000" w:themeColor="text1"/>
                <w:szCs w:val="16"/>
              </w:rPr>
              <w:t>Target</w:t>
            </w:r>
          </w:p>
        </w:tc>
        <w:tc>
          <w:tcPr>
            <w:tcW w:w="833" w:type="pct"/>
            <w:shd w:val="clear" w:color="auto" w:fill="auto"/>
          </w:tcPr>
          <w:p w14:paraId="1375BD99" w14:textId="6D10741B" w:rsidR="005A3C12" w:rsidRPr="00781112" w:rsidRDefault="009C65E9" w:rsidP="004369B2">
            <w:pPr>
              <w:jc w:val="center"/>
              <w:rPr>
                <w:rFonts w:cs="Arial"/>
                <w:color w:val="000000" w:themeColor="text1"/>
                <w:szCs w:val="16"/>
              </w:rPr>
            </w:pPr>
            <w:r w:rsidRPr="00781112">
              <w:rPr>
                <w:rFonts w:cs="Arial"/>
                <w:color w:val="000000" w:themeColor="text1"/>
                <w:szCs w:val="16"/>
              </w:rPr>
              <w:t>0%</w:t>
            </w:r>
          </w:p>
        </w:tc>
        <w:tc>
          <w:tcPr>
            <w:tcW w:w="833" w:type="pct"/>
            <w:shd w:val="clear" w:color="auto" w:fill="auto"/>
          </w:tcPr>
          <w:p w14:paraId="26F74D0F" w14:textId="4AE09CE9" w:rsidR="005A3C12" w:rsidRPr="00781112" w:rsidRDefault="009C65E9" w:rsidP="004369B2">
            <w:pPr>
              <w:jc w:val="center"/>
              <w:rPr>
                <w:rFonts w:cs="Arial"/>
                <w:color w:val="000000" w:themeColor="text1"/>
                <w:szCs w:val="16"/>
              </w:rPr>
            </w:pPr>
            <w:r w:rsidRPr="00781112">
              <w:rPr>
                <w:rFonts w:cs="Arial"/>
                <w:color w:val="000000" w:themeColor="text1"/>
                <w:szCs w:val="16"/>
              </w:rPr>
              <w:t>0%</w:t>
            </w:r>
          </w:p>
        </w:tc>
        <w:tc>
          <w:tcPr>
            <w:tcW w:w="833" w:type="pct"/>
            <w:shd w:val="clear" w:color="auto" w:fill="auto"/>
          </w:tcPr>
          <w:p w14:paraId="7853FB9A" w14:textId="12B0C6E3" w:rsidR="005A3C12" w:rsidRPr="00781112" w:rsidRDefault="009C65E9" w:rsidP="004369B2">
            <w:pPr>
              <w:jc w:val="center"/>
              <w:rPr>
                <w:rFonts w:cs="Arial"/>
                <w:color w:val="000000" w:themeColor="text1"/>
                <w:szCs w:val="16"/>
              </w:rPr>
            </w:pPr>
            <w:r w:rsidRPr="00781112">
              <w:rPr>
                <w:rFonts w:cs="Arial"/>
                <w:color w:val="000000" w:themeColor="text1"/>
                <w:szCs w:val="16"/>
              </w:rPr>
              <w:t>0%</w:t>
            </w:r>
          </w:p>
        </w:tc>
        <w:tc>
          <w:tcPr>
            <w:tcW w:w="833" w:type="pct"/>
            <w:shd w:val="clear" w:color="auto" w:fill="auto"/>
          </w:tcPr>
          <w:p w14:paraId="48E831B0" w14:textId="55B124AD" w:rsidR="005A3C12" w:rsidRPr="00781112" w:rsidRDefault="009C65E9" w:rsidP="004369B2">
            <w:pPr>
              <w:jc w:val="center"/>
              <w:rPr>
                <w:rFonts w:cs="Arial"/>
                <w:color w:val="000000" w:themeColor="text1"/>
                <w:szCs w:val="16"/>
              </w:rPr>
            </w:pPr>
            <w:r w:rsidRPr="00781112">
              <w:rPr>
                <w:rFonts w:cs="Arial"/>
                <w:color w:val="000000" w:themeColor="text1"/>
                <w:szCs w:val="16"/>
              </w:rPr>
              <w:t>0%</w:t>
            </w:r>
          </w:p>
        </w:tc>
        <w:tc>
          <w:tcPr>
            <w:tcW w:w="834" w:type="pct"/>
            <w:shd w:val="clear" w:color="auto" w:fill="auto"/>
          </w:tcPr>
          <w:p w14:paraId="0EC718C3" w14:textId="25E87C80" w:rsidR="005A3C12" w:rsidRPr="00781112" w:rsidRDefault="009C65E9" w:rsidP="004369B2">
            <w:pPr>
              <w:jc w:val="center"/>
              <w:rPr>
                <w:rFonts w:cs="Arial"/>
                <w:color w:val="000000" w:themeColor="text1"/>
                <w:szCs w:val="16"/>
              </w:rPr>
            </w:pPr>
            <w:r w:rsidRPr="00781112">
              <w:rPr>
                <w:rFonts w:cs="Arial"/>
                <w:color w:val="000000" w:themeColor="text1"/>
                <w:szCs w:val="16"/>
              </w:rPr>
              <w:t>0%</w:t>
            </w:r>
          </w:p>
        </w:tc>
      </w:tr>
      <w:tr w:rsidR="005C29F8" w:rsidRPr="00781112" w14:paraId="72345F0E" w14:textId="77777777" w:rsidTr="002B4D97">
        <w:trPr>
          <w:trHeight w:val="85"/>
        </w:trPr>
        <w:tc>
          <w:tcPr>
            <w:tcW w:w="833" w:type="pct"/>
            <w:shd w:val="clear" w:color="auto" w:fill="auto"/>
          </w:tcPr>
          <w:p w14:paraId="33960FE1" w14:textId="77777777" w:rsidR="005A3C12" w:rsidRPr="00781112" w:rsidRDefault="005A3C12" w:rsidP="00BA3DBE">
            <w:pPr>
              <w:jc w:val="center"/>
              <w:rPr>
                <w:rFonts w:cs="Arial"/>
                <w:color w:val="000000" w:themeColor="text1"/>
                <w:szCs w:val="16"/>
              </w:rPr>
            </w:pPr>
            <w:r w:rsidRPr="00781112">
              <w:rPr>
                <w:rFonts w:cs="Arial"/>
                <w:color w:val="000000" w:themeColor="text1"/>
                <w:szCs w:val="16"/>
              </w:rPr>
              <w:t>Data</w:t>
            </w:r>
          </w:p>
        </w:tc>
        <w:tc>
          <w:tcPr>
            <w:tcW w:w="833" w:type="pct"/>
            <w:shd w:val="clear" w:color="auto" w:fill="auto"/>
          </w:tcPr>
          <w:p w14:paraId="1EEC0627" w14:textId="677F8A3D" w:rsidR="005A3C12" w:rsidRPr="00781112" w:rsidRDefault="002B7490" w:rsidP="004369B2">
            <w:pPr>
              <w:jc w:val="center"/>
              <w:rPr>
                <w:rFonts w:cs="Arial"/>
                <w:color w:val="000000" w:themeColor="text1"/>
                <w:szCs w:val="16"/>
              </w:rPr>
            </w:pPr>
            <w:r w:rsidRPr="00781112">
              <w:rPr>
                <w:rFonts w:cs="Arial"/>
                <w:color w:val="000000" w:themeColor="text1"/>
                <w:szCs w:val="16"/>
              </w:rPr>
              <w:t>0.00%</w:t>
            </w:r>
          </w:p>
        </w:tc>
        <w:tc>
          <w:tcPr>
            <w:tcW w:w="833" w:type="pct"/>
            <w:shd w:val="clear" w:color="auto" w:fill="auto"/>
          </w:tcPr>
          <w:p w14:paraId="5FB4D0B8" w14:textId="190E02CD" w:rsidR="005A3C12" w:rsidRPr="00781112" w:rsidRDefault="002B7490" w:rsidP="004369B2">
            <w:pPr>
              <w:jc w:val="center"/>
              <w:rPr>
                <w:rFonts w:cs="Arial"/>
                <w:color w:val="000000" w:themeColor="text1"/>
                <w:szCs w:val="16"/>
              </w:rPr>
            </w:pPr>
            <w:r w:rsidRPr="00781112">
              <w:rPr>
                <w:rFonts w:cs="Arial"/>
                <w:color w:val="000000" w:themeColor="text1"/>
                <w:szCs w:val="16"/>
              </w:rPr>
              <w:t>0.00%</w:t>
            </w:r>
          </w:p>
        </w:tc>
        <w:tc>
          <w:tcPr>
            <w:tcW w:w="833" w:type="pct"/>
            <w:tcBorders>
              <w:bottom w:val="single" w:sz="4" w:space="0" w:color="auto"/>
            </w:tcBorders>
            <w:shd w:val="clear" w:color="auto" w:fill="auto"/>
            <w:vAlign w:val="center"/>
          </w:tcPr>
          <w:p w14:paraId="36B818C8" w14:textId="70F8E2EA" w:rsidR="005A3C12" w:rsidRPr="00781112" w:rsidRDefault="002B7490" w:rsidP="004369B2">
            <w:pPr>
              <w:jc w:val="center"/>
              <w:rPr>
                <w:rFonts w:cs="Arial"/>
                <w:color w:val="000000" w:themeColor="text1"/>
                <w:szCs w:val="16"/>
              </w:rPr>
            </w:pPr>
            <w:r w:rsidRPr="00781112">
              <w:rPr>
                <w:rFonts w:cs="Arial"/>
                <w:color w:val="000000" w:themeColor="text1"/>
                <w:szCs w:val="16"/>
              </w:rPr>
              <w:t>0.00%</w:t>
            </w:r>
          </w:p>
        </w:tc>
        <w:tc>
          <w:tcPr>
            <w:tcW w:w="833" w:type="pct"/>
            <w:tcBorders>
              <w:bottom w:val="single" w:sz="4" w:space="0" w:color="auto"/>
            </w:tcBorders>
            <w:shd w:val="clear" w:color="auto" w:fill="auto"/>
            <w:vAlign w:val="center"/>
          </w:tcPr>
          <w:p w14:paraId="4F9B86C0" w14:textId="2EC4A366" w:rsidR="005A3C12" w:rsidRPr="00781112" w:rsidRDefault="002B7490" w:rsidP="004369B2">
            <w:pPr>
              <w:jc w:val="center"/>
              <w:rPr>
                <w:rFonts w:cs="Arial"/>
                <w:color w:val="000000" w:themeColor="text1"/>
                <w:szCs w:val="16"/>
              </w:rPr>
            </w:pPr>
            <w:r w:rsidRPr="00781112">
              <w:rPr>
                <w:rFonts w:cs="Arial"/>
                <w:color w:val="000000" w:themeColor="text1"/>
                <w:szCs w:val="16"/>
              </w:rPr>
              <w:t>0.00%</w:t>
            </w:r>
          </w:p>
        </w:tc>
        <w:tc>
          <w:tcPr>
            <w:tcW w:w="834" w:type="pct"/>
            <w:tcBorders>
              <w:bottom w:val="single" w:sz="4" w:space="0" w:color="auto"/>
            </w:tcBorders>
            <w:shd w:val="clear" w:color="auto" w:fill="auto"/>
            <w:vAlign w:val="center"/>
          </w:tcPr>
          <w:p w14:paraId="1C8D4247" w14:textId="1E5D4F59" w:rsidR="005A3C12" w:rsidRPr="00781112" w:rsidRDefault="002B7490" w:rsidP="004369B2">
            <w:pPr>
              <w:jc w:val="center"/>
              <w:rPr>
                <w:rFonts w:cs="Arial"/>
                <w:color w:val="000000" w:themeColor="text1"/>
                <w:szCs w:val="16"/>
              </w:rPr>
            </w:pPr>
            <w:r w:rsidRPr="00781112">
              <w:rPr>
                <w:rFonts w:cs="Arial"/>
                <w:color w:val="000000" w:themeColor="text1"/>
                <w:szCs w:val="16"/>
              </w:rPr>
              <w:t>0.00%</w:t>
            </w:r>
          </w:p>
        </w:tc>
      </w:tr>
      <w:bookmarkEnd w:id="59"/>
      <w:bookmarkEnd w:id="60"/>
    </w:tbl>
    <w:p w14:paraId="1840A66A" w14:textId="77777777" w:rsidR="00BA687C" w:rsidRPr="00781112" w:rsidRDefault="00BA687C" w:rsidP="004369B2">
      <w:pPr>
        <w:rPr>
          <w:color w:val="000000" w:themeColor="text1"/>
        </w:rPr>
      </w:pPr>
    </w:p>
    <w:p w14:paraId="618FFFDA" w14:textId="2F1D75E5" w:rsidR="007A3964" w:rsidRPr="00781112" w:rsidRDefault="007A3964" w:rsidP="004369B2">
      <w:pPr>
        <w:rPr>
          <w:color w:val="000000" w:themeColor="text1"/>
        </w:rPr>
      </w:pPr>
      <w:r w:rsidRPr="00781112">
        <w:rPr>
          <w:b/>
          <w:color w:val="000000" w:themeColor="text1"/>
        </w:rPr>
        <w:t>Targets</w:t>
      </w:r>
    </w:p>
    <w:tbl>
      <w:tblPr>
        <w:tblW w:w="35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B10TARGETS"/>
      </w:tblPr>
      <w:tblGrid>
        <w:gridCol w:w="1539"/>
        <w:gridCol w:w="1542"/>
        <w:gridCol w:w="1543"/>
        <w:gridCol w:w="1542"/>
        <w:gridCol w:w="1542"/>
      </w:tblGrid>
      <w:tr w:rsidR="00B67FCE" w:rsidRPr="00781112" w14:paraId="66B5B2AB" w14:textId="77A1A8F1" w:rsidTr="00845B9B">
        <w:trPr>
          <w:trHeight w:val="424"/>
        </w:trPr>
        <w:tc>
          <w:tcPr>
            <w:tcW w:w="999" w:type="pct"/>
            <w:tcBorders>
              <w:bottom w:val="single" w:sz="4" w:space="0" w:color="auto"/>
            </w:tcBorders>
            <w:shd w:val="clear" w:color="auto" w:fill="auto"/>
          </w:tcPr>
          <w:p w14:paraId="6C572A94" w14:textId="77777777" w:rsidR="00B67FCE" w:rsidRPr="00781112" w:rsidRDefault="00B67FCE" w:rsidP="00D0796B">
            <w:pPr>
              <w:jc w:val="center"/>
              <w:rPr>
                <w:b/>
                <w:color w:val="000000" w:themeColor="text1"/>
              </w:rPr>
            </w:pPr>
            <w:r w:rsidRPr="00781112">
              <w:rPr>
                <w:b/>
                <w:color w:val="000000" w:themeColor="text1"/>
              </w:rPr>
              <w:lastRenderedPageBreak/>
              <w:t>FFY</w:t>
            </w:r>
          </w:p>
        </w:tc>
        <w:tc>
          <w:tcPr>
            <w:tcW w:w="1000" w:type="pct"/>
            <w:shd w:val="clear" w:color="auto" w:fill="auto"/>
          </w:tcPr>
          <w:p w14:paraId="67096E8B" w14:textId="77777777" w:rsidR="00B67FCE" w:rsidRPr="00781112" w:rsidRDefault="00B67FCE" w:rsidP="00D0796B">
            <w:pPr>
              <w:jc w:val="center"/>
              <w:rPr>
                <w:b/>
                <w:color w:val="000000" w:themeColor="text1"/>
              </w:rPr>
            </w:pPr>
            <w:r w:rsidRPr="00781112">
              <w:rPr>
                <w:b/>
                <w:color w:val="000000" w:themeColor="text1"/>
              </w:rPr>
              <w:t>2022</w:t>
            </w:r>
          </w:p>
        </w:tc>
        <w:tc>
          <w:tcPr>
            <w:tcW w:w="1001" w:type="pct"/>
          </w:tcPr>
          <w:p w14:paraId="0FDB27DB" w14:textId="2A7CA3D5" w:rsidR="00B67FCE" w:rsidRPr="00781112" w:rsidRDefault="00B67FCE" w:rsidP="00D0796B">
            <w:pPr>
              <w:jc w:val="center"/>
              <w:rPr>
                <w:b/>
                <w:color w:val="000000" w:themeColor="text1"/>
              </w:rPr>
            </w:pPr>
            <w:r w:rsidRPr="00781112">
              <w:rPr>
                <w:rFonts w:cs="Arial"/>
                <w:b/>
                <w:color w:val="000000" w:themeColor="text1"/>
                <w:szCs w:val="16"/>
              </w:rPr>
              <w:t>2023</w:t>
            </w:r>
          </w:p>
        </w:tc>
        <w:tc>
          <w:tcPr>
            <w:tcW w:w="1000" w:type="pct"/>
          </w:tcPr>
          <w:p w14:paraId="6594AB3D" w14:textId="0AA5EB84" w:rsidR="00B67FCE" w:rsidRPr="00781112" w:rsidRDefault="00B67FCE" w:rsidP="00D0796B">
            <w:pPr>
              <w:jc w:val="center"/>
              <w:rPr>
                <w:b/>
                <w:color w:val="000000" w:themeColor="text1"/>
              </w:rPr>
            </w:pPr>
            <w:r w:rsidRPr="00781112">
              <w:rPr>
                <w:rFonts w:cs="Arial"/>
                <w:b/>
                <w:color w:val="000000" w:themeColor="text1"/>
                <w:szCs w:val="16"/>
              </w:rPr>
              <w:t>2024</w:t>
            </w:r>
          </w:p>
        </w:tc>
        <w:tc>
          <w:tcPr>
            <w:tcW w:w="1001" w:type="pct"/>
          </w:tcPr>
          <w:p w14:paraId="137A2339" w14:textId="1A48CA5C" w:rsidR="00B67FCE" w:rsidRPr="00781112" w:rsidRDefault="00B67FCE" w:rsidP="00D0796B">
            <w:pPr>
              <w:jc w:val="center"/>
              <w:rPr>
                <w:b/>
                <w:color w:val="000000" w:themeColor="text1"/>
              </w:rPr>
            </w:pPr>
            <w:r w:rsidRPr="00781112">
              <w:rPr>
                <w:rFonts w:cs="Arial"/>
                <w:b/>
                <w:color w:val="000000" w:themeColor="text1"/>
                <w:szCs w:val="16"/>
              </w:rPr>
              <w:t>2025</w:t>
            </w:r>
          </w:p>
        </w:tc>
      </w:tr>
      <w:tr w:rsidR="00B67FCE" w:rsidRPr="00781112" w14:paraId="169ED4F0" w14:textId="16F5CD6F" w:rsidTr="00845B9B">
        <w:trPr>
          <w:trHeight w:val="432"/>
        </w:trPr>
        <w:tc>
          <w:tcPr>
            <w:tcW w:w="999" w:type="pct"/>
            <w:shd w:val="clear" w:color="auto" w:fill="auto"/>
            <w:vAlign w:val="center"/>
          </w:tcPr>
          <w:p w14:paraId="639437BD" w14:textId="5F1854A1" w:rsidR="00B67FCE" w:rsidRPr="00781112" w:rsidRDefault="00B67FCE" w:rsidP="00BA3DBE">
            <w:pPr>
              <w:jc w:val="center"/>
              <w:rPr>
                <w:rFonts w:cs="Arial"/>
                <w:color w:val="000000" w:themeColor="text1"/>
                <w:szCs w:val="16"/>
              </w:rPr>
            </w:pPr>
            <w:r w:rsidRPr="00781112">
              <w:rPr>
                <w:rFonts w:cs="Arial"/>
                <w:color w:val="000000" w:themeColor="text1"/>
                <w:szCs w:val="16"/>
              </w:rPr>
              <w:t>Target</w:t>
            </w:r>
          </w:p>
        </w:tc>
        <w:tc>
          <w:tcPr>
            <w:tcW w:w="1000" w:type="pct"/>
            <w:shd w:val="clear" w:color="auto" w:fill="auto"/>
            <w:vAlign w:val="center"/>
          </w:tcPr>
          <w:p w14:paraId="482B43E6" w14:textId="62FCF10C" w:rsidR="00B67FCE" w:rsidRPr="00781112" w:rsidRDefault="00B67FCE" w:rsidP="00D0796B">
            <w:pPr>
              <w:jc w:val="center"/>
              <w:rPr>
                <w:rFonts w:cs="Arial"/>
                <w:color w:val="000000" w:themeColor="text1"/>
                <w:szCs w:val="16"/>
              </w:rPr>
            </w:pPr>
            <w:r w:rsidRPr="00781112">
              <w:rPr>
                <w:rFonts w:cs="Arial"/>
                <w:color w:val="000000" w:themeColor="text1"/>
                <w:szCs w:val="16"/>
              </w:rPr>
              <w:t>0%</w:t>
            </w:r>
          </w:p>
        </w:tc>
        <w:tc>
          <w:tcPr>
            <w:tcW w:w="1001" w:type="pct"/>
          </w:tcPr>
          <w:p w14:paraId="6ED6CF52" w14:textId="07C8F82B" w:rsidR="00B67FCE" w:rsidRPr="00781112" w:rsidRDefault="00B67FCE" w:rsidP="00D0796B">
            <w:pPr>
              <w:jc w:val="center"/>
              <w:rPr>
                <w:rFonts w:cs="Arial"/>
                <w:color w:val="000000" w:themeColor="text1"/>
                <w:szCs w:val="16"/>
              </w:rPr>
            </w:pPr>
            <w:r w:rsidRPr="00781112">
              <w:rPr>
                <w:color w:val="000000" w:themeColor="text1"/>
                <w:szCs w:val="16"/>
              </w:rPr>
              <w:t>0%</w:t>
            </w:r>
          </w:p>
        </w:tc>
        <w:tc>
          <w:tcPr>
            <w:tcW w:w="1000" w:type="pct"/>
          </w:tcPr>
          <w:p w14:paraId="41DC7F3D" w14:textId="129F7B75" w:rsidR="00B67FCE" w:rsidRPr="00781112" w:rsidRDefault="00B67FCE" w:rsidP="00D0796B">
            <w:pPr>
              <w:jc w:val="center"/>
              <w:rPr>
                <w:rFonts w:cs="Arial"/>
                <w:color w:val="000000" w:themeColor="text1"/>
                <w:szCs w:val="16"/>
              </w:rPr>
            </w:pPr>
            <w:r w:rsidRPr="00781112">
              <w:rPr>
                <w:color w:val="000000" w:themeColor="text1"/>
                <w:szCs w:val="16"/>
              </w:rPr>
              <w:t>0%</w:t>
            </w:r>
          </w:p>
        </w:tc>
        <w:tc>
          <w:tcPr>
            <w:tcW w:w="1001" w:type="pct"/>
          </w:tcPr>
          <w:p w14:paraId="430A2A24" w14:textId="13021BDA" w:rsidR="00B67FCE" w:rsidRPr="00781112" w:rsidRDefault="00B67FCE" w:rsidP="00D0796B">
            <w:pPr>
              <w:jc w:val="center"/>
              <w:rPr>
                <w:rFonts w:cs="Arial"/>
                <w:color w:val="000000" w:themeColor="text1"/>
                <w:szCs w:val="16"/>
              </w:rPr>
            </w:pPr>
            <w:r w:rsidRPr="00781112">
              <w:rPr>
                <w:color w:val="000000" w:themeColor="text1"/>
                <w:szCs w:val="16"/>
              </w:rPr>
              <w:t>0%</w:t>
            </w:r>
          </w:p>
        </w:tc>
      </w:tr>
    </w:tbl>
    <w:p w14:paraId="52F4815B" w14:textId="77777777" w:rsidR="00BA687C" w:rsidRPr="00781112" w:rsidRDefault="00BA687C" w:rsidP="004369B2">
      <w:pPr>
        <w:rPr>
          <w:color w:val="000000" w:themeColor="text1"/>
        </w:rPr>
      </w:pPr>
    </w:p>
    <w:p w14:paraId="7CAE922F" w14:textId="2EAB64FC" w:rsidR="005A3C12" w:rsidRPr="00781112" w:rsidRDefault="0047313F">
      <w:pPr>
        <w:rPr>
          <w:b/>
          <w:color w:val="000000" w:themeColor="text1"/>
        </w:rPr>
      </w:pPr>
      <w:r>
        <w:rPr>
          <w:b/>
          <w:color w:val="000000" w:themeColor="text1"/>
        </w:rPr>
        <w:t>FFY 2022 SPP/APR Data</w:t>
      </w:r>
    </w:p>
    <w:p w14:paraId="2910402D" w14:textId="579385FD" w:rsidR="00C2395D" w:rsidRPr="00781112" w:rsidRDefault="00C2395D">
      <w:pPr>
        <w:rPr>
          <w:rFonts w:cs="Arial"/>
          <w:b/>
          <w:color w:val="000000" w:themeColor="text1"/>
          <w:szCs w:val="16"/>
        </w:rPr>
      </w:pPr>
      <w:r w:rsidRPr="00781112">
        <w:rPr>
          <w:rFonts w:cs="Arial"/>
          <w:b/>
          <w:color w:val="000000" w:themeColor="text1"/>
          <w:szCs w:val="16"/>
        </w:rPr>
        <w:t>Has the state established a minimum n and/or cell size requirement? (yes/no)</w:t>
      </w:r>
    </w:p>
    <w:p w14:paraId="51881593" w14:textId="15FAF06D" w:rsidR="00C2395D" w:rsidRPr="00781112" w:rsidRDefault="00C2395D">
      <w:pPr>
        <w:rPr>
          <w:rFonts w:cs="Arial"/>
          <w:color w:val="000000" w:themeColor="text1"/>
          <w:szCs w:val="16"/>
        </w:rPr>
      </w:pPr>
      <w:bookmarkStart w:id="61" w:name="_Hlk20258880"/>
      <w:r w:rsidRPr="00781112">
        <w:rPr>
          <w:rFonts w:cs="Arial"/>
          <w:color w:val="000000" w:themeColor="text1"/>
          <w:szCs w:val="16"/>
        </w:rPr>
        <w:t>YES</w:t>
      </w:r>
    </w:p>
    <w:bookmarkEnd w:id="61"/>
    <w:p w14:paraId="68C2343A" w14:textId="52DDFC94" w:rsidR="00C2395D" w:rsidRPr="00781112" w:rsidRDefault="00C2395D">
      <w:pPr>
        <w:rPr>
          <w:rFonts w:cs="Arial"/>
          <w:b/>
          <w:color w:val="000000" w:themeColor="text1"/>
          <w:szCs w:val="16"/>
        </w:rPr>
      </w:pPr>
      <w:r w:rsidRPr="00781112">
        <w:rPr>
          <w:rFonts w:cs="Arial"/>
          <w:b/>
          <w:color w:val="000000" w:themeColor="text1"/>
          <w:szCs w:val="16"/>
        </w:rPr>
        <w:t xml:space="preserve">If yes, the State may only include, in both the numerator and the denominator, districts that </w:t>
      </w:r>
      <w:proofErr w:type="gramStart"/>
      <w:r w:rsidRPr="00781112">
        <w:rPr>
          <w:rFonts w:cs="Arial"/>
          <w:b/>
          <w:color w:val="000000" w:themeColor="text1"/>
          <w:szCs w:val="16"/>
        </w:rPr>
        <w:t>met</w:t>
      </w:r>
      <w:proofErr w:type="gramEnd"/>
      <w:r w:rsidRPr="00781112">
        <w:rPr>
          <w:rFonts w:cs="Arial"/>
          <w:b/>
          <w:color w:val="000000" w:themeColor="text1"/>
          <w:szCs w:val="16"/>
        </w:rPr>
        <w:t xml:space="preserve"> the State-established n and/or cell size. Report the number of districts excluded from the calculation </w:t>
      </w:r>
      <w:proofErr w:type="gramStart"/>
      <w:r w:rsidRPr="00781112">
        <w:rPr>
          <w:rFonts w:cs="Arial"/>
          <w:b/>
          <w:color w:val="000000" w:themeColor="text1"/>
          <w:szCs w:val="16"/>
        </w:rPr>
        <w:t>as a result of</w:t>
      </w:r>
      <w:proofErr w:type="gramEnd"/>
      <w:r w:rsidRPr="00781112">
        <w:rPr>
          <w:rFonts w:cs="Arial"/>
          <w:b/>
          <w:color w:val="000000" w:themeColor="text1"/>
          <w:szCs w:val="16"/>
        </w:rPr>
        <w:t xml:space="preserve"> the requirement.</w:t>
      </w:r>
    </w:p>
    <w:p w14:paraId="0B319A04" w14:textId="0BE2333F" w:rsidR="00C2395D" w:rsidRPr="00781112" w:rsidRDefault="00C2395D">
      <w:pPr>
        <w:rPr>
          <w:rFonts w:cs="Arial"/>
          <w:color w:val="000000" w:themeColor="text1"/>
          <w:szCs w:val="16"/>
        </w:rPr>
      </w:pPr>
      <w:r w:rsidRPr="00781112">
        <w:rPr>
          <w:rFonts w:cs="Arial"/>
          <w:color w:val="000000" w:themeColor="text1"/>
          <w:szCs w:val="16"/>
        </w:rPr>
        <w:t>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B10CFFYAPRDATA"/>
      </w:tblPr>
      <w:tblGrid>
        <w:gridCol w:w="1488"/>
        <w:gridCol w:w="1488"/>
        <w:gridCol w:w="1720"/>
        <w:gridCol w:w="1073"/>
        <w:gridCol w:w="1638"/>
        <w:gridCol w:w="958"/>
        <w:gridCol w:w="1233"/>
        <w:gridCol w:w="1192"/>
      </w:tblGrid>
      <w:tr w:rsidR="00206A65" w:rsidRPr="00781112" w14:paraId="46B7EEE9" w14:textId="299BDFCD" w:rsidTr="002B4D97">
        <w:trPr>
          <w:trHeight w:val="354"/>
        </w:trPr>
        <w:tc>
          <w:tcPr>
            <w:tcW w:w="556" w:type="pct"/>
            <w:shd w:val="clear" w:color="auto" w:fill="auto"/>
            <w:vAlign w:val="bottom"/>
          </w:tcPr>
          <w:p w14:paraId="0E28349C" w14:textId="44D96017" w:rsidR="00206A65" w:rsidRPr="00781112" w:rsidRDefault="00206A65" w:rsidP="00206A65">
            <w:pPr>
              <w:jc w:val="center"/>
              <w:rPr>
                <w:b/>
                <w:color w:val="000000" w:themeColor="text1"/>
              </w:rPr>
            </w:pPr>
            <w:r w:rsidRPr="00781112">
              <w:rPr>
                <w:b/>
                <w:color w:val="000000" w:themeColor="text1"/>
              </w:rPr>
              <w:t>Number of districts with disproportionate representation of racial/ethnic groups in specific disability categories</w:t>
            </w:r>
          </w:p>
        </w:tc>
        <w:tc>
          <w:tcPr>
            <w:tcW w:w="583" w:type="pct"/>
            <w:shd w:val="clear" w:color="auto" w:fill="auto"/>
            <w:vAlign w:val="bottom"/>
          </w:tcPr>
          <w:p w14:paraId="3776FC0B" w14:textId="62483782" w:rsidR="00206A65" w:rsidRPr="00781112" w:rsidRDefault="00206A65" w:rsidP="00206A65">
            <w:pPr>
              <w:jc w:val="center"/>
              <w:rPr>
                <w:b/>
                <w:color w:val="000000" w:themeColor="text1"/>
              </w:rPr>
            </w:pPr>
            <w:r w:rsidRPr="00781112">
              <w:rPr>
                <w:b/>
                <w:color w:val="000000" w:themeColor="text1"/>
              </w:rPr>
              <w:t>Number of districts with disproportionate representation of racial/ethnic groups in specific disability categories that is the result of inappropriate identification</w:t>
            </w:r>
          </w:p>
        </w:tc>
        <w:tc>
          <w:tcPr>
            <w:tcW w:w="837" w:type="pct"/>
            <w:shd w:val="clear" w:color="auto" w:fill="auto"/>
            <w:vAlign w:val="bottom"/>
          </w:tcPr>
          <w:p w14:paraId="355E2973" w14:textId="5007428A" w:rsidR="00206A65" w:rsidRPr="00781112" w:rsidRDefault="00206A65" w:rsidP="00206A65">
            <w:pPr>
              <w:jc w:val="center"/>
              <w:rPr>
                <w:b/>
                <w:color w:val="000000" w:themeColor="text1"/>
              </w:rPr>
            </w:pPr>
            <w:r w:rsidRPr="00781112">
              <w:rPr>
                <w:b/>
                <w:color w:val="000000" w:themeColor="text1"/>
              </w:rPr>
              <w:t>Number of districts that met the State's minimum n and/or cell size</w:t>
            </w:r>
          </w:p>
        </w:tc>
        <w:tc>
          <w:tcPr>
            <w:tcW w:w="537" w:type="pct"/>
            <w:shd w:val="clear" w:color="auto" w:fill="auto"/>
            <w:vAlign w:val="bottom"/>
          </w:tcPr>
          <w:p w14:paraId="7466F790" w14:textId="004DD644" w:rsidR="00206A65" w:rsidRPr="00CC1061" w:rsidRDefault="00206A65" w:rsidP="00206A65">
            <w:pPr>
              <w:jc w:val="center"/>
              <w:rPr>
                <w:b/>
                <w:bCs/>
                <w:color w:val="000000" w:themeColor="text1"/>
              </w:rPr>
            </w:pPr>
            <w:r w:rsidRPr="00CC1061">
              <w:rPr>
                <w:b/>
                <w:bCs/>
              </w:rPr>
              <w:t>FFY 2021 Data</w:t>
            </w:r>
          </w:p>
        </w:tc>
        <w:tc>
          <w:tcPr>
            <w:tcW w:w="799" w:type="pct"/>
            <w:shd w:val="clear" w:color="auto" w:fill="auto"/>
            <w:vAlign w:val="bottom"/>
          </w:tcPr>
          <w:p w14:paraId="72475F3B" w14:textId="4521A374" w:rsidR="00206A65" w:rsidRPr="00CC1061" w:rsidRDefault="00206A65" w:rsidP="00206A65">
            <w:pPr>
              <w:jc w:val="center"/>
              <w:rPr>
                <w:b/>
                <w:bCs/>
                <w:color w:val="000000" w:themeColor="text1"/>
              </w:rPr>
            </w:pPr>
            <w:r w:rsidRPr="00CC1061">
              <w:rPr>
                <w:b/>
                <w:bCs/>
              </w:rPr>
              <w:t>FFY 2022 Target</w:t>
            </w:r>
          </w:p>
        </w:tc>
        <w:tc>
          <w:tcPr>
            <w:tcW w:w="484" w:type="pct"/>
            <w:shd w:val="clear" w:color="auto" w:fill="auto"/>
            <w:vAlign w:val="bottom"/>
          </w:tcPr>
          <w:p w14:paraId="71FC938A" w14:textId="36886E30" w:rsidR="00206A65" w:rsidRPr="00CC1061" w:rsidRDefault="00206A65" w:rsidP="00206A65">
            <w:pPr>
              <w:jc w:val="center"/>
              <w:rPr>
                <w:b/>
                <w:bCs/>
                <w:color w:val="000000" w:themeColor="text1"/>
              </w:rPr>
            </w:pPr>
            <w:r w:rsidRPr="00CC1061">
              <w:rPr>
                <w:b/>
                <w:bCs/>
              </w:rPr>
              <w:t>FFY 2022 Data</w:t>
            </w:r>
          </w:p>
        </w:tc>
        <w:tc>
          <w:tcPr>
            <w:tcW w:w="611" w:type="pct"/>
            <w:shd w:val="clear" w:color="auto" w:fill="auto"/>
            <w:vAlign w:val="bottom"/>
          </w:tcPr>
          <w:p w14:paraId="3412B11F" w14:textId="60F985B5" w:rsidR="00206A65" w:rsidRPr="00781112" w:rsidRDefault="00206A65" w:rsidP="00206A65">
            <w:pPr>
              <w:jc w:val="center"/>
              <w:rPr>
                <w:b/>
                <w:color w:val="000000" w:themeColor="text1"/>
              </w:rPr>
            </w:pPr>
            <w:r w:rsidRPr="00781112">
              <w:rPr>
                <w:b/>
                <w:color w:val="000000" w:themeColor="text1"/>
              </w:rPr>
              <w:t>Status</w:t>
            </w:r>
          </w:p>
        </w:tc>
        <w:tc>
          <w:tcPr>
            <w:tcW w:w="592" w:type="pct"/>
            <w:shd w:val="clear" w:color="auto" w:fill="auto"/>
            <w:vAlign w:val="bottom"/>
          </w:tcPr>
          <w:p w14:paraId="5BE578EA" w14:textId="42655681" w:rsidR="00206A65" w:rsidRPr="00781112" w:rsidRDefault="00206A65" w:rsidP="00206A65">
            <w:pPr>
              <w:jc w:val="center"/>
              <w:rPr>
                <w:b/>
                <w:color w:val="000000" w:themeColor="text1"/>
              </w:rPr>
            </w:pPr>
            <w:r w:rsidRPr="00781112">
              <w:rPr>
                <w:b/>
                <w:color w:val="000000" w:themeColor="text1"/>
              </w:rPr>
              <w:t>Slippage</w:t>
            </w:r>
          </w:p>
        </w:tc>
      </w:tr>
      <w:tr w:rsidR="005C29F8" w:rsidRPr="00781112" w14:paraId="15B9A5E7" w14:textId="77777777" w:rsidTr="002B4D97">
        <w:tblPrEx>
          <w:jc w:val="center"/>
        </w:tblPrEx>
        <w:trPr>
          <w:trHeight w:val="361"/>
          <w:jc w:val="center"/>
        </w:trPr>
        <w:tc>
          <w:tcPr>
            <w:tcW w:w="556" w:type="pct"/>
            <w:shd w:val="clear" w:color="auto" w:fill="auto"/>
            <w:vAlign w:val="center"/>
          </w:tcPr>
          <w:p w14:paraId="4E60E5C8" w14:textId="6324B6DD" w:rsidR="00832807" w:rsidRPr="00781112" w:rsidRDefault="002B7490" w:rsidP="00A018D4">
            <w:pPr>
              <w:jc w:val="center"/>
              <w:rPr>
                <w:rFonts w:cs="Arial"/>
                <w:color w:val="000000" w:themeColor="text1"/>
                <w:szCs w:val="16"/>
              </w:rPr>
            </w:pPr>
            <w:r w:rsidRPr="00781112">
              <w:rPr>
                <w:rFonts w:cs="Arial"/>
                <w:color w:val="000000" w:themeColor="text1"/>
                <w:szCs w:val="16"/>
              </w:rPr>
              <w:t>4</w:t>
            </w:r>
          </w:p>
        </w:tc>
        <w:tc>
          <w:tcPr>
            <w:tcW w:w="583" w:type="pct"/>
            <w:shd w:val="clear" w:color="auto" w:fill="auto"/>
            <w:vAlign w:val="center"/>
          </w:tcPr>
          <w:p w14:paraId="765C1600" w14:textId="09979D5F" w:rsidR="00832807" w:rsidRPr="00781112" w:rsidRDefault="002B7490">
            <w:pPr>
              <w:jc w:val="center"/>
              <w:rPr>
                <w:rFonts w:cs="Arial"/>
                <w:color w:val="000000" w:themeColor="text1"/>
                <w:szCs w:val="16"/>
              </w:rPr>
            </w:pPr>
            <w:r w:rsidRPr="00781112">
              <w:rPr>
                <w:rFonts w:cs="Arial"/>
                <w:color w:val="000000" w:themeColor="text1"/>
                <w:szCs w:val="16"/>
              </w:rPr>
              <w:t>1</w:t>
            </w:r>
          </w:p>
        </w:tc>
        <w:tc>
          <w:tcPr>
            <w:tcW w:w="837" w:type="pct"/>
            <w:shd w:val="clear" w:color="auto" w:fill="auto"/>
          </w:tcPr>
          <w:p w14:paraId="2F5939A9" w14:textId="0BB9A6FC" w:rsidR="00832807" w:rsidRPr="00781112" w:rsidRDefault="002B7490">
            <w:pPr>
              <w:jc w:val="center"/>
              <w:rPr>
                <w:rFonts w:cs="Arial"/>
                <w:color w:val="000000" w:themeColor="text1"/>
                <w:szCs w:val="16"/>
              </w:rPr>
            </w:pPr>
            <w:r w:rsidRPr="00781112">
              <w:rPr>
                <w:rFonts w:cs="Arial"/>
                <w:color w:val="000000" w:themeColor="text1"/>
                <w:szCs w:val="16"/>
              </w:rPr>
              <w:t>66</w:t>
            </w:r>
          </w:p>
        </w:tc>
        <w:tc>
          <w:tcPr>
            <w:tcW w:w="537" w:type="pct"/>
            <w:shd w:val="clear" w:color="auto" w:fill="auto"/>
          </w:tcPr>
          <w:p w14:paraId="0D05C70A" w14:textId="18F3C221" w:rsidR="00832807" w:rsidRPr="00781112" w:rsidRDefault="002B7490">
            <w:pPr>
              <w:jc w:val="center"/>
              <w:rPr>
                <w:rFonts w:cs="Arial"/>
                <w:color w:val="000000" w:themeColor="text1"/>
                <w:szCs w:val="16"/>
              </w:rPr>
            </w:pPr>
            <w:r w:rsidRPr="00781112">
              <w:rPr>
                <w:rFonts w:cs="Arial"/>
                <w:color w:val="000000" w:themeColor="text1"/>
                <w:szCs w:val="16"/>
              </w:rPr>
              <w:t>0.00%</w:t>
            </w:r>
          </w:p>
        </w:tc>
        <w:tc>
          <w:tcPr>
            <w:tcW w:w="799" w:type="pct"/>
            <w:shd w:val="clear" w:color="auto" w:fill="auto"/>
          </w:tcPr>
          <w:p w14:paraId="31B1786A" w14:textId="1C0FB493" w:rsidR="00832807" w:rsidRPr="00781112" w:rsidRDefault="009C65E9">
            <w:pPr>
              <w:jc w:val="center"/>
              <w:rPr>
                <w:rFonts w:cs="Arial"/>
                <w:color w:val="000000" w:themeColor="text1"/>
                <w:szCs w:val="16"/>
              </w:rPr>
            </w:pPr>
            <w:r w:rsidRPr="00781112">
              <w:rPr>
                <w:rFonts w:cs="Arial"/>
                <w:color w:val="000000" w:themeColor="text1"/>
                <w:szCs w:val="16"/>
              </w:rPr>
              <w:t>0%</w:t>
            </w:r>
          </w:p>
        </w:tc>
        <w:tc>
          <w:tcPr>
            <w:tcW w:w="484" w:type="pct"/>
            <w:shd w:val="clear" w:color="auto" w:fill="auto"/>
          </w:tcPr>
          <w:p w14:paraId="006553AD" w14:textId="5CF8CF00" w:rsidR="00832807" w:rsidRPr="00781112" w:rsidRDefault="002B7490">
            <w:pPr>
              <w:jc w:val="center"/>
              <w:rPr>
                <w:rFonts w:cs="Arial"/>
                <w:color w:val="000000" w:themeColor="text1"/>
                <w:szCs w:val="16"/>
              </w:rPr>
            </w:pPr>
            <w:r w:rsidRPr="00781112">
              <w:rPr>
                <w:rFonts w:cs="Arial"/>
                <w:color w:val="000000" w:themeColor="text1"/>
                <w:szCs w:val="16"/>
              </w:rPr>
              <w:t>1.52%</w:t>
            </w:r>
          </w:p>
        </w:tc>
        <w:tc>
          <w:tcPr>
            <w:tcW w:w="611" w:type="pct"/>
            <w:shd w:val="clear" w:color="auto" w:fill="auto"/>
          </w:tcPr>
          <w:p w14:paraId="4A47CD2B" w14:textId="7BEFFB19" w:rsidR="00832807" w:rsidRPr="00781112" w:rsidRDefault="002B7490">
            <w:pPr>
              <w:jc w:val="center"/>
              <w:rPr>
                <w:rFonts w:cs="Arial"/>
                <w:color w:val="000000" w:themeColor="text1"/>
                <w:szCs w:val="16"/>
              </w:rPr>
            </w:pPr>
            <w:r w:rsidRPr="00781112">
              <w:rPr>
                <w:rFonts w:cs="Arial"/>
                <w:color w:val="000000" w:themeColor="text1"/>
                <w:szCs w:val="16"/>
              </w:rPr>
              <w:t>Did not meet target</w:t>
            </w:r>
          </w:p>
        </w:tc>
        <w:tc>
          <w:tcPr>
            <w:tcW w:w="592" w:type="pct"/>
            <w:shd w:val="clear" w:color="auto" w:fill="auto"/>
          </w:tcPr>
          <w:p w14:paraId="3F96C2BD" w14:textId="2A9BD6CA" w:rsidR="00832807" w:rsidRPr="00781112" w:rsidRDefault="002B7490">
            <w:pPr>
              <w:jc w:val="center"/>
              <w:rPr>
                <w:rFonts w:cs="Arial"/>
                <w:color w:val="000000" w:themeColor="text1"/>
                <w:szCs w:val="16"/>
              </w:rPr>
            </w:pPr>
            <w:r w:rsidRPr="00781112">
              <w:rPr>
                <w:rFonts w:cs="Arial"/>
                <w:color w:val="000000" w:themeColor="text1"/>
                <w:szCs w:val="16"/>
              </w:rPr>
              <w:t>Slippage</w:t>
            </w:r>
          </w:p>
        </w:tc>
      </w:tr>
    </w:tbl>
    <w:p w14:paraId="0E1E4F36" w14:textId="60D86C29" w:rsidR="005A3C12" w:rsidRPr="00781112" w:rsidRDefault="00481536" w:rsidP="005A3C12">
      <w:pPr>
        <w:rPr>
          <w:rFonts w:cs="Arial"/>
          <w:b/>
          <w:i/>
          <w:color w:val="000000" w:themeColor="text1"/>
          <w:szCs w:val="16"/>
        </w:rPr>
      </w:pPr>
      <w:r w:rsidRPr="00781112">
        <w:rPr>
          <w:rFonts w:cs="Arial"/>
          <w:b/>
          <w:color w:val="000000" w:themeColor="text1"/>
          <w:szCs w:val="16"/>
        </w:rPr>
        <w:t>Provide reasons for slippage, if applicable</w:t>
      </w:r>
    </w:p>
    <w:p w14:paraId="56E7E1AB" w14:textId="49EDEFD6" w:rsidR="00481536" w:rsidRPr="00781112" w:rsidRDefault="002B7490" w:rsidP="00B6413B">
      <w:pPr>
        <w:rPr>
          <w:rFonts w:cs="Arial"/>
          <w:color w:val="000000" w:themeColor="text1"/>
          <w:szCs w:val="16"/>
        </w:rPr>
      </w:pPr>
      <w:r w:rsidRPr="00781112">
        <w:rPr>
          <w:rFonts w:cs="Arial"/>
          <w:color w:val="000000" w:themeColor="text1"/>
          <w:szCs w:val="16"/>
        </w:rPr>
        <w:t>Slippage occurred because one AU was found to have disproportionate representation as the result of inappropriate identification of White Students with Significant Emotional Disability. CDE will issue a finding and a corrective action plan within 90 days of the review.</w:t>
      </w:r>
    </w:p>
    <w:p w14:paraId="59BA2CEF" w14:textId="4C507427" w:rsidR="00590296" w:rsidRPr="00781112" w:rsidRDefault="00A479A0" w:rsidP="00B6413B">
      <w:pPr>
        <w:rPr>
          <w:rFonts w:cs="Arial"/>
          <w:b/>
          <w:color w:val="000000" w:themeColor="text1"/>
          <w:szCs w:val="16"/>
        </w:rPr>
      </w:pPr>
      <w:r w:rsidRPr="00781112">
        <w:rPr>
          <w:rFonts w:cs="Arial"/>
          <w:b/>
          <w:color w:val="000000" w:themeColor="text1"/>
          <w:szCs w:val="16"/>
        </w:rPr>
        <w:t xml:space="preserve">Were all races and ethnicities included in the review? </w:t>
      </w:r>
    </w:p>
    <w:p w14:paraId="1590ED0F" w14:textId="7DC32C1D" w:rsidR="00590296" w:rsidRPr="00781112" w:rsidRDefault="00590296" w:rsidP="00B6413B">
      <w:pPr>
        <w:rPr>
          <w:rFonts w:cs="Arial"/>
          <w:color w:val="000000" w:themeColor="text1"/>
          <w:szCs w:val="16"/>
        </w:rPr>
      </w:pPr>
      <w:r w:rsidRPr="00781112">
        <w:rPr>
          <w:rFonts w:cs="Arial"/>
          <w:color w:val="000000" w:themeColor="text1"/>
          <w:szCs w:val="16"/>
        </w:rPr>
        <w:t>YES</w:t>
      </w:r>
    </w:p>
    <w:p w14:paraId="6EC83BB6" w14:textId="77777777" w:rsidR="0057259D" w:rsidRPr="00781112" w:rsidRDefault="0057259D" w:rsidP="004369B2">
      <w:pPr>
        <w:rPr>
          <w:b/>
          <w:color w:val="000000" w:themeColor="text1"/>
        </w:rPr>
      </w:pPr>
      <w:r w:rsidRPr="00781112">
        <w:rPr>
          <w:b/>
          <w:color w:val="000000" w:themeColor="text1"/>
        </w:rPr>
        <w:t xml:space="preserve">Define “disproportionate representation.” Please specify in your definition: 1) the calculation method(s) being used (i.e., risk ratio, weighted risk ratio, e-formula, etc.); and 2) the threshold at which disproportionate representation is identified. Also include, as appropriate, 3) the number of years of data used in the calculation; and 4) any minimum cell and/or n-sizes (i.e., risk numerator and/or risk denominator). </w:t>
      </w:r>
    </w:p>
    <w:p w14:paraId="5C0E7099" w14:textId="60F75C08" w:rsidR="00481536" w:rsidRPr="00781112" w:rsidRDefault="002B7490" w:rsidP="003817C0">
      <w:pPr>
        <w:rPr>
          <w:rFonts w:cs="Arial"/>
          <w:color w:val="000000" w:themeColor="text1"/>
          <w:szCs w:val="16"/>
        </w:rPr>
      </w:pPr>
      <w:r w:rsidRPr="00781112">
        <w:rPr>
          <w:rFonts w:cs="Arial"/>
          <w:color w:val="000000" w:themeColor="text1"/>
          <w:szCs w:val="16"/>
        </w:rPr>
        <w:t>1) the calculation method(s) being used: risk ratio and alternate risk ratio methods</w:t>
      </w:r>
      <w:r w:rsidRPr="00781112">
        <w:rPr>
          <w:rFonts w:cs="Arial"/>
          <w:color w:val="000000" w:themeColor="text1"/>
          <w:szCs w:val="16"/>
        </w:rPr>
        <w:br/>
        <w:t>2) the threshold at which disproportionate representation is identified: 4.0 and above</w:t>
      </w:r>
      <w:r w:rsidRPr="00781112">
        <w:rPr>
          <w:rFonts w:cs="Arial"/>
          <w:color w:val="000000" w:themeColor="text1"/>
          <w:szCs w:val="16"/>
        </w:rPr>
        <w:br/>
        <w:t>3) the number of years of data used in the calculation: 1 year</w:t>
      </w:r>
      <w:r w:rsidRPr="00781112">
        <w:rPr>
          <w:rFonts w:cs="Arial"/>
          <w:color w:val="000000" w:themeColor="text1"/>
          <w:szCs w:val="16"/>
        </w:rPr>
        <w:br/>
        <w:t>4) minimum cell and/or n-sizes</w:t>
      </w:r>
      <w:r w:rsidRPr="00781112">
        <w:rPr>
          <w:rFonts w:cs="Arial"/>
          <w:color w:val="000000" w:themeColor="text1"/>
          <w:szCs w:val="16"/>
        </w:rPr>
        <w:br/>
        <w:t>minimum cell (risk numerator) size = 10</w:t>
      </w:r>
      <w:r w:rsidRPr="00781112">
        <w:rPr>
          <w:rFonts w:cs="Arial"/>
          <w:color w:val="000000" w:themeColor="text1"/>
          <w:szCs w:val="16"/>
        </w:rPr>
        <w:br/>
        <w:t>minimum n (risk denominator) size = 30</w:t>
      </w:r>
    </w:p>
    <w:p w14:paraId="469A27F6" w14:textId="13AEF7C8" w:rsidR="0057259D" w:rsidRPr="00781112" w:rsidRDefault="0057259D" w:rsidP="004369B2">
      <w:pPr>
        <w:rPr>
          <w:b/>
          <w:color w:val="000000" w:themeColor="text1"/>
        </w:rPr>
      </w:pPr>
      <w:r w:rsidRPr="00781112">
        <w:rPr>
          <w:b/>
          <w:color w:val="000000" w:themeColor="text1"/>
        </w:rPr>
        <w:t>Describe how the State made its annual determination as to whether the disproportionate overrepresentation it identified of racial and ethnic groups in specific disability categories was the result of inappropriate identification.</w:t>
      </w:r>
    </w:p>
    <w:p w14:paraId="37B23307" w14:textId="467F2F39" w:rsidR="00481536" w:rsidRPr="00781112" w:rsidRDefault="002B7490" w:rsidP="003817C0">
      <w:pPr>
        <w:rPr>
          <w:rFonts w:cs="Arial"/>
          <w:color w:val="000000" w:themeColor="text1"/>
          <w:szCs w:val="16"/>
        </w:rPr>
      </w:pPr>
      <w:proofErr w:type="gramStart"/>
      <w:r w:rsidRPr="00781112">
        <w:rPr>
          <w:rFonts w:cs="Arial"/>
          <w:color w:val="000000" w:themeColor="text1"/>
          <w:szCs w:val="16"/>
        </w:rPr>
        <w:t>In order to</w:t>
      </w:r>
      <w:proofErr w:type="gramEnd"/>
      <w:r w:rsidRPr="00781112">
        <w:rPr>
          <w:rFonts w:cs="Arial"/>
          <w:color w:val="000000" w:themeColor="text1"/>
          <w:szCs w:val="16"/>
        </w:rPr>
        <w:t xml:space="preserve"> determine whether the disproportionate overrepresentation of racial and ethnic groups in specific disability categories was the result of inappropriate identification, CDE reviewed each of the AU’s policy, procedures, and practices relevant to identification, evaluation, and eligibility for compliance with IDEA and ECEA, as well as other data available through special education data collections and monitoring. CDE also interviewed the AUs' special education directors to further explore practices in the areas of child find, referral, evaluation, and identification to ensure students who speak a language other than English are assessed in their native language, assessments are selected and administered so as not to be discriminatory or racially biased, students are not found eligible based on limited English proficiency, and students are not found eligible under as a primary result of cultural factors, environmental or economic disadvantage, or limited English proficiency. CDE concluded that the disproportionate representation of students was not the result of inappropriate identification for three out of the four AUs identified with disproportionate overrepresentation. One AU will be issued a finding and a Corrective Action Plan, within 90 days, to address the results of the review. </w:t>
      </w:r>
    </w:p>
    <w:p w14:paraId="1FCF1BF3" w14:textId="77777777" w:rsidR="00DF1529" w:rsidRPr="00781112" w:rsidRDefault="00DF1529" w:rsidP="00DF1529">
      <w:pPr>
        <w:rPr>
          <w:rFonts w:cs="Arial"/>
          <w:b/>
          <w:color w:val="000000" w:themeColor="text1"/>
          <w:szCs w:val="16"/>
        </w:rPr>
      </w:pPr>
      <w:bookmarkStart w:id="62" w:name="_Toc381956338"/>
      <w:bookmarkStart w:id="63" w:name="_Toc384383352"/>
      <w:bookmarkStart w:id="64" w:name="_Toc392159320"/>
      <w:r w:rsidRPr="00781112">
        <w:rPr>
          <w:rFonts w:cs="Arial"/>
          <w:b/>
          <w:color w:val="000000" w:themeColor="text1"/>
          <w:szCs w:val="16"/>
        </w:rPr>
        <w:t>Provide additional information about this indicator (optional)</w:t>
      </w:r>
    </w:p>
    <w:p w14:paraId="6A3194C2" w14:textId="40939986" w:rsidR="00481536" w:rsidRPr="00781112" w:rsidRDefault="002B7490" w:rsidP="007D435F">
      <w:pPr>
        <w:rPr>
          <w:rFonts w:cs="Arial"/>
          <w:color w:val="000000" w:themeColor="text1"/>
          <w:szCs w:val="16"/>
        </w:rPr>
      </w:pPr>
      <w:r w:rsidRPr="00781112">
        <w:rPr>
          <w:rFonts w:cs="Arial"/>
          <w:color w:val="000000" w:themeColor="text1"/>
          <w:szCs w:val="16"/>
        </w:rPr>
        <w:t xml:space="preserve">Two AUs (1 correctional facility and 1 mental-health facility were excluded from the calculation of this indicator because they did not meet the minimum cell/n sizes. </w:t>
      </w:r>
    </w:p>
    <w:p w14:paraId="4638F78F" w14:textId="77777777" w:rsidR="00BA687C" w:rsidRPr="00781112" w:rsidRDefault="00BA687C" w:rsidP="004369B2">
      <w:pPr>
        <w:rPr>
          <w:color w:val="000000" w:themeColor="text1"/>
        </w:rPr>
      </w:pPr>
    </w:p>
    <w:p w14:paraId="6268B372" w14:textId="2AF7EF85" w:rsidR="009A755E" w:rsidRPr="00781112" w:rsidRDefault="00450F98" w:rsidP="004369B2">
      <w:pPr>
        <w:rPr>
          <w:color w:val="000000" w:themeColor="text1"/>
        </w:rPr>
      </w:pPr>
      <w:r>
        <w:rPr>
          <w:b/>
          <w:color w:val="000000" w:themeColor="text1"/>
        </w:rPr>
        <w:t>Correction of Findings of Noncompliance Identified in FFY 2021</w:t>
      </w:r>
    </w:p>
    <w:tbl>
      <w:tblPr>
        <w:tblStyle w:val="TableGrid"/>
        <w:tblW w:w="5000" w:type="pct"/>
        <w:tblLook w:val="04A0" w:firstRow="1" w:lastRow="0" w:firstColumn="1" w:lastColumn="0" w:noHBand="0" w:noVBand="1"/>
        <w:tblCaption w:val="B10PFFYNCFINDINGS"/>
      </w:tblPr>
      <w:tblGrid>
        <w:gridCol w:w="2650"/>
        <w:gridCol w:w="2780"/>
        <w:gridCol w:w="2656"/>
        <w:gridCol w:w="2704"/>
      </w:tblGrid>
      <w:tr w:rsidR="005C29F8" w:rsidRPr="00781112" w14:paraId="56588706" w14:textId="77777777" w:rsidTr="0033429D">
        <w:trPr>
          <w:trHeight w:val="389"/>
          <w:tblHeader/>
        </w:trPr>
        <w:tc>
          <w:tcPr>
            <w:tcW w:w="1228" w:type="pct"/>
            <w:shd w:val="clear" w:color="auto" w:fill="auto"/>
            <w:vAlign w:val="bottom"/>
          </w:tcPr>
          <w:p w14:paraId="65B8FFC5" w14:textId="77777777" w:rsidR="009A755E" w:rsidRPr="00781112" w:rsidRDefault="009A755E" w:rsidP="009A755E">
            <w:pPr>
              <w:jc w:val="center"/>
              <w:rPr>
                <w:rFonts w:cs="Arial"/>
                <w:b/>
                <w:color w:val="000000" w:themeColor="text1"/>
                <w:szCs w:val="16"/>
              </w:rPr>
            </w:pPr>
            <w:r w:rsidRPr="00781112">
              <w:rPr>
                <w:rFonts w:cs="Arial"/>
                <w:b/>
                <w:color w:val="000000" w:themeColor="text1"/>
                <w:szCs w:val="16"/>
              </w:rPr>
              <w:t>Findings of Noncompliance Identified</w:t>
            </w:r>
          </w:p>
        </w:tc>
        <w:tc>
          <w:tcPr>
            <w:tcW w:w="1288" w:type="pct"/>
            <w:shd w:val="clear" w:color="auto" w:fill="auto"/>
            <w:vAlign w:val="bottom"/>
          </w:tcPr>
          <w:p w14:paraId="053913DE" w14:textId="77777777" w:rsidR="009A755E" w:rsidRPr="00781112" w:rsidRDefault="009A755E" w:rsidP="009A755E">
            <w:pPr>
              <w:jc w:val="center"/>
              <w:rPr>
                <w:rFonts w:cs="Arial"/>
                <w:b/>
                <w:color w:val="000000" w:themeColor="text1"/>
                <w:szCs w:val="16"/>
              </w:rPr>
            </w:pPr>
            <w:r w:rsidRPr="00781112">
              <w:rPr>
                <w:rFonts w:cs="Arial"/>
                <w:b/>
                <w:color w:val="000000" w:themeColor="text1"/>
                <w:szCs w:val="16"/>
              </w:rPr>
              <w:t>Findings of Noncompliance Verified as Corrected Within One Year</w:t>
            </w:r>
          </w:p>
        </w:tc>
        <w:tc>
          <w:tcPr>
            <w:tcW w:w="1231" w:type="pct"/>
            <w:shd w:val="clear" w:color="auto" w:fill="auto"/>
            <w:vAlign w:val="bottom"/>
          </w:tcPr>
          <w:p w14:paraId="79BBE351" w14:textId="77777777" w:rsidR="009A755E" w:rsidRPr="00781112" w:rsidRDefault="009A755E" w:rsidP="009A755E">
            <w:pPr>
              <w:jc w:val="center"/>
              <w:rPr>
                <w:rFonts w:cs="Arial"/>
                <w:b/>
                <w:color w:val="000000" w:themeColor="text1"/>
                <w:szCs w:val="16"/>
              </w:rPr>
            </w:pPr>
            <w:r w:rsidRPr="00781112">
              <w:rPr>
                <w:rFonts w:cs="Arial"/>
                <w:b/>
                <w:color w:val="000000" w:themeColor="text1"/>
                <w:szCs w:val="16"/>
              </w:rPr>
              <w:t>Findings of Noncompliance Subsequently Corrected</w:t>
            </w:r>
          </w:p>
        </w:tc>
        <w:tc>
          <w:tcPr>
            <w:tcW w:w="1254" w:type="pct"/>
            <w:shd w:val="clear" w:color="auto" w:fill="auto"/>
            <w:vAlign w:val="bottom"/>
          </w:tcPr>
          <w:p w14:paraId="380C990E" w14:textId="77777777" w:rsidR="009A755E" w:rsidRPr="00781112" w:rsidRDefault="009A755E" w:rsidP="009A755E">
            <w:pPr>
              <w:jc w:val="center"/>
              <w:rPr>
                <w:rFonts w:cs="Arial"/>
                <w:b/>
                <w:color w:val="000000" w:themeColor="text1"/>
                <w:szCs w:val="16"/>
              </w:rPr>
            </w:pPr>
            <w:r w:rsidRPr="00781112">
              <w:rPr>
                <w:rFonts w:cs="Arial"/>
                <w:b/>
                <w:color w:val="000000" w:themeColor="text1"/>
                <w:szCs w:val="16"/>
              </w:rPr>
              <w:t>Findings Not Yet Verified as Corrected</w:t>
            </w:r>
          </w:p>
        </w:tc>
      </w:tr>
      <w:tr w:rsidR="005C29F8" w:rsidRPr="00781112" w14:paraId="7C6EB489" w14:textId="77777777" w:rsidTr="00690A61">
        <w:tc>
          <w:tcPr>
            <w:tcW w:w="1228" w:type="pct"/>
            <w:shd w:val="clear" w:color="auto" w:fill="auto"/>
          </w:tcPr>
          <w:p w14:paraId="1D40E253" w14:textId="63B8E0E2" w:rsidR="009A755E" w:rsidRPr="00781112" w:rsidRDefault="002B7490" w:rsidP="004369B2">
            <w:pPr>
              <w:jc w:val="center"/>
              <w:rPr>
                <w:rFonts w:cs="Arial"/>
                <w:color w:val="000000" w:themeColor="text1"/>
                <w:szCs w:val="16"/>
              </w:rPr>
            </w:pPr>
            <w:r w:rsidRPr="00781112">
              <w:rPr>
                <w:rFonts w:cs="Arial"/>
                <w:color w:val="000000" w:themeColor="text1"/>
                <w:szCs w:val="16"/>
              </w:rPr>
              <w:t>0</w:t>
            </w:r>
          </w:p>
        </w:tc>
        <w:tc>
          <w:tcPr>
            <w:tcW w:w="1288" w:type="pct"/>
            <w:shd w:val="clear" w:color="auto" w:fill="auto"/>
          </w:tcPr>
          <w:p w14:paraId="5D374844" w14:textId="5622CFF8" w:rsidR="009A755E" w:rsidRPr="00781112" w:rsidRDefault="002B7490" w:rsidP="004369B2">
            <w:pPr>
              <w:jc w:val="center"/>
              <w:rPr>
                <w:rFonts w:cs="Arial"/>
                <w:color w:val="000000" w:themeColor="text1"/>
                <w:szCs w:val="16"/>
              </w:rPr>
            </w:pPr>
            <w:r w:rsidRPr="00781112">
              <w:rPr>
                <w:rFonts w:cs="Arial"/>
                <w:color w:val="000000" w:themeColor="text1"/>
                <w:szCs w:val="16"/>
              </w:rPr>
              <w:t>0</w:t>
            </w:r>
          </w:p>
        </w:tc>
        <w:tc>
          <w:tcPr>
            <w:tcW w:w="1231" w:type="pct"/>
            <w:shd w:val="clear" w:color="auto" w:fill="auto"/>
          </w:tcPr>
          <w:p w14:paraId="2CDC48CC" w14:textId="2F009478" w:rsidR="009A755E" w:rsidRPr="00781112" w:rsidRDefault="002B7490" w:rsidP="004369B2">
            <w:pPr>
              <w:jc w:val="center"/>
              <w:rPr>
                <w:rFonts w:cs="Arial"/>
                <w:color w:val="000000" w:themeColor="text1"/>
                <w:szCs w:val="16"/>
              </w:rPr>
            </w:pPr>
            <w:r w:rsidRPr="00781112">
              <w:rPr>
                <w:rFonts w:cs="Arial"/>
                <w:color w:val="000000" w:themeColor="text1"/>
                <w:szCs w:val="16"/>
              </w:rPr>
              <w:t>0</w:t>
            </w:r>
          </w:p>
        </w:tc>
        <w:tc>
          <w:tcPr>
            <w:tcW w:w="1254" w:type="pct"/>
            <w:shd w:val="clear" w:color="auto" w:fill="auto"/>
          </w:tcPr>
          <w:p w14:paraId="19E189C3" w14:textId="39CA8E23" w:rsidR="009A755E" w:rsidRPr="00781112" w:rsidRDefault="002B7490" w:rsidP="004369B2">
            <w:pPr>
              <w:jc w:val="center"/>
              <w:rPr>
                <w:rFonts w:cs="Arial"/>
                <w:color w:val="000000" w:themeColor="text1"/>
                <w:szCs w:val="16"/>
              </w:rPr>
            </w:pPr>
            <w:r w:rsidRPr="00781112">
              <w:rPr>
                <w:rFonts w:cs="Arial"/>
                <w:color w:val="000000" w:themeColor="text1"/>
                <w:szCs w:val="16"/>
              </w:rPr>
              <w:t>0</w:t>
            </w:r>
          </w:p>
        </w:tc>
      </w:tr>
    </w:tbl>
    <w:p w14:paraId="60BB42FC" w14:textId="41E379EE" w:rsidR="009A755E" w:rsidRPr="00781112" w:rsidRDefault="00450F98" w:rsidP="004369B2">
      <w:pPr>
        <w:rPr>
          <w:color w:val="000000" w:themeColor="text1"/>
        </w:rPr>
      </w:pPr>
      <w:r>
        <w:rPr>
          <w:b/>
          <w:color w:val="000000" w:themeColor="text1"/>
        </w:rPr>
        <w:t>Correction of Findings of Noncompliance Identified Prior to FFY 2021</w:t>
      </w:r>
    </w:p>
    <w:tbl>
      <w:tblPr>
        <w:tblStyle w:val="TableGrid"/>
        <w:tblW w:w="5000" w:type="pct"/>
        <w:tblLook w:val="04A0" w:firstRow="1" w:lastRow="0" w:firstColumn="1" w:lastColumn="0" w:noHBand="0" w:noVBand="1"/>
        <w:tblCaption w:val="B10BPPFFYNCFINDINGS"/>
      </w:tblPr>
      <w:tblGrid>
        <w:gridCol w:w="1890"/>
        <w:gridCol w:w="3332"/>
        <w:gridCol w:w="2743"/>
        <w:gridCol w:w="2825"/>
      </w:tblGrid>
      <w:tr w:rsidR="005C29F8" w:rsidRPr="00781112" w14:paraId="730926F0" w14:textId="77777777" w:rsidTr="00BD26DC">
        <w:trPr>
          <w:tblHeader/>
        </w:trPr>
        <w:tc>
          <w:tcPr>
            <w:tcW w:w="876" w:type="pct"/>
            <w:shd w:val="clear" w:color="auto" w:fill="auto"/>
            <w:vAlign w:val="bottom"/>
          </w:tcPr>
          <w:p w14:paraId="0B05B92F" w14:textId="50A415B8" w:rsidR="009A755E" w:rsidRPr="00781112" w:rsidRDefault="003A4027" w:rsidP="009A755E">
            <w:pPr>
              <w:jc w:val="center"/>
              <w:rPr>
                <w:rFonts w:cs="Arial"/>
                <w:b/>
                <w:color w:val="000000" w:themeColor="text1"/>
                <w:szCs w:val="16"/>
              </w:rPr>
            </w:pPr>
            <w:r w:rsidRPr="00781112">
              <w:rPr>
                <w:rFonts w:cs="Arial"/>
                <w:b/>
                <w:color w:val="000000" w:themeColor="text1"/>
                <w:szCs w:val="16"/>
              </w:rPr>
              <w:t>Year Findings of Noncompliance Were Identified</w:t>
            </w:r>
          </w:p>
        </w:tc>
        <w:tc>
          <w:tcPr>
            <w:tcW w:w="1544" w:type="pct"/>
            <w:shd w:val="clear" w:color="auto" w:fill="auto"/>
            <w:vAlign w:val="bottom"/>
          </w:tcPr>
          <w:p w14:paraId="759DE84F" w14:textId="4EC98849" w:rsidR="009A755E" w:rsidRPr="00781112" w:rsidRDefault="00450F98" w:rsidP="009A755E">
            <w:pPr>
              <w:jc w:val="center"/>
              <w:rPr>
                <w:rFonts w:cs="Arial"/>
                <w:b/>
                <w:color w:val="000000" w:themeColor="text1"/>
                <w:szCs w:val="16"/>
              </w:rPr>
            </w:pPr>
            <w:r>
              <w:rPr>
                <w:rFonts w:cs="Arial"/>
                <w:b/>
                <w:color w:val="000000" w:themeColor="text1"/>
                <w:szCs w:val="16"/>
              </w:rPr>
              <w:t>Findings of Noncompliance Not Yet Verified as Corrected as of FFY 2021 APR</w:t>
            </w:r>
          </w:p>
        </w:tc>
        <w:tc>
          <w:tcPr>
            <w:tcW w:w="1271" w:type="pct"/>
            <w:shd w:val="clear" w:color="auto" w:fill="auto"/>
            <w:vAlign w:val="bottom"/>
          </w:tcPr>
          <w:p w14:paraId="45E60D4B" w14:textId="77777777" w:rsidR="009A755E" w:rsidRPr="00781112" w:rsidRDefault="009A755E" w:rsidP="009A755E">
            <w:pPr>
              <w:jc w:val="center"/>
              <w:rPr>
                <w:rFonts w:cs="Arial"/>
                <w:b/>
                <w:color w:val="000000" w:themeColor="text1"/>
                <w:szCs w:val="16"/>
              </w:rPr>
            </w:pPr>
            <w:r w:rsidRPr="00781112">
              <w:rPr>
                <w:rFonts w:cs="Arial"/>
                <w:b/>
                <w:color w:val="000000" w:themeColor="text1"/>
                <w:szCs w:val="16"/>
              </w:rPr>
              <w:t>Findings of Noncompliance Verified as Corrected</w:t>
            </w:r>
          </w:p>
        </w:tc>
        <w:tc>
          <w:tcPr>
            <w:tcW w:w="1309" w:type="pct"/>
            <w:shd w:val="clear" w:color="auto" w:fill="auto"/>
            <w:vAlign w:val="bottom"/>
          </w:tcPr>
          <w:p w14:paraId="2598D3FC" w14:textId="77777777" w:rsidR="009A755E" w:rsidRPr="00781112" w:rsidRDefault="009A755E" w:rsidP="009A755E">
            <w:pPr>
              <w:jc w:val="center"/>
              <w:rPr>
                <w:rFonts w:cs="Arial"/>
                <w:b/>
                <w:color w:val="000000" w:themeColor="text1"/>
                <w:szCs w:val="16"/>
              </w:rPr>
            </w:pPr>
            <w:r w:rsidRPr="00781112">
              <w:rPr>
                <w:rFonts w:cs="Arial"/>
                <w:b/>
                <w:color w:val="000000" w:themeColor="text1"/>
                <w:szCs w:val="16"/>
              </w:rPr>
              <w:t>Findings Not Yet Verified as Corrected</w:t>
            </w:r>
          </w:p>
        </w:tc>
      </w:tr>
      <w:tr w:rsidR="005C29F8" w:rsidRPr="00781112" w14:paraId="27C292A1" w14:textId="77777777" w:rsidTr="00BD26DC">
        <w:tc>
          <w:tcPr>
            <w:tcW w:w="876" w:type="pct"/>
            <w:shd w:val="clear" w:color="auto" w:fill="auto"/>
          </w:tcPr>
          <w:p w14:paraId="4127AE76" w14:textId="36C06893" w:rsidR="009A755E" w:rsidRPr="00781112" w:rsidRDefault="009A755E" w:rsidP="00A018D4">
            <w:pPr>
              <w:jc w:val="center"/>
              <w:rPr>
                <w:rFonts w:cs="Arial"/>
                <w:color w:val="000000" w:themeColor="text1"/>
                <w:szCs w:val="16"/>
              </w:rPr>
            </w:pPr>
          </w:p>
        </w:tc>
        <w:tc>
          <w:tcPr>
            <w:tcW w:w="1544" w:type="pct"/>
            <w:shd w:val="clear" w:color="auto" w:fill="auto"/>
          </w:tcPr>
          <w:p w14:paraId="2A5CC6A6" w14:textId="3962DD57" w:rsidR="009A755E" w:rsidRPr="00781112" w:rsidRDefault="009A755E">
            <w:pPr>
              <w:jc w:val="center"/>
              <w:rPr>
                <w:rFonts w:cs="Arial"/>
                <w:noProof/>
                <w:color w:val="000000" w:themeColor="text1"/>
                <w:szCs w:val="16"/>
              </w:rPr>
            </w:pPr>
          </w:p>
        </w:tc>
        <w:tc>
          <w:tcPr>
            <w:tcW w:w="1271" w:type="pct"/>
            <w:shd w:val="clear" w:color="auto" w:fill="auto"/>
          </w:tcPr>
          <w:p w14:paraId="443DA9B8" w14:textId="5BA02353" w:rsidR="009A755E" w:rsidRPr="00781112" w:rsidRDefault="009A755E">
            <w:pPr>
              <w:jc w:val="center"/>
              <w:rPr>
                <w:rFonts w:cs="Arial"/>
                <w:noProof/>
                <w:color w:val="000000" w:themeColor="text1"/>
                <w:szCs w:val="16"/>
              </w:rPr>
            </w:pPr>
          </w:p>
        </w:tc>
        <w:tc>
          <w:tcPr>
            <w:tcW w:w="1309" w:type="pct"/>
            <w:shd w:val="clear" w:color="auto" w:fill="auto"/>
          </w:tcPr>
          <w:p w14:paraId="0CA4C267" w14:textId="5E5F97F2" w:rsidR="009A755E" w:rsidRPr="00781112" w:rsidRDefault="009A755E">
            <w:pPr>
              <w:jc w:val="center"/>
              <w:rPr>
                <w:rFonts w:cs="Arial"/>
                <w:noProof/>
                <w:color w:val="000000" w:themeColor="text1"/>
                <w:szCs w:val="16"/>
              </w:rPr>
            </w:pPr>
          </w:p>
        </w:tc>
      </w:tr>
      <w:tr w:rsidR="005C29F8" w:rsidRPr="00781112" w14:paraId="21AB92FA" w14:textId="77777777" w:rsidTr="00BD26DC">
        <w:tc>
          <w:tcPr>
            <w:tcW w:w="876" w:type="pct"/>
            <w:shd w:val="clear" w:color="auto" w:fill="auto"/>
          </w:tcPr>
          <w:p w14:paraId="6E800094" w14:textId="1F782081" w:rsidR="009A755E" w:rsidRPr="00781112" w:rsidRDefault="009A755E" w:rsidP="00A018D4">
            <w:pPr>
              <w:jc w:val="center"/>
              <w:rPr>
                <w:rFonts w:cs="Arial"/>
                <w:color w:val="000000" w:themeColor="text1"/>
                <w:szCs w:val="16"/>
              </w:rPr>
            </w:pPr>
          </w:p>
        </w:tc>
        <w:tc>
          <w:tcPr>
            <w:tcW w:w="1544" w:type="pct"/>
            <w:shd w:val="clear" w:color="auto" w:fill="auto"/>
          </w:tcPr>
          <w:p w14:paraId="3FA322A7" w14:textId="2543A74B" w:rsidR="009A755E" w:rsidRPr="00781112" w:rsidRDefault="009A755E">
            <w:pPr>
              <w:jc w:val="center"/>
              <w:rPr>
                <w:rFonts w:cs="Arial"/>
                <w:noProof/>
                <w:color w:val="000000" w:themeColor="text1"/>
                <w:szCs w:val="16"/>
              </w:rPr>
            </w:pPr>
          </w:p>
        </w:tc>
        <w:tc>
          <w:tcPr>
            <w:tcW w:w="1271" w:type="pct"/>
            <w:shd w:val="clear" w:color="auto" w:fill="auto"/>
          </w:tcPr>
          <w:p w14:paraId="7075484B" w14:textId="56719905" w:rsidR="009A755E" w:rsidRPr="00781112" w:rsidRDefault="009A755E">
            <w:pPr>
              <w:jc w:val="center"/>
              <w:rPr>
                <w:rFonts w:cs="Arial"/>
                <w:noProof/>
                <w:color w:val="000000" w:themeColor="text1"/>
                <w:szCs w:val="16"/>
              </w:rPr>
            </w:pPr>
          </w:p>
        </w:tc>
        <w:tc>
          <w:tcPr>
            <w:tcW w:w="1309" w:type="pct"/>
            <w:shd w:val="clear" w:color="auto" w:fill="auto"/>
          </w:tcPr>
          <w:p w14:paraId="5E63471A" w14:textId="5230E0AF" w:rsidR="009A755E" w:rsidRPr="00781112" w:rsidRDefault="009A755E">
            <w:pPr>
              <w:jc w:val="center"/>
              <w:rPr>
                <w:rFonts w:cs="Arial"/>
                <w:noProof/>
                <w:color w:val="000000" w:themeColor="text1"/>
                <w:szCs w:val="16"/>
              </w:rPr>
            </w:pPr>
          </w:p>
        </w:tc>
      </w:tr>
      <w:tr w:rsidR="005C29F8" w:rsidRPr="00781112" w14:paraId="57ACE7BC" w14:textId="77777777" w:rsidTr="00BD26DC">
        <w:tc>
          <w:tcPr>
            <w:tcW w:w="876" w:type="pct"/>
            <w:shd w:val="clear" w:color="auto" w:fill="auto"/>
          </w:tcPr>
          <w:p w14:paraId="4E325530" w14:textId="03DA8FEF" w:rsidR="009A755E" w:rsidRPr="00781112" w:rsidRDefault="009A755E" w:rsidP="00A018D4">
            <w:pPr>
              <w:jc w:val="center"/>
              <w:rPr>
                <w:rFonts w:cs="Arial"/>
                <w:color w:val="000000" w:themeColor="text1"/>
                <w:szCs w:val="16"/>
              </w:rPr>
            </w:pPr>
          </w:p>
        </w:tc>
        <w:tc>
          <w:tcPr>
            <w:tcW w:w="1544" w:type="pct"/>
            <w:shd w:val="clear" w:color="auto" w:fill="auto"/>
          </w:tcPr>
          <w:p w14:paraId="7BFB0081" w14:textId="12B35F6B" w:rsidR="009A755E" w:rsidRPr="00781112" w:rsidRDefault="009A755E">
            <w:pPr>
              <w:jc w:val="center"/>
              <w:rPr>
                <w:rFonts w:cs="Arial"/>
                <w:noProof/>
                <w:color w:val="000000" w:themeColor="text1"/>
                <w:szCs w:val="16"/>
              </w:rPr>
            </w:pPr>
          </w:p>
        </w:tc>
        <w:tc>
          <w:tcPr>
            <w:tcW w:w="1271" w:type="pct"/>
            <w:shd w:val="clear" w:color="auto" w:fill="auto"/>
          </w:tcPr>
          <w:p w14:paraId="674F4E8B" w14:textId="257F6F9E" w:rsidR="009A755E" w:rsidRPr="00781112" w:rsidRDefault="009A755E">
            <w:pPr>
              <w:jc w:val="center"/>
              <w:rPr>
                <w:rFonts w:cs="Arial"/>
                <w:noProof/>
                <w:color w:val="000000" w:themeColor="text1"/>
                <w:szCs w:val="16"/>
              </w:rPr>
            </w:pPr>
          </w:p>
        </w:tc>
        <w:tc>
          <w:tcPr>
            <w:tcW w:w="1309" w:type="pct"/>
            <w:shd w:val="clear" w:color="auto" w:fill="auto"/>
          </w:tcPr>
          <w:p w14:paraId="68852A19" w14:textId="65403F00" w:rsidR="009A755E" w:rsidRPr="00781112" w:rsidRDefault="009A755E">
            <w:pPr>
              <w:jc w:val="center"/>
              <w:rPr>
                <w:rFonts w:cs="Arial"/>
                <w:noProof/>
                <w:color w:val="000000" w:themeColor="text1"/>
                <w:szCs w:val="16"/>
              </w:rPr>
            </w:pPr>
          </w:p>
        </w:tc>
      </w:tr>
      <w:tr w:rsidR="00BD26DC" w:rsidRPr="00781112" w14:paraId="64582DB8" w14:textId="77777777" w:rsidTr="00BD26DC">
        <w:tc>
          <w:tcPr>
            <w:tcW w:w="876" w:type="pct"/>
            <w:shd w:val="clear" w:color="auto" w:fill="auto"/>
          </w:tcPr>
          <w:p w14:paraId="32592256" w14:textId="3B313C7D" w:rsidR="00BD26DC" w:rsidRPr="00781112" w:rsidRDefault="00BD26DC" w:rsidP="00BD26DC">
            <w:pPr>
              <w:jc w:val="center"/>
              <w:rPr>
                <w:rFonts w:cs="Arial"/>
                <w:color w:val="000000" w:themeColor="text1"/>
                <w:szCs w:val="16"/>
              </w:rPr>
            </w:pPr>
          </w:p>
        </w:tc>
        <w:tc>
          <w:tcPr>
            <w:tcW w:w="1544" w:type="pct"/>
            <w:shd w:val="clear" w:color="auto" w:fill="auto"/>
          </w:tcPr>
          <w:p w14:paraId="208707CC" w14:textId="30B27EFB" w:rsidR="00BD26DC" w:rsidRPr="00781112" w:rsidRDefault="00BD26DC" w:rsidP="00BD26DC">
            <w:pPr>
              <w:jc w:val="center"/>
              <w:rPr>
                <w:rFonts w:cs="Arial"/>
                <w:color w:val="000000" w:themeColor="text1"/>
                <w:szCs w:val="16"/>
              </w:rPr>
            </w:pPr>
          </w:p>
        </w:tc>
        <w:tc>
          <w:tcPr>
            <w:tcW w:w="1271" w:type="pct"/>
            <w:shd w:val="clear" w:color="auto" w:fill="auto"/>
          </w:tcPr>
          <w:p w14:paraId="7742ECAE" w14:textId="32CF75EB" w:rsidR="00BD26DC" w:rsidRPr="00781112" w:rsidRDefault="00BD26DC" w:rsidP="00BD26DC">
            <w:pPr>
              <w:jc w:val="center"/>
              <w:rPr>
                <w:rFonts w:cs="Arial"/>
                <w:color w:val="000000" w:themeColor="text1"/>
                <w:szCs w:val="16"/>
              </w:rPr>
            </w:pPr>
          </w:p>
        </w:tc>
        <w:tc>
          <w:tcPr>
            <w:tcW w:w="1309" w:type="pct"/>
            <w:shd w:val="clear" w:color="auto" w:fill="auto"/>
          </w:tcPr>
          <w:p w14:paraId="5D7ECBAA" w14:textId="4F3CE826" w:rsidR="00BD26DC" w:rsidRPr="00781112" w:rsidRDefault="00BD26DC" w:rsidP="00BD26DC">
            <w:pPr>
              <w:jc w:val="center"/>
              <w:rPr>
                <w:rFonts w:cs="Arial"/>
                <w:color w:val="000000" w:themeColor="text1"/>
                <w:szCs w:val="16"/>
              </w:rPr>
            </w:pPr>
          </w:p>
        </w:tc>
      </w:tr>
      <w:tr w:rsidR="00BD26DC" w:rsidRPr="00781112" w14:paraId="09F5081B" w14:textId="77777777" w:rsidTr="00BD26DC">
        <w:tc>
          <w:tcPr>
            <w:tcW w:w="876" w:type="pct"/>
            <w:shd w:val="clear" w:color="auto" w:fill="auto"/>
          </w:tcPr>
          <w:p w14:paraId="7F0790E2" w14:textId="44868A49" w:rsidR="00BD26DC" w:rsidRPr="00781112" w:rsidRDefault="00BD26DC" w:rsidP="00BD26DC">
            <w:pPr>
              <w:jc w:val="center"/>
              <w:rPr>
                <w:rFonts w:cs="Arial"/>
                <w:color w:val="000000" w:themeColor="text1"/>
                <w:szCs w:val="16"/>
              </w:rPr>
            </w:pPr>
          </w:p>
        </w:tc>
        <w:tc>
          <w:tcPr>
            <w:tcW w:w="1544" w:type="pct"/>
            <w:shd w:val="clear" w:color="auto" w:fill="auto"/>
          </w:tcPr>
          <w:p w14:paraId="604E28D5" w14:textId="62E5C7BB" w:rsidR="00BD26DC" w:rsidRPr="00781112" w:rsidRDefault="00BD26DC" w:rsidP="00BD26DC">
            <w:pPr>
              <w:jc w:val="center"/>
              <w:rPr>
                <w:rFonts w:cs="Arial"/>
                <w:color w:val="000000" w:themeColor="text1"/>
                <w:szCs w:val="16"/>
              </w:rPr>
            </w:pPr>
          </w:p>
        </w:tc>
        <w:tc>
          <w:tcPr>
            <w:tcW w:w="1271" w:type="pct"/>
            <w:shd w:val="clear" w:color="auto" w:fill="auto"/>
          </w:tcPr>
          <w:p w14:paraId="3181619A" w14:textId="2221FD22" w:rsidR="00BD26DC" w:rsidRPr="00781112" w:rsidRDefault="00BD26DC" w:rsidP="00BD26DC">
            <w:pPr>
              <w:jc w:val="center"/>
              <w:rPr>
                <w:rFonts w:cs="Arial"/>
                <w:color w:val="000000" w:themeColor="text1"/>
                <w:szCs w:val="16"/>
              </w:rPr>
            </w:pPr>
          </w:p>
        </w:tc>
        <w:tc>
          <w:tcPr>
            <w:tcW w:w="1309" w:type="pct"/>
            <w:shd w:val="clear" w:color="auto" w:fill="auto"/>
          </w:tcPr>
          <w:p w14:paraId="4B8A0BD7" w14:textId="0CF6AEE6" w:rsidR="00BD26DC" w:rsidRPr="00781112" w:rsidRDefault="00BD26DC" w:rsidP="00BD26DC">
            <w:pPr>
              <w:jc w:val="center"/>
              <w:rPr>
                <w:rFonts w:cs="Arial"/>
                <w:color w:val="000000" w:themeColor="text1"/>
                <w:szCs w:val="16"/>
              </w:rPr>
            </w:pPr>
          </w:p>
        </w:tc>
      </w:tr>
    </w:tbl>
    <w:p w14:paraId="53A11FEB" w14:textId="6CFF8254" w:rsidR="004E2151" w:rsidRPr="00781112" w:rsidRDefault="009F64D5" w:rsidP="008645AD">
      <w:pPr>
        <w:pStyle w:val="Heading2"/>
      </w:pPr>
      <w:r w:rsidRPr="00781112">
        <w:t>10</w:t>
      </w:r>
      <w:r w:rsidR="00596F4D" w:rsidRPr="00781112">
        <w:t xml:space="preserve"> </w:t>
      </w:r>
      <w:r w:rsidRPr="00781112">
        <w:t xml:space="preserve">- </w:t>
      </w:r>
      <w:r w:rsidR="004E2151" w:rsidRPr="00781112">
        <w:t>Prior FFY Required Actions</w:t>
      </w:r>
    </w:p>
    <w:p w14:paraId="67525E19" w14:textId="2FAD1162" w:rsidR="004E2151" w:rsidRPr="00781112" w:rsidRDefault="002B7490" w:rsidP="004E2151">
      <w:pPr>
        <w:rPr>
          <w:rFonts w:cs="Arial"/>
          <w:color w:val="000000" w:themeColor="text1"/>
          <w:szCs w:val="16"/>
        </w:rPr>
      </w:pPr>
      <w:r w:rsidRPr="00781112">
        <w:rPr>
          <w:rFonts w:cs="Arial"/>
          <w:color w:val="000000" w:themeColor="text1"/>
          <w:szCs w:val="16"/>
        </w:rPr>
        <w:t>None</w:t>
      </w:r>
    </w:p>
    <w:p w14:paraId="7C7C5568" w14:textId="77777777" w:rsidR="009F69E7" w:rsidRPr="00781112" w:rsidRDefault="009F69E7" w:rsidP="004E2151">
      <w:pPr>
        <w:rPr>
          <w:rFonts w:cs="Arial"/>
          <w:color w:val="000000" w:themeColor="text1"/>
          <w:szCs w:val="16"/>
        </w:rPr>
      </w:pPr>
    </w:p>
    <w:p w14:paraId="7C3D22D6" w14:textId="3FC2A3F5" w:rsidR="004E2151" w:rsidRPr="00781112" w:rsidRDefault="004E2151" w:rsidP="004E2151">
      <w:pPr>
        <w:rPr>
          <w:rFonts w:cs="Arial"/>
          <w:color w:val="000000" w:themeColor="text1"/>
          <w:szCs w:val="16"/>
        </w:rPr>
      </w:pPr>
    </w:p>
    <w:p w14:paraId="024AE3FE" w14:textId="2137BFB6" w:rsidR="007F5071" w:rsidRPr="00781112" w:rsidRDefault="008B2598" w:rsidP="008645AD">
      <w:pPr>
        <w:pStyle w:val="Heading2"/>
      </w:pPr>
      <w:r w:rsidRPr="00781112">
        <w:t>10 - OSEP Response</w:t>
      </w:r>
    </w:p>
    <w:p w14:paraId="4384A342" w14:textId="2981C3D3" w:rsidR="00481536" w:rsidRPr="00781112" w:rsidRDefault="00481536" w:rsidP="00212954">
      <w:pPr>
        <w:rPr>
          <w:rFonts w:cs="Arial"/>
          <w:color w:val="000000" w:themeColor="text1"/>
          <w:szCs w:val="16"/>
        </w:rPr>
      </w:pPr>
    </w:p>
    <w:p w14:paraId="36F60250" w14:textId="56BA36D9" w:rsidR="007F5071" w:rsidRPr="00781112" w:rsidRDefault="007C1BCF" w:rsidP="008645AD">
      <w:pPr>
        <w:pStyle w:val="Heading2"/>
      </w:pPr>
      <w:r w:rsidRPr="00781112">
        <w:t xml:space="preserve">10 - </w:t>
      </w:r>
      <w:r w:rsidR="007F5071" w:rsidRPr="00781112">
        <w:t>Required Actions</w:t>
      </w:r>
    </w:p>
    <w:p w14:paraId="12C0EBBF" w14:textId="69C4D7D0" w:rsidR="00481536" w:rsidRPr="00781112" w:rsidRDefault="002B7490" w:rsidP="00212954">
      <w:pPr>
        <w:rPr>
          <w:rFonts w:cs="Arial"/>
          <w:color w:val="000000" w:themeColor="text1"/>
          <w:szCs w:val="16"/>
        </w:rPr>
      </w:pPr>
      <w:r w:rsidRPr="00781112">
        <w:rPr>
          <w:rFonts w:cs="Arial"/>
          <w:color w:val="000000" w:themeColor="text1"/>
          <w:szCs w:val="16"/>
        </w:rPr>
        <w:t>Because the State reported less than 100% compliance for FFY 2022 (greater than 0% actual target data for this indicator), the State must report on the status of correction of noncompliance identified in FFY 2022 for this indicator. The State must demonstrate, in the FFY 2023 SPP/APR, that the district identified in FFY 2022 with disproportionate representation of racial and ethnic groups in specific disability categories that was the result of inappropriate identification is in compliance with the requirements in 34 C.F.R. §§ 300.111, 300.201, and 300.301 through 300.311, including that the State verified that the district with noncompliance is correctly implementing the specific regulatory requirement(s) (i.e., achieved 100% compliance) based on a review of updated data such as data subsequently collected through on-site monitoring or a State data system; and has corrected each individual case of noncompliance, unless the child is no longer within the jurisdiction of the district, consistent with OSEP QA 23-01. In the FFY 2023 SPP/APR, the State must describe the specific actions that were taken to verify the correction. If the State did not identify any findings of noncompliance in FFY 2022, although its FFY 2022 data reflect less than 100% compliance (greater than 0% actual target data for this indicator), provide an explanation of why the State did not identify any findings of noncompliance in FFY 2022.</w:t>
      </w:r>
    </w:p>
    <w:p w14:paraId="2B0C5DE2" w14:textId="77777777" w:rsidR="00102FA3" w:rsidRPr="00781112" w:rsidRDefault="00102FA3">
      <w:pPr>
        <w:spacing w:before="0" w:after="200" w:line="276" w:lineRule="auto"/>
        <w:rPr>
          <w:rFonts w:eastAsiaTheme="majorEastAsia" w:cs="Arial"/>
          <w:b/>
          <w:bCs/>
          <w:color w:val="000000" w:themeColor="text1"/>
          <w:szCs w:val="16"/>
        </w:rPr>
      </w:pPr>
      <w:r w:rsidRPr="00781112">
        <w:rPr>
          <w:rFonts w:cs="Arial"/>
          <w:color w:val="000000" w:themeColor="text1"/>
          <w:szCs w:val="16"/>
        </w:rPr>
        <w:br w:type="page"/>
      </w:r>
    </w:p>
    <w:p w14:paraId="11F067DF" w14:textId="45BAD1B8" w:rsidR="00D03701" w:rsidRPr="00781112" w:rsidRDefault="00D03701" w:rsidP="000444E2">
      <w:pPr>
        <w:pStyle w:val="Heading1"/>
        <w:rPr>
          <w:color w:val="000000" w:themeColor="text1"/>
          <w:sz w:val="22"/>
        </w:rPr>
      </w:pPr>
      <w:r w:rsidRPr="00781112">
        <w:rPr>
          <w:color w:val="000000" w:themeColor="text1"/>
          <w:sz w:val="22"/>
        </w:rPr>
        <w:lastRenderedPageBreak/>
        <w:t>Indicator 11: Child Find</w:t>
      </w:r>
      <w:bookmarkEnd w:id="62"/>
      <w:bookmarkEnd w:id="63"/>
      <w:bookmarkEnd w:id="64"/>
    </w:p>
    <w:p w14:paraId="4F5D642D" w14:textId="77777777" w:rsidR="00E119B0" w:rsidRPr="00781112" w:rsidRDefault="00E119B0" w:rsidP="00A018D4">
      <w:pPr>
        <w:rPr>
          <w:color w:val="000000" w:themeColor="text1"/>
          <w:szCs w:val="20"/>
        </w:rPr>
      </w:pPr>
      <w:bookmarkStart w:id="65" w:name="_Toc384383353"/>
      <w:bookmarkStart w:id="66" w:name="_Toc392159321"/>
      <w:r w:rsidRPr="00781112">
        <w:rPr>
          <w:b/>
          <w:color w:val="000000" w:themeColor="text1"/>
          <w:sz w:val="20"/>
          <w:szCs w:val="20"/>
        </w:rPr>
        <w:t>Instructions and Measurement</w:t>
      </w:r>
    </w:p>
    <w:p w14:paraId="4ECD8CEF" w14:textId="094F874E" w:rsidR="001F3A65" w:rsidRPr="00781112" w:rsidRDefault="001F3A65" w:rsidP="00832807">
      <w:pPr>
        <w:rPr>
          <w:rFonts w:cs="Arial"/>
          <w:color w:val="000000" w:themeColor="text1"/>
          <w:szCs w:val="16"/>
        </w:rPr>
      </w:pPr>
      <w:r w:rsidRPr="00781112">
        <w:rPr>
          <w:rFonts w:cs="Arial"/>
          <w:b/>
          <w:color w:val="000000" w:themeColor="text1"/>
          <w:szCs w:val="16"/>
        </w:rPr>
        <w:t>Monitoring Priority</w:t>
      </w:r>
      <w:r w:rsidRPr="00781112">
        <w:rPr>
          <w:rFonts w:cs="Arial"/>
          <w:color w:val="000000" w:themeColor="text1"/>
          <w:szCs w:val="16"/>
        </w:rPr>
        <w:t>: Effective General Supervision Part B / Child Find</w:t>
      </w:r>
    </w:p>
    <w:p w14:paraId="56D17CB3" w14:textId="77777777" w:rsidR="003356F1" w:rsidRPr="00781112" w:rsidRDefault="001F3A65" w:rsidP="00832807">
      <w:pPr>
        <w:rPr>
          <w:rFonts w:cs="Arial"/>
          <w:color w:val="000000" w:themeColor="text1"/>
          <w:szCs w:val="16"/>
        </w:rPr>
      </w:pPr>
      <w:r w:rsidRPr="00781112">
        <w:rPr>
          <w:rFonts w:cs="Arial"/>
          <w:b/>
          <w:color w:val="000000" w:themeColor="text1"/>
          <w:szCs w:val="16"/>
        </w:rPr>
        <w:t>Compliance indicator</w:t>
      </w:r>
      <w:r w:rsidRPr="00781112">
        <w:rPr>
          <w:rFonts w:cs="Arial"/>
          <w:color w:val="000000" w:themeColor="text1"/>
          <w:szCs w:val="16"/>
        </w:rPr>
        <w:t xml:space="preserve">: Percent of children who were evaluated within 60 days of receiving parental consent for initial evaluation or, if the State establishes a timeframe within which the evaluation must be conducted, within that timeframe. </w:t>
      </w:r>
    </w:p>
    <w:p w14:paraId="3EA48C22" w14:textId="29F5D3F7" w:rsidR="001F3A65" w:rsidRPr="00781112" w:rsidRDefault="001F3A65" w:rsidP="00832807">
      <w:pPr>
        <w:rPr>
          <w:rFonts w:cs="Arial"/>
          <w:color w:val="000000" w:themeColor="text1"/>
          <w:szCs w:val="16"/>
        </w:rPr>
      </w:pPr>
      <w:r w:rsidRPr="00781112">
        <w:rPr>
          <w:rFonts w:cs="Arial"/>
          <w:color w:val="000000" w:themeColor="text1"/>
          <w:szCs w:val="16"/>
        </w:rPr>
        <w:t>(20 U.S.C. 1416(a)(3)(B))</w:t>
      </w:r>
    </w:p>
    <w:p w14:paraId="3DA9D44A" w14:textId="77777777" w:rsidR="003356F1" w:rsidRPr="00781112" w:rsidRDefault="003356F1" w:rsidP="004369B2">
      <w:pPr>
        <w:rPr>
          <w:color w:val="000000" w:themeColor="text1"/>
        </w:rPr>
      </w:pPr>
      <w:r w:rsidRPr="00781112">
        <w:rPr>
          <w:b/>
          <w:color w:val="000000" w:themeColor="text1"/>
        </w:rPr>
        <w:t>Data Source</w:t>
      </w:r>
    </w:p>
    <w:p w14:paraId="3741FEFD" w14:textId="2D50FC3E" w:rsidR="003356F1" w:rsidRPr="00781112" w:rsidRDefault="003356F1" w:rsidP="00286BDF">
      <w:pPr>
        <w:rPr>
          <w:rFonts w:cs="Arial"/>
          <w:color w:val="000000" w:themeColor="text1"/>
          <w:szCs w:val="16"/>
        </w:rPr>
      </w:pPr>
      <w:r w:rsidRPr="00781112">
        <w:rPr>
          <w:rFonts w:cs="Arial"/>
          <w:color w:val="000000" w:themeColor="text1"/>
          <w:szCs w:val="16"/>
          <w:shd w:val="clear" w:color="auto" w:fill="FFFFFF"/>
        </w:rPr>
        <w:t>Data to be taken from State monitoring or State data system and must be based on actual, not an average, number of days. Indicate if the State has established a timeline and, if so, what is the State’s timeline for initial evaluations.</w:t>
      </w:r>
    </w:p>
    <w:p w14:paraId="79DFFD28" w14:textId="77777777" w:rsidR="003356F1" w:rsidRPr="00781112" w:rsidRDefault="003356F1" w:rsidP="004369B2">
      <w:pPr>
        <w:rPr>
          <w:color w:val="000000" w:themeColor="text1"/>
        </w:rPr>
      </w:pPr>
      <w:r w:rsidRPr="00781112">
        <w:rPr>
          <w:b/>
          <w:color w:val="000000" w:themeColor="text1"/>
        </w:rPr>
        <w:t>Measurement</w:t>
      </w:r>
    </w:p>
    <w:p w14:paraId="6421FFFB" w14:textId="6BB4E0C2" w:rsidR="003356F1" w:rsidRPr="00781112" w:rsidRDefault="003F4D08" w:rsidP="006A01BD">
      <w:pPr>
        <w:spacing w:before="0" w:after="0"/>
        <w:ind w:firstLine="720"/>
        <w:rPr>
          <w:rFonts w:eastAsia="Times New Roman" w:cs="Arial"/>
          <w:color w:val="000000" w:themeColor="text1"/>
          <w:szCs w:val="16"/>
        </w:rPr>
      </w:pPr>
      <w:r w:rsidRPr="00781112">
        <w:rPr>
          <w:rFonts w:eastAsia="Times New Roman" w:cs="Arial"/>
          <w:color w:val="000000" w:themeColor="text1"/>
          <w:szCs w:val="16"/>
        </w:rPr>
        <w:t>a. # of children for whom parental consent to evaluate was received.</w:t>
      </w:r>
    </w:p>
    <w:p w14:paraId="07661B9A" w14:textId="43097164" w:rsidR="003356F1" w:rsidRPr="00781112" w:rsidRDefault="003F4D08" w:rsidP="006A01BD">
      <w:pPr>
        <w:spacing w:before="0" w:after="0"/>
        <w:ind w:firstLine="720"/>
        <w:rPr>
          <w:rFonts w:eastAsia="Times New Roman" w:cs="Arial"/>
          <w:color w:val="000000" w:themeColor="text1"/>
          <w:szCs w:val="16"/>
        </w:rPr>
      </w:pPr>
      <w:r w:rsidRPr="00781112">
        <w:rPr>
          <w:rFonts w:eastAsia="Times New Roman" w:cs="Arial"/>
          <w:color w:val="000000" w:themeColor="text1"/>
          <w:szCs w:val="16"/>
        </w:rPr>
        <w:t>b. # of children whose evaluations were completed within 60 days (or State-established timeline).</w:t>
      </w:r>
    </w:p>
    <w:p w14:paraId="733D8722" w14:textId="77777777" w:rsidR="003356F1" w:rsidRPr="00781112" w:rsidRDefault="003356F1" w:rsidP="006A01BD">
      <w:pPr>
        <w:spacing w:before="0" w:after="210"/>
        <w:ind w:left="720"/>
        <w:rPr>
          <w:rFonts w:eastAsia="Times New Roman" w:cs="Arial"/>
          <w:color w:val="000000" w:themeColor="text1"/>
          <w:szCs w:val="16"/>
        </w:rPr>
      </w:pPr>
      <w:proofErr w:type="gramStart"/>
      <w:r w:rsidRPr="00781112">
        <w:rPr>
          <w:rFonts w:eastAsia="Times New Roman" w:cs="Arial"/>
          <w:color w:val="000000" w:themeColor="text1"/>
          <w:szCs w:val="16"/>
        </w:rPr>
        <w:t>Account</w:t>
      </w:r>
      <w:proofErr w:type="gramEnd"/>
      <w:r w:rsidRPr="00781112">
        <w:rPr>
          <w:rFonts w:eastAsia="Times New Roman" w:cs="Arial"/>
          <w:color w:val="000000" w:themeColor="text1"/>
          <w:szCs w:val="16"/>
        </w:rPr>
        <w:t xml:space="preserve"> for children included in (a), but not included in (b). Indicate the range of days beyond the timeline when the evaluation was completed and any reasons for the delays.</w:t>
      </w:r>
    </w:p>
    <w:p w14:paraId="1A76194B" w14:textId="382D2A54" w:rsidR="003356F1" w:rsidRPr="00781112" w:rsidRDefault="003356F1" w:rsidP="006A01BD">
      <w:pPr>
        <w:spacing w:before="0" w:after="210"/>
        <w:ind w:firstLine="720"/>
        <w:rPr>
          <w:rFonts w:eastAsia="Times New Roman" w:cs="Arial"/>
          <w:color w:val="000000" w:themeColor="text1"/>
          <w:szCs w:val="16"/>
        </w:rPr>
      </w:pPr>
      <w:r w:rsidRPr="00781112">
        <w:rPr>
          <w:rFonts w:eastAsia="Times New Roman" w:cs="Arial"/>
          <w:color w:val="000000" w:themeColor="text1"/>
          <w:szCs w:val="16"/>
        </w:rPr>
        <w:t>Percent = [(b) divided by (a)] times 100.</w:t>
      </w:r>
    </w:p>
    <w:p w14:paraId="5F28023C" w14:textId="77777777" w:rsidR="003356F1" w:rsidRPr="00781112" w:rsidRDefault="003356F1" w:rsidP="004369B2">
      <w:pPr>
        <w:rPr>
          <w:color w:val="000000" w:themeColor="text1"/>
        </w:rPr>
      </w:pPr>
      <w:r w:rsidRPr="00781112">
        <w:rPr>
          <w:b/>
          <w:color w:val="000000" w:themeColor="text1"/>
        </w:rPr>
        <w:t>Instructions</w:t>
      </w:r>
    </w:p>
    <w:p w14:paraId="3DD8C135" w14:textId="77777777" w:rsidR="003356F1" w:rsidRPr="00781112" w:rsidRDefault="003356F1" w:rsidP="00286BDF">
      <w:pPr>
        <w:rPr>
          <w:rFonts w:cs="Arial"/>
          <w:i/>
          <w:iCs/>
          <w:color w:val="000000" w:themeColor="text1"/>
          <w:szCs w:val="16"/>
        </w:rPr>
      </w:pPr>
      <w:r w:rsidRPr="00781112">
        <w:rPr>
          <w:rFonts w:cs="Arial"/>
          <w:i/>
          <w:iCs/>
          <w:color w:val="000000" w:themeColor="text1"/>
          <w:szCs w:val="16"/>
        </w:rPr>
        <w:t xml:space="preserve">If data are from State monitoring, describe the method used to select LEAs for monitoring. If data </w:t>
      </w:r>
      <w:proofErr w:type="gramStart"/>
      <w:r w:rsidRPr="00781112">
        <w:rPr>
          <w:rFonts w:cs="Arial"/>
          <w:i/>
          <w:iCs/>
          <w:color w:val="000000" w:themeColor="text1"/>
          <w:szCs w:val="16"/>
        </w:rPr>
        <w:t>are</w:t>
      </w:r>
      <w:proofErr w:type="gramEnd"/>
      <w:r w:rsidRPr="00781112">
        <w:rPr>
          <w:rFonts w:cs="Arial"/>
          <w:i/>
          <w:iCs/>
          <w:color w:val="000000" w:themeColor="text1"/>
          <w:szCs w:val="16"/>
        </w:rPr>
        <w:t xml:space="preserve"> from a </w:t>
      </w:r>
      <w:proofErr w:type="gramStart"/>
      <w:r w:rsidRPr="00781112">
        <w:rPr>
          <w:rFonts w:cs="Arial"/>
          <w:i/>
          <w:iCs/>
          <w:color w:val="000000" w:themeColor="text1"/>
          <w:szCs w:val="16"/>
        </w:rPr>
        <w:t>State</w:t>
      </w:r>
      <w:proofErr w:type="gramEnd"/>
      <w:r w:rsidRPr="00781112">
        <w:rPr>
          <w:rFonts w:cs="Arial"/>
          <w:i/>
          <w:iCs/>
          <w:color w:val="000000" w:themeColor="text1"/>
          <w:szCs w:val="16"/>
        </w:rPr>
        <w:t xml:space="preserve"> database, include data for the entire reporting year.</w:t>
      </w:r>
    </w:p>
    <w:p w14:paraId="3F78D968" w14:textId="77777777" w:rsidR="003356F1" w:rsidRPr="00781112" w:rsidRDefault="003356F1" w:rsidP="00286BDF">
      <w:pPr>
        <w:rPr>
          <w:rFonts w:cs="Arial"/>
          <w:color w:val="000000" w:themeColor="text1"/>
          <w:szCs w:val="16"/>
        </w:rPr>
      </w:pPr>
      <w:r w:rsidRPr="00781112">
        <w:rPr>
          <w:rFonts w:cs="Arial"/>
          <w:color w:val="000000" w:themeColor="text1"/>
          <w:szCs w:val="16"/>
        </w:rPr>
        <w:t>Describe the results of the calculations and compare the results to the target. Describe the method used to collect these data, and if data are from the State’s monitoring, describe the procedures used to collect these data. Provide the actual numbers used in the calculation.</w:t>
      </w:r>
    </w:p>
    <w:p w14:paraId="1A394BBE" w14:textId="77777777" w:rsidR="003356F1" w:rsidRPr="00781112" w:rsidRDefault="003356F1" w:rsidP="00286BDF">
      <w:pPr>
        <w:rPr>
          <w:rFonts w:cs="Arial"/>
          <w:color w:val="000000" w:themeColor="text1"/>
          <w:szCs w:val="16"/>
        </w:rPr>
      </w:pPr>
      <w:r w:rsidRPr="00781112">
        <w:rPr>
          <w:rFonts w:cs="Arial"/>
          <w:color w:val="000000" w:themeColor="text1"/>
          <w:szCs w:val="16"/>
        </w:rPr>
        <w:t>Note that under 34 CFR §300.301(d), the timeframe set for initial evaluation does not apply to a public agency if: (1) the parent of a child repeatedly fails or refuses to produce the child for the evaluation; or (2) a child enrolls in a school of another public agency after the timeframe for initial evaluations has begun, and prior to a determination by the child’s previous public agency as to whether the child is a child with a disability. States should not report these exceptions in either the numerator (b) or denominator (a). If the State-established timeframe provides for exceptions through State regulation or policy, describe cases falling within those exceptions and include in b.</w:t>
      </w:r>
    </w:p>
    <w:p w14:paraId="231B6D26" w14:textId="77777777" w:rsidR="003356F1" w:rsidRPr="00781112" w:rsidRDefault="003356F1" w:rsidP="00286BDF">
      <w:pPr>
        <w:rPr>
          <w:rFonts w:cs="Arial"/>
          <w:color w:val="000000" w:themeColor="text1"/>
          <w:szCs w:val="16"/>
        </w:rPr>
      </w:pPr>
      <w:r w:rsidRPr="00781112">
        <w:rPr>
          <w:rFonts w:cs="Arial"/>
          <w:color w:val="000000" w:themeColor="text1"/>
          <w:szCs w:val="16"/>
        </w:rPr>
        <w:t>Targets must be 100%.</w:t>
      </w:r>
    </w:p>
    <w:p w14:paraId="6E371C53" w14:textId="01B44093" w:rsidR="003356F1" w:rsidRPr="00781112" w:rsidRDefault="003356F1" w:rsidP="00286BDF">
      <w:pPr>
        <w:rPr>
          <w:rFonts w:cs="Arial"/>
          <w:color w:val="000000" w:themeColor="text1"/>
          <w:szCs w:val="16"/>
        </w:rPr>
      </w:pPr>
      <w:r w:rsidRPr="00781112">
        <w:rPr>
          <w:rFonts w:cs="Arial"/>
          <w:color w:val="000000" w:themeColor="text1"/>
          <w:szCs w:val="16"/>
        </w:rPr>
        <w:t xml:space="preserve">Provide detailed information about the timely correction of </w:t>
      </w:r>
      <w:bookmarkStart w:id="67" w:name="_Hlk150864333"/>
      <w:r w:rsidR="005F55E8" w:rsidRPr="005F55E8">
        <w:rPr>
          <w:rFonts w:cs="Arial"/>
          <w:color w:val="000000" w:themeColor="text1"/>
          <w:szCs w:val="16"/>
        </w:rPr>
        <w:t>child-specific and regulatory/systemic</w:t>
      </w:r>
      <w:r w:rsidR="005F55E8">
        <w:rPr>
          <w:sz w:val="20"/>
          <w:szCs w:val="14"/>
        </w:rPr>
        <w:t xml:space="preserve"> </w:t>
      </w:r>
      <w:bookmarkEnd w:id="67"/>
      <w:r w:rsidRPr="00781112">
        <w:rPr>
          <w:rFonts w:cs="Arial"/>
          <w:color w:val="000000" w:themeColor="text1"/>
          <w:szCs w:val="16"/>
        </w:rPr>
        <w:t>noncompliance as noted in OSEP’s response for the previous SPP/APR. If the State did not ensure timely correction of the previous noncompliance, provide information on the extent to which noncompliance was subsequently corrected (more than one year after identification). In addition, provide information regarding the nature of any continuing noncompliance, improvement activities completed (e.g., review of policies and procedures, technical assistance, training) and any enforcement actions that were taken.</w:t>
      </w:r>
    </w:p>
    <w:p w14:paraId="53468DF8" w14:textId="4CBD8A16" w:rsidR="003356F1" w:rsidRPr="00781112" w:rsidRDefault="007A3964" w:rsidP="00286BDF">
      <w:pPr>
        <w:rPr>
          <w:rFonts w:cs="Arial"/>
          <w:color w:val="000000" w:themeColor="text1"/>
          <w:szCs w:val="16"/>
        </w:rPr>
      </w:pPr>
      <w:r w:rsidRPr="00781112">
        <w:rPr>
          <w:rFonts w:cs="Arial"/>
          <w:color w:val="000000" w:themeColor="text1"/>
          <w:szCs w:val="16"/>
        </w:rPr>
        <w:t>If the State reported less than 100% compliance for the previous reporting period (e.g., for the FFY 2022 SPP/APR, the data for FFY 2021), and the State did not identify any findings of noncompliance, provide an explanation of why the State did not identify any findings of noncompliance.</w:t>
      </w:r>
    </w:p>
    <w:p w14:paraId="4CA3F78B" w14:textId="72C271DF" w:rsidR="00DB20BC" w:rsidRPr="00781112" w:rsidRDefault="00C22B92" w:rsidP="00123D76">
      <w:pPr>
        <w:pStyle w:val="Heading2"/>
      </w:pPr>
      <w:bookmarkStart w:id="68" w:name="_Toc384383354"/>
      <w:bookmarkStart w:id="69" w:name="_Toc392159322"/>
      <w:bookmarkEnd w:id="65"/>
      <w:bookmarkEnd w:id="66"/>
      <w:r w:rsidRPr="00781112">
        <w:t>11</w:t>
      </w:r>
      <w:r w:rsidR="00596F4D" w:rsidRPr="00781112">
        <w:t xml:space="preserve"> </w:t>
      </w:r>
      <w:r w:rsidRPr="00781112">
        <w:t xml:space="preserve">- </w:t>
      </w:r>
      <w:r w:rsidR="00DB20BC" w:rsidRPr="00781112">
        <w:t>Indicator Data</w:t>
      </w:r>
    </w:p>
    <w:p w14:paraId="7C465821" w14:textId="6E27EB07" w:rsidR="00B6413B" w:rsidRPr="00781112" w:rsidRDefault="00B6413B" w:rsidP="004369B2">
      <w:pPr>
        <w:rPr>
          <w:b/>
          <w:color w:val="000000" w:themeColor="text1"/>
        </w:rPr>
      </w:pPr>
      <w:r w:rsidRPr="00781112">
        <w:rPr>
          <w:b/>
          <w:color w:val="000000" w:themeColor="text1"/>
        </w:rPr>
        <w:t>Historical Data</w:t>
      </w:r>
    </w:p>
    <w:tbl>
      <w:tblPr>
        <w:tblStyle w:val="TableGrid"/>
        <w:tblW w:w="0" w:type="auto"/>
        <w:tblLayout w:type="fixed"/>
        <w:tblLook w:val="04A0" w:firstRow="1" w:lastRow="0" w:firstColumn="1" w:lastColumn="0" w:noHBand="0" w:noVBand="1"/>
        <w:tblCaption w:val="B11BASELINEDATA"/>
      </w:tblPr>
      <w:tblGrid>
        <w:gridCol w:w="1797"/>
        <w:gridCol w:w="1798"/>
      </w:tblGrid>
      <w:tr w:rsidR="00126B45" w:rsidRPr="00781112" w14:paraId="1E9ECD4B" w14:textId="77777777" w:rsidTr="00123D76">
        <w:trPr>
          <w:trHeight w:val="311"/>
          <w:tblHeader/>
        </w:trPr>
        <w:tc>
          <w:tcPr>
            <w:tcW w:w="1797" w:type="dxa"/>
          </w:tcPr>
          <w:p w14:paraId="7AF55935" w14:textId="77777777" w:rsidR="00126B45" w:rsidRPr="00781112" w:rsidRDefault="00126B45" w:rsidP="00123D76">
            <w:pPr>
              <w:jc w:val="center"/>
              <w:rPr>
                <w:b/>
                <w:color w:val="000000" w:themeColor="text1"/>
              </w:rPr>
            </w:pPr>
            <w:r w:rsidRPr="00781112">
              <w:rPr>
                <w:rFonts w:cs="Arial"/>
                <w:b/>
                <w:color w:val="000000" w:themeColor="text1"/>
                <w:szCs w:val="16"/>
              </w:rPr>
              <w:t>Baseline Year</w:t>
            </w:r>
          </w:p>
        </w:tc>
        <w:tc>
          <w:tcPr>
            <w:tcW w:w="1798" w:type="dxa"/>
          </w:tcPr>
          <w:p w14:paraId="316C30F4" w14:textId="77777777" w:rsidR="00126B45" w:rsidRPr="00781112" w:rsidRDefault="00126B45" w:rsidP="00123D76">
            <w:pPr>
              <w:jc w:val="center"/>
              <w:rPr>
                <w:b/>
                <w:color w:val="000000" w:themeColor="text1"/>
              </w:rPr>
            </w:pPr>
            <w:r w:rsidRPr="00781112">
              <w:rPr>
                <w:b/>
                <w:color w:val="000000" w:themeColor="text1"/>
              </w:rPr>
              <w:t>Baseline Data</w:t>
            </w:r>
          </w:p>
        </w:tc>
      </w:tr>
      <w:tr w:rsidR="00126B45" w:rsidRPr="00781112" w14:paraId="1CE17451" w14:textId="77777777" w:rsidTr="00123D76">
        <w:trPr>
          <w:trHeight w:val="311"/>
        </w:trPr>
        <w:tc>
          <w:tcPr>
            <w:tcW w:w="1797" w:type="dxa"/>
            <w:vAlign w:val="center"/>
          </w:tcPr>
          <w:p w14:paraId="4D36891E" w14:textId="227D3313" w:rsidR="00126B45" w:rsidRPr="00781112" w:rsidRDefault="00126B45" w:rsidP="00123D76">
            <w:pPr>
              <w:jc w:val="center"/>
              <w:rPr>
                <w:bCs/>
                <w:color w:val="000000" w:themeColor="text1"/>
              </w:rPr>
            </w:pPr>
            <w:r w:rsidRPr="00781112">
              <w:rPr>
                <w:bCs/>
                <w:color w:val="000000" w:themeColor="text1"/>
              </w:rPr>
              <w:t>2005</w:t>
            </w:r>
          </w:p>
        </w:tc>
        <w:tc>
          <w:tcPr>
            <w:tcW w:w="1798" w:type="dxa"/>
            <w:vAlign w:val="center"/>
          </w:tcPr>
          <w:p w14:paraId="403719B1" w14:textId="522EF75C" w:rsidR="00126B45" w:rsidRPr="00781112" w:rsidRDefault="00126B45" w:rsidP="00123D76">
            <w:pPr>
              <w:jc w:val="center"/>
              <w:rPr>
                <w:bCs/>
                <w:color w:val="000000" w:themeColor="text1"/>
              </w:rPr>
            </w:pPr>
            <w:r w:rsidRPr="00781112">
              <w:rPr>
                <w:bCs/>
                <w:color w:val="000000" w:themeColor="text1"/>
              </w:rPr>
              <w:t>84.60%</w:t>
            </w:r>
          </w:p>
        </w:tc>
      </w:tr>
    </w:tbl>
    <w:p w14:paraId="0C706E5F" w14:textId="77777777" w:rsidR="00126B45" w:rsidRPr="00781112" w:rsidRDefault="00126B45" w:rsidP="004369B2">
      <w:pPr>
        <w:rPr>
          <w:color w:val="000000" w:themeColor="text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B11HISTDATA"/>
      </w:tblPr>
      <w:tblGrid>
        <w:gridCol w:w="1798"/>
        <w:gridCol w:w="1798"/>
        <w:gridCol w:w="1798"/>
        <w:gridCol w:w="1798"/>
        <w:gridCol w:w="1798"/>
        <w:gridCol w:w="1800"/>
      </w:tblGrid>
      <w:tr w:rsidR="005C29F8" w:rsidRPr="00781112" w14:paraId="185735BC" w14:textId="77777777" w:rsidTr="005F2FF9">
        <w:trPr>
          <w:trHeight w:val="350"/>
        </w:trPr>
        <w:tc>
          <w:tcPr>
            <w:tcW w:w="833" w:type="pct"/>
            <w:tcBorders>
              <w:bottom w:val="single" w:sz="4" w:space="0" w:color="auto"/>
            </w:tcBorders>
            <w:shd w:val="clear" w:color="auto" w:fill="auto"/>
          </w:tcPr>
          <w:p w14:paraId="40BFC57F" w14:textId="77777777" w:rsidR="00B6413B" w:rsidRPr="00781112" w:rsidRDefault="00B6413B" w:rsidP="004369B2">
            <w:pPr>
              <w:jc w:val="center"/>
              <w:rPr>
                <w:rFonts w:cs="Arial"/>
                <w:b/>
                <w:color w:val="000000" w:themeColor="text1"/>
                <w:szCs w:val="16"/>
              </w:rPr>
            </w:pPr>
            <w:r w:rsidRPr="00781112">
              <w:rPr>
                <w:rFonts w:cs="Arial"/>
                <w:b/>
                <w:color w:val="000000" w:themeColor="text1"/>
                <w:szCs w:val="16"/>
              </w:rPr>
              <w:t>FFY</w:t>
            </w:r>
          </w:p>
        </w:tc>
        <w:tc>
          <w:tcPr>
            <w:tcW w:w="833" w:type="pct"/>
            <w:shd w:val="clear" w:color="auto" w:fill="auto"/>
          </w:tcPr>
          <w:p w14:paraId="180872C1" w14:textId="09E6591B" w:rsidR="00B6413B" w:rsidRPr="00781112" w:rsidRDefault="002B7490" w:rsidP="00B6413B">
            <w:pPr>
              <w:jc w:val="center"/>
              <w:rPr>
                <w:rFonts w:cs="Arial"/>
                <w:b/>
                <w:color w:val="000000" w:themeColor="text1"/>
                <w:szCs w:val="16"/>
              </w:rPr>
            </w:pPr>
            <w:r w:rsidRPr="00781112">
              <w:rPr>
                <w:rFonts w:cs="Arial"/>
                <w:b/>
                <w:color w:val="000000" w:themeColor="text1"/>
                <w:szCs w:val="16"/>
              </w:rPr>
              <w:t>2017</w:t>
            </w:r>
          </w:p>
        </w:tc>
        <w:tc>
          <w:tcPr>
            <w:tcW w:w="833" w:type="pct"/>
            <w:shd w:val="clear" w:color="auto" w:fill="auto"/>
          </w:tcPr>
          <w:p w14:paraId="172712E2" w14:textId="17CB7B21" w:rsidR="00B6413B" w:rsidRPr="00781112" w:rsidRDefault="002B7490" w:rsidP="00B6413B">
            <w:pPr>
              <w:jc w:val="center"/>
              <w:rPr>
                <w:rFonts w:cs="Arial"/>
                <w:b/>
                <w:color w:val="000000" w:themeColor="text1"/>
                <w:szCs w:val="16"/>
              </w:rPr>
            </w:pPr>
            <w:r w:rsidRPr="00781112">
              <w:rPr>
                <w:rFonts w:cs="Arial"/>
                <w:b/>
                <w:color w:val="000000" w:themeColor="text1"/>
                <w:szCs w:val="16"/>
              </w:rPr>
              <w:t>2018</w:t>
            </w:r>
          </w:p>
        </w:tc>
        <w:tc>
          <w:tcPr>
            <w:tcW w:w="833" w:type="pct"/>
            <w:shd w:val="clear" w:color="auto" w:fill="auto"/>
          </w:tcPr>
          <w:p w14:paraId="510C277D" w14:textId="7361F007" w:rsidR="00B6413B" w:rsidRPr="00781112" w:rsidRDefault="002B7490" w:rsidP="00B6413B">
            <w:pPr>
              <w:jc w:val="center"/>
              <w:rPr>
                <w:rFonts w:cs="Arial"/>
                <w:b/>
                <w:color w:val="000000" w:themeColor="text1"/>
                <w:szCs w:val="16"/>
              </w:rPr>
            </w:pPr>
            <w:r w:rsidRPr="00781112">
              <w:rPr>
                <w:rFonts w:cs="Arial"/>
                <w:b/>
                <w:color w:val="000000" w:themeColor="text1"/>
                <w:szCs w:val="16"/>
              </w:rPr>
              <w:t>2019</w:t>
            </w:r>
          </w:p>
        </w:tc>
        <w:tc>
          <w:tcPr>
            <w:tcW w:w="833" w:type="pct"/>
            <w:shd w:val="clear" w:color="auto" w:fill="auto"/>
          </w:tcPr>
          <w:p w14:paraId="5A53D9E0" w14:textId="2FECDD8F" w:rsidR="00B6413B" w:rsidRPr="00781112" w:rsidRDefault="002B7490" w:rsidP="00B6413B">
            <w:pPr>
              <w:jc w:val="center"/>
              <w:rPr>
                <w:rFonts w:cs="Arial"/>
                <w:b/>
                <w:color w:val="000000" w:themeColor="text1"/>
                <w:szCs w:val="16"/>
              </w:rPr>
            </w:pPr>
            <w:r w:rsidRPr="00781112">
              <w:rPr>
                <w:rFonts w:cs="Arial"/>
                <w:b/>
                <w:color w:val="000000" w:themeColor="text1"/>
                <w:szCs w:val="16"/>
              </w:rPr>
              <w:t>2020</w:t>
            </w:r>
          </w:p>
        </w:tc>
        <w:tc>
          <w:tcPr>
            <w:tcW w:w="834" w:type="pct"/>
            <w:shd w:val="clear" w:color="auto" w:fill="auto"/>
          </w:tcPr>
          <w:p w14:paraId="5DDA3CB1" w14:textId="7CA07026" w:rsidR="00B6413B" w:rsidRPr="00781112" w:rsidRDefault="002B7490" w:rsidP="00B6413B">
            <w:pPr>
              <w:jc w:val="center"/>
              <w:rPr>
                <w:rFonts w:cs="Arial"/>
                <w:b/>
                <w:color w:val="000000" w:themeColor="text1"/>
                <w:szCs w:val="16"/>
              </w:rPr>
            </w:pPr>
            <w:r w:rsidRPr="00781112">
              <w:rPr>
                <w:rFonts w:cs="Arial"/>
                <w:b/>
                <w:color w:val="000000" w:themeColor="text1"/>
                <w:szCs w:val="16"/>
              </w:rPr>
              <w:t>2021</w:t>
            </w:r>
          </w:p>
        </w:tc>
      </w:tr>
      <w:tr w:rsidR="005C29F8" w:rsidRPr="00781112" w14:paraId="1D8C5E85" w14:textId="77777777" w:rsidTr="005F2FF9">
        <w:trPr>
          <w:trHeight w:val="357"/>
        </w:trPr>
        <w:tc>
          <w:tcPr>
            <w:tcW w:w="833" w:type="pct"/>
            <w:shd w:val="clear" w:color="auto" w:fill="auto"/>
          </w:tcPr>
          <w:p w14:paraId="64B52232" w14:textId="1F81B17C" w:rsidR="00B6413B" w:rsidRPr="00781112" w:rsidRDefault="00B6413B" w:rsidP="00BA3DBE">
            <w:pPr>
              <w:jc w:val="center"/>
              <w:rPr>
                <w:rFonts w:cs="Arial"/>
                <w:color w:val="000000" w:themeColor="text1"/>
                <w:szCs w:val="16"/>
              </w:rPr>
            </w:pPr>
            <w:r w:rsidRPr="00781112">
              <w:rPr>
                <w:rFonts w:cs="Arial"/>
                <w:color w:val="000000" w:themeColor="text1"/>
                <w:szCs w:val="16"/>
              </w:rPr>
              <w:t>Target</w:t>
            </w:r>
          </w:p>
        </w:tc>
        <w:tc>
          <w:tcPr>
            <w:tcW w:w="833" w:type="pct"/>
            <w:shd w:val="clear" w:color="auto" w:fill="auto"/>
          </w:tcPr>
          <w:p w14:paraId="13EDBB26" w14:textId="03929D2F" w:rsidR="00B6413B" w:rsidRPr="00781112" w:rsidRDefault="00B16A26">
            <w:pPr>
              <w:jc w:val="center"/>
              <w:rPr>
                <w:rFonts w:cs="Arial"/>
                <w:color w:val="000000" w:themeColor="text1"/>
                <w:szCs w:val="16"/>
              </w:rPr>
            </w:pPr>
            <w:r w:rsidRPr="00781112">
              <w:rPr>
                <w:rFonts w:cs="Arial"/>
                <w:color w:val="000000" w:themeColor="text1"/>
                <w:szCs w:val="16"/>
              </w:rPr>
              <w:t>100%</w:t>
            </w:r>
          </w:p>
        </w:tc>
        <w:tc>
          <w:tcPr>
            <w:tcW w:w="833" w:type="pct"/>
            <w:shd w:val="clear" w:color="auto" w:fill="auto"/>
          </w:tcPr>
          <w:p w14:paraId="22315242" w14:textId="2AA4BC03" w:rsidR="00B6413B" w:rsidRPr="00781112" w:rsidRDefault="00B16A26">
            <w:pPr>
              <w:jc w:val="center"/>
              <w:rPr>
                <w:rFonts w:cs="Arial"/>
                <w:color w:val="000000" w:themeColor="text1"/>
                <w:szCs w:val="16"/>
              </w:rPr>
            </w:pPr>
            <w:r w:rsidRPr="00781112">
              <w:rPr>
                <w:rFonts w:cs="Arial"/>
                <w:color w:val="000000" w:themeColor="text1"/>
                <w:szCs w:val="16"/>
              </w:rPr>
              <w:t>100%</w:t>
            </w:r>
          </w:p>
        </w:tc>
        <w:tc>
          <w:tcPr>
            <w:tcW w:w="833" w:type="pct"/>
            <w:shd w:val="clear" w:color="auto" w:fill="auto"/>
          </w:tcPr>
          <w:p w14:paraId="592D8352" w14:textId="0CCD91D0" w:rsidR="00B6413B" w:rsidRPr="00781112" w:rsidRDefault="00B16A26">
            <w:pPr>
              <w:jc w:val="center"/>
              <w:rPr>
                <w:rFonts w:cs="Arial"/>
                <w:color w:val="000000" w:themeColor="text1"/>
                <w:szCs w:val="16"/>
              </w:rPr>
            </w:pPr>
            <w:r w:rsidRPr="00781112">
              <w:rPr>
                <w:rFonts w:cs="Arial"/>
                <w:color w:val="000000" w:themeColor="text1"/>
                <w:szCs w:val="16"/>
              </w:rPr>
              <w:t>100%</w:t>
            </w:r>
          </w:p>
        </w:tc>
        <w:tc>
          <w:tcPr>
            <w:tcW w:w="833" w:type="pct"/>
            <w:shd w:val="clear" w:color="auto" w:fill="auto"/>
          </w:tcPr>
          <w:p w14:paraId="4213B65B" w14:textId="455FA06B" w:rsidR="00B6413B" w:rsidRPr="00781112" w:rsidRDefault="00B16A26">
            <w:pPr>
              <w:jc w:val="center"/>
              <w:rPr>
                <w:rFonts w:cs="Arial"/>
                <w:color w:val="000000" w:themeColor="text1"/>
                <w:szCs w:val="16"/>
              </w:rPr>
            </w:pPr>
            <w:r w:rsidRPr="00781112">
              <w:rPr>
                <w:rFonts w:cs="Arial"/>
                <w:color w:val="000000" w:themeColor="text1"/>
                <w:szCs w:val="16"/>
              </w:rPr>
              <w:t>100%</w:t>
            </w:r>
          </w:p>
        </w:tc>
        <w:tc>
          <w:tcPr>
            <w:tcW w:w="834" w:type="pct"/>
            <w:shd w:val="clear" w:color="auto" w:fill="auto"/>
          </w:tcPr>
          <w:p w14:paraId="0947AB89" w14:textId="009A0A22" w:rsidR="00B6413B" w:rsidRPr="00781112" w:rsidRDefault="00B16A26">
            <w:pPr>
              <w:jc w:val="center"/>
              <w:rPr>
                <w:rFonts w:cs="Arial"/>
                <w:color w:val="000000" w:themeColor="text1"/>
                <w:szCs w:val="16"/>
              </w:rPr>
            </w:pPr>
            <w:r w:rsidRPr="00781112">
              <w:rPr>
                <w:rFonts w:cs="Arial"/>
                <w:color w:val="000000" w:themeColor="text1"/>
                <w:szCs w:val="16"/>
              </w:rPr>
              <w:t>100%</w:t>
            </w:r>
          </w:p>
        </w:tc>
      </w:tr>
      <w:tr w:rsidR="005C29F8" w:rsidRPr="00781112" w14:paraId="034A91A9" w14:textId="77777777" w:rsidTr="005F2FF9">
        <w:trPr>
          <w:trHeight w:val="85"/>
        </w:trPr>
        <w:tc>
          <w:tcPr>
            <w:tcW w:w="833" w:type="pct"/>
            <w:shd w:val="clear" w:color="auto" w:fill="auto"/>
          </w:tcPr>
          <w:p w14:paraId="2D12CD30" w14:textId="77777777" w:rsidR="00B6413B" w:rsidRPr="00781112" w:rsidRDefault="00B6413B" w:rsidP="00BA3DBE">
            <w:pPr>
              <w:jc w:val="center"/>
              <w:rPr>
                <w:rFonts w:cs="Arial"/>
                <w:color w:val="000000" w:themeColor="text1"/>
                <w:szCs w:val="16"/>
              </w:rPr>
            </w:pPr>
            <w:r w:rsidRPr="00781112">
              <w:rPr>
                <w:rFonts w:cs="Arial"/>
                <w:color w:val="000000" w:themeColor="text1"/>
                <w:szCs w:val="16"/>
              </w:rPr>
              <w:t>Data</w:t>
            </w:r>
          </w:p>
        </w:tc>
        <w:tc>
          <w:tcPr>
            <w:tcW w:w="833" w:type="pct"/>
            <w:shd w:val="clear" w:color="auto" w:fill="auto"/>
          </w:tcPr>
          <w:p w14:paraId="45567F1B" w14:textId="15BD6387" w:rsidR="00B6413B" w:rsidRPr="00781112" w:rsidRDefault="002B7490" w:rsidP="00A018D4">
            <w:pPr>
              <w:jc w:val="center"/>
              <w:rPr>
                <w:rFonts w:cs="Arial"/>
                <w:color w:val="000000" w:themeColor="text1"/>
                <w:szCs w:val="16"/>
              </w:rPr>
            </w:pPr>
            <w:r w:rsidRPr="00781112">
              <w:rPr>
                <w:rFonts w:cs="Arial"/>
                <w:color w:val="000000" w:themeColor="text1"/>
                <w:szCs w:val="16"/>
              </w:rPr>
              <w:t>98.03%</w:t>
            </w:r>
          </w:p>
        </w:tc>
        <w:tc>
          <w:tcPr>
            <w:tcW w:w="833" w:type="pct"/>
            <w:shd w:val="clear" w:color="auto" w:fill="auto"/>
          </w:tcPr>
          <w:p w14:paraId="22571264" w14:textId="18DEE061" w:rsidR="00B6413B" w:rsidRPr="00781112" w:rsidRDefault="002B7490" w:rsidP="00A018D4">
            <w:pPr>
              <w:jc w:val="center"/>
              <w:rPr>
                <w:rFonts w:cs="Arial"/>
                <w:color w:val="000000" w:themeColor="text1"/>
                <w:szCs w:val="16"/>
              </w:rPr>
            </w:pPr>
            <w:r w:rsidRPr="00781112">
              <w:rPr>
                <w:rFonts w:cs="Arial"/>
                <w:color w:val="000000" w:themeColor="text1"/>
                <w:szCs w:val="16"/>
              </w:rPr>
              <w:t>98.39%</w:t>
            </w:r>
          </w:p>
        </w:tc>
        <w:tc>
          <w:tcPr>
            <w:tcW w:w="833" w:type="pct"/>
            <w:tcBorders>
              <w:bottom w:val="single" w:sz="4" w:space="0" w:color="auto"/>
            </w:tcBorders>
            <w:shd w:val="clear" w:color="auto" w:fill="auto"/>
            <w:vAlign w:val="center"/>
          </w:tcPr>
          <w:p w14:paraId="0169492B" w14:textId="35C25712" w:rsidR="00B6413B" w:rsidRPr="00781112" w:rsidRDefault="002B7490" w:rsidP="00A018D4">
            <w:pPr>
              <w:jc w:val="center"/>
              <w:rPr>
                <w:rFonts w:cs="Arial"/>
                <w:color w:val="000000" w:themeColor="text1"/>
                <w:szCs w:val="16"/>
              </w:rPr>
            </w:pPr>
            <w:r w:rsidRPr="00781112">
              <w:rPr>
                <w:rFonts w:cs="Arial"/>
                <w:color w:val="000000" w:themeColor="text1"/>
                <w:szCs w:val="16"/>
              </w:rPr>
              <w:t>95.70%</w:t>
            </w:r>
          </w:p>
        </w:tc>
        <w:tc>
          <w:tcPr>
            <w:tcW w:w="833" w:type="pct"/>
            <w:tcBorders>
              <w:bottom w:val="single" w:sz="4" w:space="0" w:color="auto"/>
            </w:tcBorders>
            <w:shd w:val="clear" w:color="auto" w:fill="auto"/>
            <w:vAlign w:val="center"/>
          </w:tcPr>
          <w:p w14:paraId="3F28AAFF" w14:textId="54CE0344" w:rsidR="00B6413B" w:rsidRPr="00781112" w:rsidRDefault="002B7490" w:rsidP="00A018D4">
            <w:pPr>
              <w:jc w:val="center"/>
              <w:rPr>
                <w:rFonts w:cs="Arial"/>
                <w:color w:val="000000" w:themeColor="text1"/>
                <w:szCs w:val="16"/>
              </w:rPr>
            </w:pPr>
            <w:r w:rsidRPr="00781112">
              <w:rPr>
                <w:rFonts w:cs="Arial"/>
                <w:color w:val="000000" w:themeColor="text1"/>
                <w:szCs w:val="16"/>
              </w:rPr>
              <w:t>97.10%</w:t>
            </w:r>
          </w:p>
        </w:tc>
        <w:tc>
          <w:tcPr>
            <w:tcW w:w="834" w:type="pct"/>
            <w:tcBorders>
              <w:bottom w:val="single" w:sz="4" w:space="0" w:color="auto"/>
            </w:tcBorders>
            <w:shd w:val="clear" w:color="auto" w:fill="auto"/>
            <w:vAlign w:val="center"/>
          </w:tcPr>
          <w:p w14:paraId="1634D135" w14:textId="4B1B8A56" w:rsidR="00B6413B" w:rsidRPr="00781112" w:rsidRDefault="002B7490" w:rsidP="00A018D4">
            <w:pPr>
              <w:jc w:val="center"/>
              <w:rPr>
                <w:rFonts w:cs="Arial"/>
                <w:color w:val="000000" w:themeColor="text1"/>
                <w:szCs w:val="16"/>
              </w:rPr>
            </w:pPr>
            <w:r w:rsidRPr="00781112">
              <w:rPr>
                <w:rFonts w:cs="Arial"/>
                <w:color w:val="000000" w:themeColor="text1"/>
                <w:szCs w:val="16"/>
              </w:rPr>
              <w:t>99.02%</w:t>
            </w:r>
          </w:p>
        </w:tc>
      </w:tr>
    </w:tbl>
    <w:p w14:paraId="4B68E2EB" w14:textId="77777777" w:rsidR="00DE2E22" w:rsidRPr="00781112" w:rsidRDefault="00DE2E22" w:rsidP="004369B2">
      <w:pPr>
        <w:rPr>
          <w:color w:val="000000" w:themeColor="text1"/>
        </w:rPr>
      </w:pPr>
    </w:p>
    <w:p w14:paraId="665BBDF2" w14:textId="3C595D9B" w:rsidR="007A3964" w:rsidRPr="00781112" w:rsidRDefault="007A3964" w:rsidP="004369B2">
      <w:pPr>
        <w:rPr>
          <w:color w:val="000000" w:themeColor="text1"/>
        </w:rPr>
      </w:pPr>
      <w:r w:rsidRPr="00781112">
        <w:rPr>
          <w:b/>
          <w:color w:val="000000" w:themeColor="text1"/>
        </w:rPr>
        <w:t>Targets</w:t>
      </w:r>
    </w:p>
    <w:tbl>
      <w:tblPr>
        <w:tblW w:w="404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B11TARGETS"/>
      </w:tblPr>
      <w:tblGrid>
        <w:gridCol w:w="679"/>
        <w:gridCol w:w="1908"/>
        <w:gridCol w:w="2044"/>
        <w:gridCol w:w="2044"/>
        <w:gridCol w:w="2043"/>
      </w:tblGrid>
      <w:tr w:rsidR="00B67FCE" w:rsidRPr="00781112" w14:paraId="76DFECC2" w14:textId="07DDD47D" w:rsidTr="00845B9B">
        <w:trPr>
          <w:trHeight w:val="460"/>
        </w:trPr>
        <w:tc>
          <w:tcPr>
            <w:tcW w:w="327" w:type="pct"/>
            <w:tcBorders>
              <w:bottom w:val="single" w:sz="4" w:space="0" w:color="auto"/>
            </w:tcBorders>
            <w:shd w:val="clear" w:color="auto" w:fill="auto"/>
          </w:tcPr>
          <w:p w14:paraId="6892E70C" w14:textId="77777777" w:rsidR="00B67FCE" w:rsidRPr="00781112" w:rsidRDefault="00B67FCE" w:rsidP="00487DD1">
            <w:pPr>
              <w:jc w:val="center"/>
              <w:rPr>
                <w:b/>
                <w:color w:val="000000" w:themeColor="text1"/>
              </w:rPr>
            </w:pPr>
            <w:r w:rsidRPr="00781112">
              <w:rPr>
                <w:b/>
                <w:color w:val="000000" w:themeColor="text1"/>
              </w:rPr>
              <w:t>FFY</w:t>
            </w:r>
          </w:p>
        </w:tc>
        <w:tc>
          <w:tcPr>
            <w:tcW w:w="1110" w:type="pct"/>
            <w:shd w:val="clear" w:color="auto" w:fill="auto"/>
          </w:tcPr>
          <w:p w14:paraId="66B6940B" w14:textId="77777777" w:rsidR="00B67FCE" w:rsidRPr="00781112" w:rsidRDefault="00B67FCE" w:rsidP="00487DD1">
            <w:pPr>
              <w:jc w:val="center"/>
              <w:rPr>
                <w:b/>
                <w:color w:val="000000" w:themeColor="text1"/>
              </w:rPr>
            </w:pPr>
            <w:r w:rsidRPr="00781112">
              <w:rPr>
                <w:b/>
                <w:color w:val="000000" w:themeColor="text1"/>
              </w:rPr>
              <w:t>2022</w:t>
            </w:r>
          </w:p>
        </w:tc>
        <w:tc>
          <w:tcPr>
            <w:tcW w:w="1188" w:type="pct"/>
          </w:tcPr>
          <w:p w14:paraId="642D6D44" w14:textId="2A5BD9E4" w:rsidR="00B67FCE" w:rsidRPr="00781112" w:rsidRDefault="00B67FCE" w:rsidP="00487DD1">
            <w:pPr>
              <w:jc w:val="center"/>
              <w:rPr>
                <w:b/>
                <w:color w:val="000000" w:themeColor="text1"/>
              </w:rPr>
            </w:pPr>
            <w:r w:rsidRPr="00781112">
              <w:rPr>
                <w:rFonts w:cs="Arial"/>
                <w:b/>
                <w:color w:val="000000" w:themeColor="text1"/>
                <w:szCs w:val="16"/>
              </w:rPr>
              <w:t>2023</w:t>
            </w:r>
          </w:p>
        </w:tc>
        <w:tc>
          <w:tcPr>
            <w:tcW w:w="1188" w:type="pct"/>
          </w:tcPr>
          <w:p w14:paraId="3DC5C0D5" w14:textId="20C2B807" w:rsidR="00B67FCE" w:rsidRPr="00781112" w:rsidRDefault="00B67FCE" w:rsidP="00487DD1">
            <w:pPr>
              <w:jc w:val="center"/>
              <w:rPr>
                <w:b/>
                <w:color w:val="000000" w:themeColor="text1"/>
              </w:rPr>
            </w:pPr>
            <w:r w:rsidRPr="00781112">
              <w:rPr>
                <w:rFonts w:cs="Arial"/>
                <w:b/>
                <w:color w:val="000000" w:themeColor="text1"/>
                <w:szCs w:val="16"/>
              </w:rPr>
              <w:t>2024</w:t>
            </w:r>
          </w:p>
        </w:tc>
        <w:tc>
          <w:tcPr>
            <w:tcW w:w="1188" w:type="pct"/>
          </w:tcPr>
          <w:p w14:paraId="66836E96" w14:textId="691AA0DC" w:rsidR="00B67FCE" w:rsidRPr="00781112" w:rsidRDefault="00B67FCE" w:rsidP="00487DD1">
            <w:pPr>
              <w:jc w:val="center"/>
              <w:rPr>
                <w:b/>
                <w:color w:val="000000" w:themeColor="text1"/>
              </w:rPr>
            </w:pPr>
            <w:r w:rsidRPr="00781112">
              <w:rPr>
                <w:rFonts w:cs="Arial"/>
                <w:b/>
                <w:color w:val="000000" w:themeColor="text1"/>
                <w:szCs w:val="16"/>
              </w:rPr>
              <w:t>2025</w:t>
            </w:r>
          </w:p>
        </w:tc>
      </w:tr>
      <w:tr w:rsidR="00B67FCE" w:rsidRPr="00781112" w14:paraId="3EC10007" w14:textId="1FF3F876" w:rsidTr="00845B9B">
        <w:trPr>
          <w:trHeight w:val="469"/>
        </w:trPr>
        <w:tc>
          <w:tcPr>
            <w:tcW w:w="327" w:type="pct"/>
            <w:shd w:val="clear" w:color="auto" w:fill="auto"/>
            <w:vAlign w:val="center"/>
          </w:tcPr>
          <w:p w14:paraId="078AD14E" w14:textId="4163BE23" w:rsidR="00B67FCE" w:rsidRPr="00781112" w:rsidRDefault="00B67FCE" w:rsidP="00BA3DBE">
            <w:pPr>
              <w:jc w:val="center"/>
              <w:rPr>
                <w:rFonts w:cs="Arial"/>
                <w:color w:val="000000" w:themeColor="text1"/>
                <w:szCs w:val="16"/>
              </w:rPr>
            </w:pPr>
            <w:r w:rsidRPr="00781112">
              <w:rPr>
                <w:rFonts w:cs="Arial"/>
                <w:color w:val="000000" w:themeColor="text1"/>
                <w:szCs w:val="16"/>
              </w:rPr>
              <w:t>Target</w:t>
            </w:r>
          </w:p>
        </w:tc>
        <w:tc>
          <w:tcPr>
            <w:tcW w:w="1110" w:type="pct"/>
            <w:shd w:val="clear" w:color="auto" w:fill="auto"/>
            <w:vAlign w:val="center"/>
          </w:tcPr>
          <w:p w14:paraId="738C5681" w14:textId="308364FD" w:rsidR="00B67FCE" w:rsidRPr="00781112" w:rsidRDefault="00B67FCE" w:rsidP="00487DD1">
            <w:pPr>
              <w:jc w:val="center"/>
              <w:rPr>
                <w:rFonts w:cs="Arial"/>
                <w:color w:val="000000" w:themeColor="text1"/>
                <w:szCs w:val="16"/>
              </w:rPr>
            </w:pPr>
            <w:r w:rsidRPr="00781112">
              <w:rPr>
                <w:rFonts w:cs="Arial"/>
                <w:color w:val="000000" w:themeColor="text1"/>
                <w:szCs w:val="16"/>
              </w:rPr>
              <w:t>100%</w:t>
            </w:r>
          </w:p>
        </w:tc>
        <w:tc>
          <w:tcPr>
            <w:tcW w:w="1188" w:type="pct"/>
          </w:tcPr>
          <w:p w14:paraId="6D8F87FA" w14:textId="469699AF" w:rsidR="00B67FCE" w:rsidRPr="00781112" w:rsidRDefault="00B67FCE" w:rsidP="00487DD1">
            <w:pPr>
              <w:jc w:val="center"/>
              <w:rPr>
                <w:rFonts w:cs="Arial"/>
                <w:color w:val="000000" w:themeColor="text1"/>
                <w:szCs w:val="16"/>
              </w:rPr>
            </w:pPr>
            <w:r w:rsidRPr="00781112">
              <w:rPr>
                <w:color w:val="000000" w:themeColor="text1"/>
                <w:szCs w:val="16"/>
              </w:rPr>
              <w:t>100%</w:t>
            </w:r>
          </w:p>
        </w:tc>
        <w:tc>
          <w:tcPr>
            <w:tcW w:w="1188" w:type="pct"/>
          </w:tcPr>
          <w:p w14:paraId="36607C1B" w14:textId="54CF66D1" w:rsidR="00B67FCE" w:rsidRPr="00781112" w:rsidRDefault="00B67FCE" w:rsidP="00487DD1">
            <w:pPr>
              <w:jc w:val="center"/>
              <w:rPr>
                <w:rFonts w:cs="Arial"/>
                <w:color w:val="000000" w:themeColor="text1"/>
                <w:szCs w:val="16"/>
              </w:rPr>
            </w:pPr>
            <w:r w:rsidRPr="00781112">
              <w:rPr>
                <w:color w:val="000000" w:themeColor="text1"/>
                <w:szCs w:val="16"/>
              </w:rPr>
              <w:t>100%</w:t>
            </w:r>
          </w:p>
        </w:tc>
        <w:tc>
          <w:tcPr>
            <w:tcW w:w="1188" w:type="pct"/>
          </w:tcPr>
          <w:p w14:paraId="2E85DC12" w14:textId="59499407" w:rsidR="00B67FCE" w:rsidRPr="00781112" w:rsidRDefault="00B67FCE" w:rsidP="00487DD1">
            <w:pPr>
              <w:jc w:val="center"/>
              <w:rPr>
                <w:rFonts w:cs="Arial"/>
                <w:color w:val="000000" w:themeColor="text1"/>
                <w:szCs w:val="16"/>
              </w:rPr>
            </w:pPr>
            <w:r w:rsidRPr="00781112">
              <w:rPr>
                <w:color w:val="000000" w:themeColor="text1"/>
                <w:szCs w:val="16"/>
              </w:rPr>
              <w:t>100%</w:t>
            </w:r>
          </w:p>
        </w:tc>
      </w:tr>
    </w:tbl>
    <w:p w14:paraId="5CBD7BB2" w14:textId="77777777" w:rsidR="00DE2E22" w:rsidRPr="00781112" w:rsidRDefault="00DE2E22" w:rsidP="004369B2">
      <w:pPr>
        <w:rPr>
          <w:color w:val="000000" w:themeColor="text1"/>
        </w:rPr>
      </w:pPr>
    </w:p>
    <w:bookmarkEnd w:id="68"/>
    <w:bookmarkEnd w:id="69"/>
    <w:p w14:paraId="3FAEB3AB" w14:textId="1E67594B" w:rsidR="00D03701" w:rsidRPr="00781112" w:rsidRDefault="0047313F" w:rsidP="004369B2">
      <w:pPr>
        <w:rPr>
          <w:color w:val="000000" w:themeColor="text1"/>
        </w:rPr>
      </w:pPr>
      <w:r>
        <w:rPr>
          <w:b/>
          <w:color w:val="000000" w:themeColor="text1"/>
        </w:rPr>
        <w:t>FFY 2022 SPP/APR Data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B11CFFYAPRDATA"/>
      </w:tblPr>
      <w:tblGrid>
        <w:gridCol w:w="1462"/>
        <w:gridCol w:w="1363"/>
        <w:gridCol w:w="1407"/>
        <w:gridCol w:w="2123"/>
        <w:gridCol w:w="1265"/>
        <w:gridCol w:w="1612"/>
        <w:gridCol w:w="1558"/>
      </w:tblGrid>
      <w:tr w:rsidR="00B1652C" w:rsidRPr="00781112" w14:paraId="4D51CA61" w14:textId="77777777" w:rsidTr="008227D4">
        <w:trPr>
          <w:trHeight w:val="357"/>
          <w:tblHeader/>
        </w:trPr>
        <w:tc>
          <w:tcPr>
            <w:tcW w:w="677" w:type="pct"/>
            <w:shd w:val="clear" w:color="auto" w:fill="auto"/>
            <w:vAlign w:val="bottom"/>
          </w:tcPr>
          <w:p w14:paraId="2C2F9079" w14:textId="77777777" w:rsidR="00B1652C" w:rsidRPr="00781112" w:rsidRDefault="00B1652C" w:rsidP="00B1652C">
            <w:pPr>
              <w:jc w:val="center"/>
              <w:rPr>
                <w:rFonts w:cs="Arial"/>
                <w:b/>
                <w:color w:val="000000" w:themeColor="text1"/>
                <w:szCs w:val="16"/>
              </w:rPr>
            </w:pPr>
            <w:r w:rsidRPr="00781112">
              <w:rPr>
                <w:rFonts w:cs="Arial"/>
                <w:b/>
                <w:color w:val="000000" w:themeColor="text1"/>
                <w:szCs w:val="16"/>
              </w:rPr>
              <w:lastRenderedPageBreak/>
              <w:t>(a) Number of children for whom parental consent to evaluate was received</w:t>
            </w:r>
          </w:p>
        </w:tc>
        <w:tc>
          <w:tcPr>
            <w:tcW w:w="631" w:type="pct"/>
            <w:shd w:val="clear" w:color="auto" w:fill="auto"/>
            <w:vAlign w:val="bottom"/>
          </w:tcPr>
          <w:p w14:paraId="37C63445" w14:textId="77777777" w:rsidR="00B1652C" w:rsidRPr="00781112" w:rsidRDefault="00B1652C" w:rsidP="00B1652C">
            <w:pPr>
              <w:jc w:val="center"/>
              <w:rPr>
                <w:rFonts w:cs="Arial"/>
                <w:b/>
                <w:color w:val="000000" w:themeColor="text1"/>
                <w:szCs w:val="16"/>
              </w:rPr>
            </w:pPr>
            <w:r w:rsidRPr="00781112">
              <w:rPr>
                <w:rFonts w:cs="Arial"/>
                <w:b/>
                <w:color w:val="000000" w:themeColor="text1"/>
                <w:szCs w:val="16"/>
              </w:rPr>
              <w:t>(b) Number of children whose evaluations were completed within 60 days (or State-established timeline)</w:t>
            </w:r>
          </w:p>
        </w:tc>
        <w:tc>
          <w:tcPr>
            <w:tcW w:w="652" w:type="pct"/>
            <w:shd w:val="clear" w:color="auto" w:fill="auto"/>
            <w:vAlign w:val="bottom"/>
          </w:tcPr>
          <w:p w14:paraId="0F3587FA" w14:textId="7DD949EA" w:rsidR="00B1652C" w:rsidRPr="00CC1061" w:rsidRDefault="00B1652C" w:rsidP="00B1652C">
            <w:pPr>
              <w:jc w:val="center"/>
              <w:rPr>
                <w:rFonts w:cs="Arial"/>
                <w:b/>
                <w:bCs/>
                <w:color w:val="000000" w:themeColor="text1"/>
                <w:szCs w:val="16"/>
              </w:rPr>
            </w:pPr>
            <w:r w:rsidRPr="00CC1061">
              <w:rPr>
                <w:b/>
                <w:bCs/>
              </w:rPr>
              <w:t>FFY 2021 Data</w:t>
            </w:r>
          </w:p>
        </w:tc>
        <w:tc>
          <w:tcPr>
            <w:tcW w:w="984" w:type="pct"/>
            <w:shd w:val="clear" w:color="auto" w:fill="auto"/>
            <w:vAlign w:val="bottom"/>
          </w:tcPr>
          <w:p w14:paraId="46349806" w14:textId="13F594A4" w:rsidR="00B1652C" w:rsidRPr="00CC1061" w:rsidRDefault="00B1652C" w:rsidP="00B1652C">
            <w:pPr>
              <w:jc w:val="center"/>
              <w:rPr>
                <w:rFonts w:cs="Arial"/>
                <w:b/>
                <w:bCs/>
                <w:color w:val="000000" w:themeColor="text1"/>
                <w:szCs w:val="16"/>
              </w:rPr>
            </w:pPr>
            <w:r w:rsidRPr="00CC1061">
              <w:rPr>
                <w:b/>
                <w:bCs/>
              </w:rPr>
              <w:t>FFY 2022 Target</w:t>
            </w:r>
          </w:p>
        </w:tc>
        <w:tc>
          <w:tcPr>
            <w:tcW w:w="586" w:type="pct"/>
            <w:shd w:val="clear" w:color="auto" w:fill="auto"/>
            <w:vAlign w:val="bottom"/>
          </w:tcPr>
          <w:p w14:paraId="789B0350" w14:textId="4F540A27" w:rsidR="00B1652C" w:rsidRPr="00CC1061" w:rsidRDefault="00B1652C" w:rsidP="00B1652C">
            <w:pPr>
              <w:jc w:val="center"/>
              <w:rPr>
                <w:rFonts w:cs="Arial"/>
                <w:b/>
                <w:bCs/>
                <w:color w:val="000000" w:themeColor="text1"/>
                <w:szCs w:val="16"/>
              </w:rPr>
            </w:pPr>
            <w:r w:rsidRPr="00CC1061">
              <w:rPr>
                <w:b/>
                <w:bCs/>
              </w:rPr>
              <w:t>FFY 2022 Data</w:t>
            </w:r>
          </w:p>
        </w:tc>
        <w:tc>
          <w:tcPr>
            <w:tcW w:w="747" w:type="pct"/>
            <w:shd w:val="clear" w:color="auto" w:fill="auto"/>
            <w:vAlign w:val="bottom"/>
          </w:tcPr>
          <w:p w14:paraId="1F8A5D0B" w14:textId="1CA25A33" w:rsidR="00B1652C" w:rsidRPr="00781112" w:rsidRDefault="00B1652C" w:rsidP="00B1652C">
            <w:pPr>
              <w:jc w:val="center"/>
              <w:rPr>
                <w:rFonts w:cs="Arial"/>
                <w:b/>
                <w:color w:val="000000" w:themeColor="text1"/>
                <w:szCs w:val="16"/>
              </w:rPr>
            </w:pPr>
            <w:r w:rsidRPr="00781112">
              <w:rPr>
                <w:rFonts w:cs="Arial"/>
                <w:b/>
                <w:color w:val="000000" w:themeColor="text1"/>
                <w:szCs w:val="16"/>
              </w:rPr>
              <w:t>Status</w:t>
            </w:r>
          </w:p>
        </w:tc>
        <w:tc>
          <w:tcPr>
            <w:tcW w:w="722" w:type="pct"/>
            <w:shd w:val="clear" w:color="auto" w:fill="auto"/>
            <w:vAlign w:val="bottom"/>
          </w:tcPr>
          <w:p w14:paraId="072F67FA" w14:textId="0AF25FE9" w:rsidR="00B1652C" w:rsidRPr="00781112" w:rsidRDefault="00B1652C" w:rsidP="00B1652C">
            <w:pPr>
              <w:jc w:val="center"/>
              <w:rPr>
                <w:rFonts w:cs="Arial"/>
                <w:b/>
                <w:color w:val="000000" w:themeColor="text1"/>
                <w:szCs w:val="16"/>
              </w:rPr>
            </w:pPr>
            <w:r w:rsidRPr="00781112">
              <w:rPr>
                <w:rFonts w:cs="Arial"/>
                <w:b/>
                <w:color w:val="000000" w:themeColor="text1"/>
                <w:szCs w:val="16"/>
              </w:rPr>
              <w:t>Slippage</w:t>
            </w:r>
          </w:p>
        </w:tc>
      </w:tr>
      <w:tr w:rsidR="005C29F8" w:rsidRPr="00781112" w14:paraId="601FAE62" w14:textId="77777777" w:rsidTr="008227D4">
        <w:tblPrEx>
          <w:jc w:val="center"/>
        </w:tblPrEx>
        <w:trPr>
          <w:trHeight w:val="361"/>
          <w:jc w:val="center"/>
        </w:trPr>
        <w:tc>
          <w:tcPr>
            <w:tcW w:w="677" w:type="pct"/>
            <w:shd w:val="clear" w:color="auto" w:fill="auto"/>
            <w:vAlign w:val="center"/>
          </w:tcPr>
          <w:p w14:paraId="40E44618" w14:textId="45B3AEC4" w:rsidR="00227DE4" w:rsidRPr="00781112" w:rsidRDefault="002B7490" w:rsidP="004369B2">
            <w:pPr>
              <w:jc w:val="center"/>
              <w:rPr>
                <w:rFonts w:cs="Arial"/>
                <w:color w:val="000000" w:themeColor="text1"/>
                <w:szCs w:val="16"/>
              </w:rPr>
            </w:pPr>
            <w:r w:rsidRPr="00781112">
              <w:rPr>
                <w:rFonts w:cs="Arial"/>
                <w:color w:val="000000" w:themeColor="text1"/>
                <w:szCs w:val="16"/>
              </w:rPr>
              <w:t>22,777</w:t>
            </w:r>
          </w:p>
        </w:tc>
        <w:tc>
          <w:tcPr>
            <w:tcW w:w="631" w:type="pct"/>
            <w:shd w:val="clear" w:color="auto" w:fill="auto"/>
          </w:tcPr>
          <w:p w14:paraId="12D46373" w14:textId="70B5728E" w:rsidR="00227DE4" w:rsidRPr="00781112" w:rsidRDefault="002B7490" w:rsidP="004369B2">
            <w:pPr>
              <w:jc w:val="center"/>
              <w:rPr>
                <w:rFonts w:cs="Arial"/>
                <w:color w:val="000000" w:themeColor="text1"/>
                <w:szCs w:val="16"/>
              </w:rPr>
            </w:pPr>
            <w:r w:rsidRPr="00781112">
              <w:rPr>
                <w:rFonts w:cs="Arial"/>
                <w:color w:val="000000" w:themeColor="text1"/>
                <w:szCs w:val="16"/>
              </w:rPr>
              <w:t>22,541</w:t>
            </w:r>
          </w:p>
        </w:tc>
        <w:tc>
          <w:tcPr>
            <w:tcW w:w="652" w:type="pct"/>
            <w:shd w:val="clear" w:color="auto" w:fill="auto"/>
          </w:tcPr>
          <w:p w14:paraId="78F7DC6F" w14:textId="0C25E273" w:rsidR="00227DE4" w:rsidRPr="00781112" w:rsidRDefault="002B7490" w:rsidP="004369B2">
            <w:pPr>
              <w:jc w:val="center"/>
              <w:rPr>
                <w:rFonts w:cs="Arial"/>
                <w:color w:val="000000" w:themeColor="text1"/>
                <w:szCs w:val="16"/>
              </w:rPr>
            </w:pPr>
            <w:r w:rsidRPr="00781112">
              <w:rPr>
                <w:rFonts w:cs="Arial"/>
                <w:color w:val="000000" w:themeColor="text1"/>
                <w:szCs w:val="16"/>
              </w:rPr>
              <w:t>99.02%</w:t>
            </w:r>
          </w:p>
        </w:tc>
        <w:tc>
          <w:tcPr>
            <w:tcW w:w="984" w:type="pct"/>
            <w:shd w:val="clear" w:color="auto" w:fill="auto"/>
          </w:tcPr>
          <w:p w14:paraId="57D08E3A" w14:textId="02A6843C" w:rsidR="00227DE4" w:rsidRPr="00781112" w:rsidRDefault="00B16A26" w:rsidP="004369B2">
            <w:pPr>
              <w:jc w:val="center"/>
              <w:rPr>
                <w:rFonts w:cs="Arial"/>
                <w:color w:val="000000" w:themeColor="text1"/>
                <w:szCs w:val="16"/>
              </w:rPr>
            </w:pPr>
            <w:r w:rsidRPr="00781112">
              <w:rPr>
                <w:rFonts w:cs="Arial"/>
                <w:color w:val="000000" w:themeColor="text1"/>
                <w:szCs w:val="16"/>
              </w:rPr>
              <w:t>100%</w:t>
            </w:r>
          </w:p>
        </w:tc>
        <w:tc>
          <w:tcPr>
            <w:tcW w:w="586" w:type="pct"/>
            <w:shd w:val="clear" w:color="auto" w:fill="auto"/>
          </w:tcPr>
          <w:p w14:paraId="76ED234E" w14:textId="0761C4C5" w:rsidR="00227DE4" w:rsidRPr="00781112" w:rsidRDefault="002B7490" w:rsidP="004369B2">
            <w:pPr>
              <w:jc w:val="center"/>
              <w:rPr>
                <w:rFonts w:cs="Arial"/>
                <w:color w:val="000000" w:themeColor="text1"/>
                <w:szCs w:val="16"/>
              </w:rPr>
            </w:pPr>
            <w:r w:rsidRPr="00781112">
              <w:rPr>
                <w:rFonts w:cs="Arial"/>
                <w:color w:val="000000" w:themeColor="text1"/>
                <w:szCs w:val="16"/>
              </w:rPr>
              <w:t>98.96%</w:t>
            </w:r>
          </w:p>
        </w:tc>
        <w:tc>
          <w:tcPr>
            <w:tcW w:w="747" w:type="pct"/>
            <w:shd w:val="clear" w:color="auto" w:fill="auto"/>
          </w:tcPr>
          <w:p w14:paraId="0270582F" w14:textId="73E1CA33" w:rsidR="00227DE4" w:rsidRPr="00781112" w:rsidRDefault="002B7490" w:rsidP="004369B2">
            <w:pPr>
              <w:jc w:val="center"/>
              <w:rPr>
                <w:rFonts w:cs="Arial"/>
                <w:color w:val="000000" w:themeColor="text1"/>
                <w:szCs w:val="16"/>
              </w:rPr>
            </w:pPr>
            <w:r w:rsidRPr="00781112">
              <w:rPr>
                <w:rFonts w:cs="Arial"/>
                <w:color w:val="000000" w:themeColor="text1"/>
                <w:szCs w:val="16"/>
              </w:rPr>
              <w:t>Did not meet target</w:t>
            </w:r>
          </w:p>
        </w:tc>
        <w:tc>
          <w:tcPr>
            <w:tcW w:w="722" w:type="pct"/>
            <w:shd w:val="clear" w:color="auto" w:fill="auto"/>
          </w:tcPr>
          <w:p w14:paraId="2AF3A578" w14:textId="64369F07" w:rsidR="00227DE4" w:rsidRPr="00781112" w:rsidRDefault="002B7490" w:rsidP="004369B2">
            <w:pPr>
              <w:jc w:val="center"/>
              <w:rPr>
                <w:rFonts w:cs="Arial"/>
                <w:color w:val="000000" w:themeColor="text1"/>
                <w:szCs w:val="16"/>
              </w:rPr>
            </w:pPr>
            <w:r w:rsidRPr="00781112">
              <w:rPr>
                <w:rFonts w:cs="Arial"/>
                <w:color w:val="000000" w:themeColor="text1"/>
                <w:szCs w:val="16"/>
              </w:rPr>
              <w:t>No Slippage</w:t>
            </w:r>
          </w:p>
        </w:tc>
      </w:tr>
    </w:tbl>
    <w:p w14:paraId="00FCD0E7" w14:textId="5068539E" w:rsidR="00596F83" w:rsidRPr="00781112" w:rsidRDefault="00596F83" w:rsidP="007D435F">
      <w:pPr>
        <w:rPr>
          <w:rFonts w:cs="Arial"/>
          <w:b/>
          <w:color w:val="000000" w:themeColor="text1"/>
          <w:szCs w:val="16"/>
        </w:rPr>
      </w:pPr>
      <w:r w:rsidRPr="00781112">
        <w:rPr>
          <w:rFonts w:cs="Arial"/>
          <w:b/>
          <w:color w:val="000000" w:themeColor="text1"/>
          <w:szCs w:val="16"/>
        </w:rPr>
        <w:t>Number of children included in (a) but not included in (b)</w:t>
      </w:r>
    </w:p>
    <w:p w14:paraId="500E5C8C" w14:textId="708E8E06" w:rsidR="00596F83" w:rsidRPr="00781112" w:rsidRDefault="00596F83" w:rsidP="007D435F">
      <w:pPr>
        <w:rPr>
          <w:rFonts w:cs="Arial"/>
          <w:color w:val="000000" w:themeColor="text1"/>
          <w:szCs w:val="16"/>
        </w:rPr>
      </w:pPr>
      <w:r w:rsidRPr="00781112">
        <w:rPr>
          <w:rFonts w:cs="Arial"/>
          <w:color w:val="000000" w:themeColor="text1"/>
          <w:szCs w:val="16"/>
        </w:rPr>
        <w:t>236</w:t>
      </w:r>
    </w:p>
    <w:p w14:paraId="59300647" w14:textId="301BC4BA" w:rsidR="00E418E6" w:rsidRPr="00781112" w:rsidRDefault="00481536" w:rsidP="006A01BD">
      <w:pPr>
        <w:rPr>
          <w:b/>
          <w:color w:val="000000" w:themeColor="text1"/>
        </w:rPr>
      </w:pPr>
      <w:proofErr w:type="gramStart"/>
      <w:r w:rsidRPr="00781112">
        <w:rPr>
          <w:b/>
          <w:color w:val="000000" w:themeColor="text1"/>
        </w:rPr>
        <w:t>Account</w:t>
      </w:r>
      <w:proofErr w:type="gramEnd"/>
      <w:r w:rsidRPr="00781112">
        <w:rPr>
          <w:b/>
          <w:color w:val="000000" w:themeColor="text1"/>
        </w:rPr>
        <w:t xml:space="preserve"> for children included in (a) but not included in (b). Indicate the range of days beyond the timeline when the evaluation was completed and any reasons for the delays.</w:t>
      </w:r>
    </w:p>
    <w:p w14:paraId="7FF7A4DA" w14:textId="602A3FE9" w:rsidR="00481536" w:rsidRPr="00781112" w:rsidRDefault="002B7490" w:rsidP="006A01BD">
      <w:pPr>
        <w:rPr>
          <w:color w:val="000000" w:themeColor="text1"/>
        </w:rPr>
      </w:pPr>
      <w:r w:rsidRPr="00781112">
        <w:rPr>
          <w:color w:val="000000" w:themeColor="text1"/>
        </w:rPr>
        <w:t xml:space="preserve">Out of the 236 children whose evaluations were not completed within the timeline, the shortest number of days beyond the timeline was 1 day and the longest was 177 days. Reasons for </w:t>
      </w:r>
      <w:proofErr w:type="gramStart"/>
      <w:r w:rsidRPr="00781112">
        <w:rPr>
          <w:color w:val="000000" w:themeColor="text1"/>
        </w:rPr>
        <w:t>delays</w:t>
      </w:r>
      <w:proofErr w:type="gramEnd"/>
      <w:r w:rsidRPr="00781112">
        <w:rPr>
          <w:color w:val="000000" w:themeColor="text1"/>
        </w:rPr>
        <w:t xml:space="preserve"> were due </w:t>
      </w:r>
      <w:proofErr w:type="gramStart"/>
      <w:r w:rsidRPr="00781112">
        <w:rPr>
          <w:color w:val="000000" w:themeColor="text1"/>
        </w:rPr>
        <w:t>to:</w:t>
      </w:r>
      <w:proofErr w:type="gramEnd"/>
      <w:r w:rsidRPr="00781112">
        <w:rPr>
          <w:color w:val="000000" w:themeColor="text1"/>
        </w:rPr>
        <w:t xml:space="preserve"> additional evaluations or special evaluations were needed; staff missed the timeline; school schedules and weather delays.</w:t>
      </w:r>
    </w:p>
    <w:p w14:paraId="4FE2B83B" w14:textId="50CDAD1F" w:rsidR="00596F83" w:rsidRPr="00781112" w:rsidRDefault="00596F83" w:rsidP="00596F83">
      <w:pPr>
        <w:rPr>
          <w:rFonts w:cs="Arial"/>
          <w:b/>
          <w:color w:val="000000" w:themeColor="text1"/>
          <w:szCs w:val="16"/>
        </w:rPr>
      </w:pPr>
      <w:r w:rsidRPr="00781112">
        <w:rPr>
          <w:rFonts w:cs="Arial"/>
          <w:b/>
          <w:color w:val="000000" w:themeColor="text1"/>
          <w:szCs w:val="16"/>
        </w:rPr>
        <w:t>Indicate the evaluation timeline used:</w:t>
      </w:r>
    </w:p>
    <w:p w14:paraId="7D77618A" w14:textId="3A3B87A2" w:rsidR="00596F83" w:rsidRPr="00781112" w:rsidRDefault="00596F83" w:rsidP="004369B2">
      <w:pPr>
        <w:rPr>
          <w:rFonts w:cs="Arial"/>
          <w:color w:val="000000" w:themeColor="text1"/>
          <w:szCs w:val="16"/>
        </w:rPr>
      </w:pPr>
      <w:r w:rsidRPr="00781112">
        <w:rPr>
          <w:rFonts w:cs="Arial"/>
          <w:color w:val="000000" w:themeColor="text1"/>
          <w:szCs w:val="16"/>
        </w:rPr>
        <w:t xml:space="preserve">The State used the </w:t>
      </w:r>
      <w:proofErr w:type="gramStart"/>
      <w:r w:rsidRPr="00781112">
        <w:rPr>
          <w:rFonts w:cs="Arial"/>
          <w:color w:val="000000" w:themeColor="text1"/>
          <w:szCs w:val="16"/>
        </w:rPr>
        <w:t>60 day</w:t>
      </w:r>
      <w:proofErr w:type="gramEnd"/>
      <w:r w:rsidRPr="00781112">
        <w:rPr>
          <w:rFonts w:cs="Arial"/>
          <w:color w:val="000000" w:themeColor="text1"/>
          <w:szCs w:val="16"/>
        </w:rPr>
        <w:t xml:space="preserve"> timeframe within which the evaluation must be conducted</w:t>
      </w:r>
    </w:p>
    <w:p w14:paraId="7B602C87" w14:textId="77777777" w:rsidR="00596F83" w:rsidRPr="00781112" w:rsidRDefault="00030B45">
      <w:pPr>
        <w:rPr>
          <w:b/>
          <w:color w:val="000000" w:themeColor="text1"/>
        </w:rPr>
      </w:pPr>
      <w:r w:rsidRPr="00781112">
        <w:rPr>
          <w:b/>
          <w:color w:val="000000" w:themeColor="text1"/>
        </w:rPr>
        <w:t xml:space="preserve">What is the source of the data provided for this indicator? </w:t>
      </w:r>
    </w:p>
    <w:p w14:paraId="6EC5182D" w14:textId="7DE4D103" w:rsidR="00030B45" w:rsidRPr="00781112" w:rsidRDefault="002B7490" w:rsidP="004369B2">
      <w:pPr>
        <w:rPr>
          <w:iCs/>
          <w:color w:val="000000" w:themeColor="text1"/>
        </w:rPr>
      </w:pPr>
      <w:r w:rsidRPr="00781112">
        <w:rPr>
          <w:iCs/>
          <w:color w:val="000000" w:themeColor="text1"/>
        </w:rPr>
        <w:t>State database that includes data for the entire reporting year</w:t>
      </w:r>
    </w:p>
    <w:p w14:paraId="5C41E868" w14:textId="77777777" w:rsidR="00030B45" w:rsidRPr="00781112" w:rsidRDefault="00030B45" w:rsidP="004369B2">
      <w:pPr>
        <w:rPr>
          <w:b/>
          <w:color w:val="000000" w:themeColor="text1"/>
        </w:rPr>
      </w:pPr>
      <w:r w:rsidRPr="00781112">
        <w:rPr>
          <w:b/>
          <w:color w:val="000000" w:themeColor="text1"/>
        </w:rPr>
        <w:t xml:space="preserve">Describe the method used to collect these data, and if data are from the State’s monitoring, describe the procedures used to collect these data. </w:t>
      </w:r>
    </w:p>
    <w:p w14:paraId="41D2EA17" w14:textId="243E2564" w:rsidR="00326C0B" w:rsidRPr="00781112" w:rsidRDefault="002B7490" w:rsidP="00030B45">
      <w:pPr>
        <w:rPr>
          <w:rFonts w:cs="Arial"/>
          <w:color w:val="000000" w:themeColor="text1"/>
          <w:szCs w:val="16"/>
        </w:rPr>
      </w:pPr>
      <w:r w:rsidRPr="00781112">
        <w:rPr>
          <w:rFonts w:cs="Arial"/>
          <w:color w:val="000000" w:themeColor="text1"/>
          <w:szCs w:val="16"/>
        </w:rPr>
        <w:t xml:space="preserve">Data for Indicator 11 are reported by every AU through the online Special Education End-of-Year data collection. The data elements and definitions with the relevant information for Indicator 11 are defined as: Date of Parental Consent to Evaluate, Date Evaluation Completed, and Reason for Delay in Completing the Evaluation. AUs report data for all children for whom Parental Consent to Evaluate have been received. When the evaluation is not completed within 60 calendar days, a reason for </w:t>
      </w:r>
      <w:proofErr w:type="gramStart"/>
      <w:r w:rsidRPr="00781112">
        <w:rPr>
          <w:rFonts w:cs="Arial"/>
          <w:color w:val="000000" w:themeColor="text1"/>
          <w:szCs w:val="16"/>
        </w:rPr>
        <w:t>delay</w:t>
      </w:r>
      <w:proofErr w:type="gramEnd"/>
      <w:r w:rsidRPr="00781112">
        <w:rPr>
          <w:rFonts w:cs="Arial"/>
          <w:color w:val="000000" w:themeColor="text1"/>
          <w:szCs w:val="16"/>
        </w:rPr>
        <w:t xml:space="preserve"> must be provided.</w:t>
      </w:r>
    </w:p>
    <w:p w14:paraId="4F981BFF" w14:textId="77777777" w:rsidR="00C86164" w:rsidRPr="00781112" w:rsidRDefault="00C86164" w:rsidP="00C86164">
      <w:pPr>
        <w:rPr>
          <w:rFonts w:cs="Arial"/>
          <w:b/>
          <w:color w:val="000000" w:themeColor="text1"/>
          <w:szCs w:val="16"/>
        </w:rPr>
      </w:pPr>
      <w:bookmarkStart w:id="70" w:name="_Toc381956339"/>
      <w:bookmarkStart w:id="71" w:name="_Toc384383357"/>
      <w:bookmarkStart w:id="72" w:name="_Toc392159325"/>
      <w:r w:rsidRPr="00781112">
        <w:rPr>
          <w:rFonts w:cs="Arial"/>
          <w:b/>
          <w:color w:val="000000" w:themeColor="text1"/>
          <w:szCs w:val="16"/>
        </w:rPr>
        <w:t>Provide additional information about this indicator (optional)</w:t>
      </w:r>
    </w:p>
    <w:p w14:paraId="4D7330D9" w14:textId="5E39C58C" w:rsidR="00326C0B" w:rsidRPr="00781112" w:rsidRDefault="00326C0B" w:rsidP="007D435F">
      <w:pPr>
        <w:rPr>
          <w:rFonts w:cs="Arial"/>
          <w:color w:val="000000" w:themeColor="text1"/>
          <w:szCs w:val="16"/>
        </w:rPr>
      </w:pPr>
    </w:p>
    <w:p w14:paraId="53B75C36" w14:textId="77777777" w:rsidR="00DE2E22" w:rsidRPr="00781112" w:rsidRDefault="00DE2E22" w:rsidP="004369B2">
      <w:pPr>
        <w:rPr>
          <w:color w:val="000000" w:themeColor="text1"/>
        </w:rPr>
      </w:pPr>
    </w:p>
    <w:p w14:paraId="3221D503" w14:textId="66166B4F" w:rsidR="009A755E" w:rsidRPr="00781112" w:rsidRDefault="00450F98" w:rsidP="004369B2">
      <w:pPr>
        <w:rPr>
          <w:color w:val="000000" w:themeColor="text1"/>
        </w:rPr>
      </w:pPr>
      <w:r>
        <w:rPr>
          <w:b/>
          <w:color w:val="000000" w:themeColor="text1"/>
        </w:rPr>
        <w:t>Correction of Findings of Noncompliance Identified in FFY 2021</w:t>
      </w:r>
    </w:p>
    <w:tbl>
      <w:tblPr>
        <w:tblStyle w:val="TableGrid"/>
        <w:tblW w:w="5000" w:type="pct"/>
        <w:tblLook w:val="04A0" w:firstRow="1" w:lastRow="0" w:firstColumn="1" w:lastColumn="0" w:noHBand="0" w:noVBand="1"/>
        <w:tblCaption w:val="B11PFFYNCFINDINGS"/>
      </w:tblPr>
      <w:tblGrid>
        <w:gridCol w:w="2650"/>
        <w:gridCol w:w="2780"/>
        <w:gridCol w:w="2656"/>
        <w:gridCol w:w="2704"/>
      </w:tblGrid>
      <w:tr w:rsidR="005C29F8" w:rsidRPr="00781112" w14:paraId="19F31341" w14:textId="77777777" w:rsidTr="008227D4">
        <w:trPr>
          <w:trHeight w:val="389"/>
          <w:tblHeader/>
        </w:trPr>
        <w:tc>
          <w:tcPr>
            <w:tcW w:w="1228" w:type="pct"/>
            <w:shd w:val="clear" w:color="auto" w:fill="auto"/>
            <w:vAlign w:val="bottom"/>
          </w:tcPr>
          <w:p w14:paraId="56F59E58" w14:textId="77777777" w:rsidR="009A755E" w:rsidRPr="00781112" w:rsidRDefault="009A755E" w:rsidP="009A755E">
            <w:pPr>
              <w:jc w:val="center"/>
              <w:rPr>
                <w:rFonts w:cs="Arial"/>
                <w:b/>
                <w:color w:val="000000" w:themeColor="text1"/>
                <w:szCs w:val="16"/>
              </w:rPr>
            </w:pPr>
            <w:r w:rsidRPr="00781112">
              <w:rPr>
                <w:rFonts w:cs="Arial"/>
                <w:b/>
                <w:color w:val="000000" w:themeColor="text1"/>
                <w:szCs w:val="16"/>
              </w:rPr>
              <w:t>Findings of Noncompliance Identified</w:t>
            </w:r>
          </w:p>
        </w:tc>
        <w:tc>
          <w:tcPr>
            <w:tcW w:w="1288" w:type="pct"/>
            <w:shd w:val="clear" w:color="auto" w:fill="auto"/>
            <w:vAlign w:val="bottom"/>
          </w:tcPr>
          <w:p w14:paraId="27C87009" w14:textId="77777777" w:rsidR="009A755E" w:rsidRPr="00781112" w:rsidRDefault="009A755E" w:rsidP="009A755E">
            <w:pPr>
              <w:jc w:val="center"/>
              <w:rPr>
                <w:rFonts w:cs="Arial"/>
                <w:b/>
                <w:color w:val="000000" w:themeColor="text1"/>
                <w:szCs w:val="16"/>
              </w:rPr>
            </w:pPr>
            <w:r w:rsidRPr="00781112">
              <w:rPr>
                <w:rFonts w:cs="Arial"/>
                <w:b/>
                <w:color w:val="000000" w:themeColor="text1"/>
                <w:szCs w:val="16"/>
              </w:rPr>
              <w:t>Findings of Noncompliance Verified as Corrected Within One Year</w:t>
            </w:r>
          </w:p>
        </w:tc>
        <w:tc>
          <w:tcPr>
            <w:tcW w:w="1231" w:type="pct"/>
            <w:shd w:val="clear" w:color="auto" w:fill="auto"/>
            <w:vAlign w:val="bottom"/>
          </w:tcPr>
          <w:p w14:paraId="4F7EC97C" w14:textId="77777777" w:rsidR="009A755E" w:rsidRPr="00781112" w:rsidRDefault="009A755E" w:rsidP="009A755E">
            <w:pPr>
              <w:jc w:val="center"/>
              <w:rPr>
                <w:rFonts w:cs="Arial"/>
                <w:b/>
                <w:color w:val="000000" w:themeColor="text1"/>
                <w:szCs w:val="16"/>
              </w:rPr>
            </w:pPr>
            <w:r w:rsidRPr="00781112">
              <w:rPr>
                <w:rFonts w:cs="Arial"/>
                <w:b/>
                <w:color w:val="000000" w:themeColor="text1"/>
                <w:szCs w:val="16"/>
              </w:rPr>
              <w:t>Findings of Noncompliance Subsequently Corrected</w:t>
            </w:r>
          </w:p>
        </w:tc>
        <w:tc>
          <w:tcPr>
            <w:tcW w:w="1254" w:type="pct"/>
            <w:shd w:val="clear" w:color="auto" w:fill="auto"/>
            <w:vAlign w:val="bottom"/>
          </w:tcPr>
          <w:p w14:paraId="4E046713" w14:textId="77777777" w:rsidR="009A755E" w:rsidRPr="00781112" w:rsidRDefault="009A755E" w:rsidP="009A755E">
            <w:pPr>
              <w:jc w:val="center"/>
              <w:rPr>
                <w:rFonts w:cs="Arial"/>
                <w:b/>
                <w:color w:val="000000" w:themeColor="text1"/>
                <w:szCs w:val="16"/>
              </w:rPr>
            </w:pPr>
            <w:r w:rsidRPr="00781112">
              <w:rPr>
                <w:rFonts w:cs="Arial"/>
                <w:b/>
                <w:color w:val="000000" w:themeColor="text1"/>
                <w:szCs w:val="16"/>
              </w:rPr>
              <w:t>Findings Not Yet Verified as Corrected</w:t>
            </w:r>
          </w:p>
        </w:tc>
      </w:tr>
      <w:tr w:rsidR="005C29F8" w:rsidRPr="00781112" w14:paraId="4A7D6F00" w14:textId="77777777" w:rsidTr="008227D4">
        <w:tc>
          <w:tcPr>
            <w:tcW w:w="1228" w:type="pct"/>
            <w:shd w:val="clear" w:color="auto" w:fill="auto"/>
          </w:tcPr>
          <w:p w14:paraId="1D3665CE" w14:textId="31AA2004" w:rsidR="009A755E" w:rsidRPr="00781112" w:rsidRDefault="002B7490" w:rsidP="00A018D4">
            <w:pPr>
              <w:jc w:val="center"/>
              <w:rPr>
                <w:rFonts w:cs="Arial"/>
                <w:color w:val="000000" w:themeColor="text1"/>
                <w:szCs w:val="16"/>
              </w:rPr>
            </w:pPr>
            <w:r w:rsidRPr="00781112">
              <w:rPr>
                <w:rFonts w:cs="Arial"/>
                <w:color w:val="000000" w:themeColor="text1"/>
                <w:szCs w:val="16"/>
              </w:rPr>
              <w:t>13</w:t>
            </w:r>
          </w:p>
        </w:tc>
        <w:tc>
          <w:tcPr>
            <w:tcW w:w="1288" w:type="pct"/>
            <w:shd w:val="clear" w:color="auto" w:fill="auto"/>
          </w:tcPr>
          <w:p w14:paraId="4AEC445C" w14:textId="6396B491" w:rsidR="009A755E" w:rsidRPr="00781112" w:rsidRDefault="002B7490" w:rsidP="00A018D4">
            <w:pPr>
              <w:jc w:val="center"/>
              <w:rPr>
                <w:rFonts w:cs="Arial"/>
                <w:color w:val="000000" w:themeColor="text1"/>
                <w:szCs w:val="16"/>
              </w:rPr>
            </w:pPr>
            <w:r w:rsidRPr="00781112">
              <w:rPr>
                <w:rFonts w:cs="Arial"/>
                <w:color w:val="000000" w:themeColor="text1"/>
                <w:szCs w:val="16"/>
              </w:rPr>
              <w:t>12</w:t>
            </w:r>
          </w:p>
        </w:tc>
        <w:tc>
          <w:tcPr>
            <w:tcW w:w="1231" w:type="pct"/>
            <w:shd w:val="clear" w:color="auto" w:fill="auto"/>
          </w:tcPr>
          <w:p w14:paraId="650763EC" w14:textId="5B71F402" w:rsidR="009A755E" w:rsidRPr="00781112" w:rsidRDefault="002B7490" w:rsidP="00A018D4">
            <w:pPr>
              <w:jc w:val="center"/>
              <w:rPr>
                <w:rFonts w:cs="Arial"/>
                <w:color w:val="000000" w:themeColor="text1"/>
                <w:szCs w:val="16"/>
              </w:rPr>
            </w:pPr>
            <w:r w:rsidRPr="00781112">
              <w:rPr>
                <w:rFonts w:cs="Arial"/>
                <w:color w:val="000000" w:themeColor="text1"/>
                <w:szCs w:val="16"/>
              </w:rPr>
              <w:t>1</w:t>
            </w:r>
          </w:p>
        </w:tc>
        <w:tc>
          <w:tcPr>
            <w:tcW w:w="1254" w:type="pct"/>
            <w:shd w:val="clear" w:color="auto" w:fill="auto"/>
          </w:tcPr>
          <w:p w14:paraId="67914127" w14:textId="0865F5F8" w:rsidR="009A755E" w:rsidRPr="00781112" w:rsidRDefault="002B7490" w:rsidP="00A018D4">
            <w:pPr>
              <w:jc w:val="center"/>
              <w:rPr>
                <w:rFonts w:cs="Arial"/>
                <w:color w:val="000000" w:themeColor="text1"/>
                <w:szCs w:val="16"/>
              </w:rPr>
            </w:pPr>
            <w:r w:rsidRPr="00781112">
              <w:rPr>
                <w:rFonts w:cs="Arial"/>
                <w:color w:val="000000" w:themeColor="text1"/>
                <w:szCs w:val="16"/>
              </w:rPr>
              <w:t>0</w:t>
            </w:r>
          </w:p>
        </w:tc>
      </w:tr>
    </w:tbl>
    <w:p w14:paraId="49183A2D" w14:textId="051F9A2F" w:rsidR="009A755E" w:rsidRPr="00781112" w:rsidRDefault="00450F98" w:rsidP="004369B2">
      <w:pPr>
        <w:rPr>
          <w:color w:val="000000" w:themeColor="text1"/>
        </w:rPr>
      </w:pPr>
      <w:r>
        <w:rPr>
          <w:b/>
          <w:color w:val="000000" w:themeColor="text1"/>
        </w:rPr>
        <w:t>FFY 2021 Findings of Noncompliance Verified as Corrected</w:t>
      </w:r>
    </w:p>
    <w:p w14:paraId="417CAEC2" w14:textId="31AFF485" w:rsidR="009A755E" w:rsidRPr="00781112" w:rsidRDefault="009A755E" w:rsidP="009A755E">
      <w:pPr>
        <w:rPr>
          <w:rFonts w:cs="Arial"/>
          <w:b/>
          <w:color w:val="000000" w:themeColor="text1"/>
          <w:szCs w:val="16"/>
        </w:rPr>
      </w:pPr>
      <w:r w:rsidRPr="00781112">
        <w:rPr>
          <w:rFonts w:cs="Arial"/>
          <w:b/>
          <w:color w:val="000000" w:themeColor="text1"/>
          <w:szCs w:val="16"/>
        </w:rPr>
        <w:t xml:space="preserve">Describe how the State verified that the source of noncompliance is correctly implementing the </w:t>
      </w:r>
      <w:r w:rsidRPr="00781112">
        <w:rPr>
          <w:rFonts w:cs="Arial"/>
          <w:b/>
          <w:i/>
          <w:color w:val="000000" w:themeColor="text1"/>
          <w:szCs w:val="16"/>
        </w:rPr>
        <w:t>regulatory requirements</w:t>
      </w:r>
    </w:p>
    <w:p w14:paraId="61965D8E" w14:textId="42E8D356" w:rsidR="00326C0B" w:rsidRPr="00781112" w:rsidRDefault="002B7490" w:rsidP="009A755E">
      <w:pPr>
        <w:rPr>
          <w:rFonts w:cs="Arial"/>
          <w:color w:val="000000" w:themeColor="text1"/>
          <w:szCs w:val="16"/>
        </w:rPr>
      </w:pPr>
      <w:r w:rsidRPr="00781112">
        <w:rPr>
          <w:rFonts w:cs="Arial"/>
          <w:color w:val="000000" w:themeColor="text1"/>
          <w:szCs w:val="16"/>
        </w:rPr>
        <w:t xml:space="preserve">The previously noncompliant AUs submitted 3 months of initial evaluation records that took place since the noncompliance was identified. CDE then reviewed the newly submitted data via desk audit and verified that all children reported during the timeframe were evaluated within the timeline. One AU who was not 100% compliant within one year, participated in required CDE training on Indicator 11. After the required training, an additional 3 months of initial evaluation records were submitted to and reviewed by </w:t>
      </w:r>
      <w:proofErr w:type="gramStart"/>
      <w:r w:rsidRPr="00781112">
        <w:rPr>
          <w:rFonts w:cs="Arial"/>
          <w:color w:val="000000" w:themeColor="text1"/>
          <w:szCs w:val="16"/>
        </w:rPr>
        <w:t>CDE</w:t>
      </w:r>
      <w:proofErr w:type="gramEnd"/>
      <w:r w:rsidRPr="00781112">
        <w:rPr>
          <w:rFonts w:cs="Arial"/>
          <w:color w:val="000000" w:themeColor="text1"/>
          <w:szCs w:val="16"/>
        </w:rPr>
        <w:t xml:space="preserve"> and the AU was found to be 100% compliant with the Indicator. Also, this AU was selected as part of the first cohort and will complete the Facilitated Assessment in the 2023-24SY. The FA includes Domain A: Child Find which requires the AU to examine their data, policies, procedures and practices around Indicator 11 to identify opportunities for improvement to ensure correct implementation of the regulatory requirements related to Indicator 11. By reviewing and verifying these updated data, CDE ensured that all AUs were correctly implementing the regulatory requirements related to Indicator 11.</w:t>
      </w:r>
    </w:p>
    <w:p w14:paraId="51512AE8" w14:textId="46445215" w:rsidR="009A755E" w:rsidRPr="00781112" w:rsidRDefault="009A755E" w:rsidP="009A755E">
      <w:pPr>
        <w:rPr>
          <w:rFonts w:cs="Arial"/>
          <w:b/>
          <w:color w:val="000000" w:themeColor="text1"/>
          <w:szCs w:val="16"/>
        </w:rPr>
      </w:pPr>
      <w:r w:rsidRPr="00781112">
        <w:rPr>
          <w:rFonts w:cs="Arial"/>
          <w:b/>
          <w:color w:val="000000" w:themeColor="text1"/>
          <w:szCs w:val="16"/>
        </w:rPr>
        <w:t xml:space="preserve">Describe how the State verified that each </w:t>
      </w:r>
      <w:r w:rsidRPr="00781112">
        <w:rPr>
          <w:rFonts w:cs="Arial"/>
          <w:b/>
          <w:i/>
          <w:color w:val="000000" w:themeColor="text1"/>
          <w:szCs w:val="16"/>
        </w:rPr>
        <w:t>individual case</w:t>
      </w:r>
      <w:r w:rsidRPr="00781112">
        <w:rPr>
          <w:rFonts w:cs="Arial"/>
          <w:b/>
          <w:color w:val="000000" w:themeColor="text1"/>
          <w:szCs w:val="16"/>
        </w:rPr>
        <w:t xml:space="preserve"> of noncompliance was corrected</w:t>
      </w:r>
    </w:p>
    <w:p w14:paraId="1D2403D9" w14:textId="1E0996F1" w:rsidR="00326C0B" w:rsidRPr="00781112" w:rsidRDefault="002B7490" w:rsidP="009A755E">
      <w:pPr>
        <w:rPr>
          <w:rFonts w:cs="Arial"/>
          <w:color w:val="000000" w:themeColor="text1"/>
          <w:szCs w:val="16"/>
        </w:rPr>
      </w:pPr>
      <w:r w:rsidRPr="00781112">
        <w:rPr>
          <w:rFonts w:cs="Arial"/>
          <w:color w:val="000000" w:themeColor="text1"/>
          <w:szCs w:val="16"/>
        </w:rPr>
        <w:t>CDE verified that each individual case of noncompliance was corrected by having AUs, which failed to meet compliance with Indicator 11 follow the process outlined below:</w:t>
      </w:r>
      <w:r w:rsidRPr="00781112">
        <w:rPr>
          <w:rFonts w:cs="Arial"/>
          <w:color w:val="000000" w:themeColor="text1"/>
          <w:szCs w:val="16"/>
        </w:rPr>
        <w:br/>
        <w:t>1. AUs received a pre-populated Indicator 11 Demonstration of Correction tracking form which lists each case of delayed initial evaluation record.</w:t>
      </w:r>
      <w:r w:rsidRPr="00781112">
        <w:rPr>
          <w:rFonts w:cs="Arial"/>
          <w:color w:val="000000" w:themeColor="text1"/>
          <w:szCs w:val="16"/>
        </w:rPr>
        <w:br/>
        <w:t>2. AUs verified/reported the reason for the delay and the root-cause of the delay.</w:t>
      </w:r>
      <w:r w:rsidRPr="00781112">
        <w:rPr>
          <w:rFonts w:cs="Arial"/>
          <w:color w:val="000000" w:themeColor="text1"/>
          <w:szCs w:val="16"/>
        </w:rPr>
        <w:br/>
        <w:t>3. If the IEP was finalized more than 90 days following the parental consent, AUs reported how they addressed the delay of services to ensure FAPE. If the AU did not address the delay, and the student was still within the AU, then the AU reported how it planned to address the delay of services to ensure that the child received FAPE.</w:t>
      </w:r>
      <w:r w:rsidRPr="00781112">
        <w:rPr>
          <w:rFonts w:cs="Arial"/>
          <w:color w:val="000000" w:themeColor="text1"/>
          <w:szCs w:val="16"/>
        </w:rPr>
        <w:br/>
        <w:t xml:space="preserve">4. CDE conducted a desk audit of the </w:t>
      </w:r>
      <w:proofErr w:type="gramStart"/>
      <w:r w:rsidRPr="00781112">
        <w:rPr>
          <w:rFonts w:cs="Arial"/>
          <w:color w:val="000000" w:themeColor="text1"/>
          <w:szCs w:val="16"/>
        </w:rPr>
        <w:t>Indicator</w:t>
      </w:r>
      <w:proofErr w:type="gramEnd"/>
      <w:r w:rsidRPr="00781112">
        <w:rPr>
          <w:rFonts w:cs="Arial"/>
          <w:color w:val="000000" w:themeColor="text1"/>
          <w:szCs w:val="16"/>
        </w:rPr>
        <w:t xml:space="preserve"> 11 Individual Correction Trackers submitted by every noncompliant AU. CDE reviewed and verified that each individual case of noncompliance was corrected and informed the AUs of the results.</w:t>
      </w:r>
    </w:p>
    <w:p w14:paraId="47B6C111" w14:textId="77777777" w:rsidR="008227D4" w:rsidRPr="00781112" w:rsidRDefault="008227D4" w:rsidP="004369B2">
      <w:pPr>
        <w:rPr>
          <w:color w:val="000000" w:themeColor="text1"/>
        </w:rPr>
      </w:pPr>
    </w:p>
    <w:p w14:paraId="3D219E0E" w14:textId="1D99DEB4" w:rsidR="009A755E" w:rsidRPr="00781112" w:rsidRDefault="00450F98" w:rsidP="004369B2">
      <w:pPr>
        <w:rPr>
          <w:color w:val="000000" w:themeColor="text1"/>
        </w:rPr>
      </w:pPr>
      <w:r>
        <w:rPr>
          <w:b/>
          <w:color w:val="000000" w:themeColor="text1"/>
        </w:rPr>
        <w:t>Correction of Findings of Noncompliance Identified Prior to FFY 2021</w:t>
      </w:r>
    </w:p>
    <w:tbl>
      <w:tblPr>
        <w:tblStyle w:val="TableGrid"/>
        <w:tblW w:w="5000" w:type="pct"/>
        <w:tblLook w:val="04A0" w:firstRow="1" w:lastRow="0" w:firstColumn="1" w:lastColumn="0" w:noHBand="0" w:noVBand="1"/>
        <w:tblCaption w:val="B11PPFFYNCFINDINGS"/>
      </w:tblPr>
      <w:tblGrid>
        <w:gridCol w:w="2132"/>
        <w:gridCol w:w="3153"/>
        <w:gridCol w:w="2842"/>
        <w:gridCol w:w="2663"/>
      </w:tblGrid>
      <w:tr w:rsidR="005C29F8" w:rsidRPr="00781112" w14:paraId="24C0CC8B" w14:textId="77777777" w:rsidTr="003968A6">
        <w:trPr>
          <w:tblHeader/>
        </w:trPr>
        <w:tc>
          <w:tcPr>
            <w:tcW w:w="988" w:type="pct"/>
            <w:shd w:val="clear" w:color="auto" w:fill="auto"/>
            <w:vAlign w:val="bottom"/>
          </w:tcPr>
          <w:p w14:paraId="4DB94990" w14:textId="41E221B0" w:rsidR="009A755E" w:rsidRPr="00781112" w:rsidRDefault="003A4027" w:rsidP="009A755E">
            <w:pPr>
              <w:jc w:val="center"/>
              <w:rPr>
                <w:rFonts w:cs="Arial"/>
                <w:b/>
                <w:color w:val="000000" w:themeColor="text1"/>
                <w:szCs w:val="16"/>
              </w:rPr>
            </w:pPr>
            <w:r w:rsidRPr="00781112">
              <w:rPr>
                <w:rFonts w:cs="Arial"/>
                <w:b/>
                <w:color w:val="000000" w:themeColor="text1"/>
                <w:szCs w:val="16"/>
              </w:rPr>
              <w:t>Year Findings of Noncompliance Were Identified</w:t>
            </w:r>
          </w:p>
        </w:tc>
        <w:tc>
          <w:tcPr>
            <w:tcW w:w="1461" w:type="pct"/>
            <w:shd w:val="clear" w:color="auto" w:fill="auto"/>
            <w:vAlign w:val="bottom"/>
          </w:tcPr>
          <w:p w14:paraId="58480848" w14:textId="33015617" w:rsidR="009A755E" w:rsidRPr="00781112" w:rsidRDefault="00450F98" w:rsidP="009A755E">
            <w:pPr>
              <w:jc w:val="center"/>
              <w:rPr>
                <w:rFonts w:cs="Arial"/>
                <w:b/>
                <w:color w:val="000000" w:themeColor="text1"/>
                <w:szCs w:val="16"/>
              </w:rPr>
            </w:pPr>
            <w:r>
              <w:rPr>
                <w:rFonts w:cs="Arial"/>
                <w:b/>
                <w:color w:val="000000" w:themeColor="text1"/>
                <w:szCs w:val="16"/>
              </w:rPr>
              <w:t>Findings of Noncompliance Not Yet Verified as Corrected as of FFY 2021 APR</w:t>
            </w:r>
          </w:p>
        </w:tc>
        <w:tc>
          <w:tcPr>
            <w:tcW w:w="1317" w:type="pct"/>
            <w:shd w:val="clear" w:color="auto" w:fill="auto"/>
            <w:vAlign w:val="bottom"/>
          </w:tcPr>
          <w:p w14:paraId="5E728C5E" w14:textId="77777777" w:rsidR="009A755E" w:rsidRPr="00781112" w:rsidRDefault="009A755E" w:rsidP="009A755E">
            <w:pPr>
              <w:jc w:val="center"/>
              <w:rPr>
                <w:rFonts w:cs="Arial"/>
                <w:b/>
                <w:color w:val="000000" w:themeColor="text1"/>
                <w:szCs w:val="16"/>
              </w:rPr>
            </w:pPr>
            <w:r w:rsidRPr="00781112">
              <w:rPr>
                <w:rFonts w:cs="Arial"/>
                <w:b/>
                <w:color w:val="000000" w:themeColor="text1"/>
                <w:szCs w:val="16"/>
              </w:rPr>
              <w:t>Findings of Noncompliance Verified as Corrected</w:t>
            </w:r>
          </w:p>
        </w:tc>
        <w:tc>
          <w:tcPr>
            <w:tcW w:w="1234" w:type="pct"/>
            <w:shd w:val="clear" w:color="auto" w:fill="auto"/>
            <w:vAlign w:val="bottom"/>
          </w:tcPr>
          <w:p w14:paraId="6B7FE6A9" w14:textId="77777777" w:rsidR="009A755E" w:rsidRPr="00781112" w:rsidRDefault="009A755E" w:rsidP="009A755E">
            <w:pPr>
              <w:jc w:val="center"/>
              <w:rPr>
                <w:rFonts w:cs="Arial"/>
                <w:b/>
                <w:color w:val="000000" w:themeColor="text1"/>
                <w:szCs w:val="16"/>
              </w:rPr>
            </w:pPr>
            <w:r w:rsidRPr="00781112">
              <w:rPr>
                <w:rFonts w:cs="Arial"/>
                <w:b/>
                <w:color w:val="000000" w:themeColor="text1"/>
                <w:szCs w:val="16"/>
              </w:rPr>
              <w:t>Findings Not Yet Verified as Corrected</w:t>
            </w:r>
          </w:p>
        </w:tc>
      </w:tr>
      <w:tr w:rsidR="005C29F8" w:rsidRPr="00781112" w14:paraId="4D9969AD" w14:textId="77777777" w:rsidTr="003968A6">
        <w:tc>
          <w:tcPr>
            <w:tcW w:w="988" w:type="pct"/>
            <w:shd w:val="clear" w:color="auto" w:fill="auto"/>
          </w:tcPr>
          <w:p w14:paraId="1373C0BF" w14:textId="5ED00762" w:rsidR="009A755E" w:rsidRPr="00781112" w:rsidRDefault="009A755E" w:rsidP="00A018D4">
            <w:pPr>
              <w:jc w:val="center"/>
              <w:rPr>
                <w:rFonts w:cs="Arial"/>
                <w:color w:val="000000" w:themeColor="text1"/>
                <w:szCs w:val="16"/>
              </w:rPr>
            </w:pPr>
          </w:p>
        </w:tc>
        <w:tc>
          <w:tcPr>
            <w:tcW w:w="1461" w:type="pct"/>
            <w:shd w:val="clear" w:color="auto" w:fill="auto"/>
          </w:tcPr>
          <w:p w14:paraId="5AB62777" w14:textId="29B5602C" w:rsidR="009A755E" w:rsidRPr="00781112" w:rsidRDefault="009A755E">
            <w:pPr>
              <w:jc w:val="center"/>
              <w:rPr>
                <w:rFonts w:cs="Arial"/>
                <w:noProof/>
                <w:color w:val="000000" w:themeColor="text1"/>
                <w:szCs w:val="16"/>
              </w:rPr>
            </w:pPr>
          </w:p>
        </w:tc>
        <w:tc>
          <w:tcPr>
            <w:tcW w:w="1317" w:type="pct"/>
            <w:shd w:val="clear" w:color="auto" w:fill="auto"/>
          </w:tcPr>
          <w:p w14:paraId="1914F665" w14:textId="53788CBE" w:rsidR="009A755E" w:rsidRPr="00781112" w:rsidRDefault="009A755E">
            <w:pPr>
              <w:jc w:val="center"/>
              <w:rPr>
                <w:rFonts w:cs="Arial"/>
                <w:noProof/>
                <w:color w:val="000000" w:themeColor="text1"/>
                <w:szCs w:val="16"/>
              </w:rPr>
            </w:pPr>
          </w:p>
        </w:tc>
        <w:tc>
          <w:tcPr>
            <w:tcW w:w="1234" w:type="pct"/>
            <w:shd w:val="clear" w:color="auto" w:fill="auto"/>
          </w:tcPr>
          <w:p w14:paraId="543D4553" w14:textId="411E0F5D" w:rsidR="009A755E" w:rsidRPr="00781112" w:rsidRDefault="009A755E">
            <w:pPr>
              <w:jc w:val="center"/>
              <w:rPr>
                <w:rFonts w:cs="Arial"/>
                <w:noProof/>
                <w:color w:val="000000" w:themeColor="text1"/>
                <w:szCs w:val="16"/>
              </w:rPr>
            </w:pPr>
          </w:p>
        </w:tc>
      </w:tr>
      <w:tr w:rsidR="005C29F8" w:rsidRPr="00781112" w14:paraId="1816F3D1" w14:textId="77777777" w:rsidTr="003968A6">
        <w:tc>
          <w:tcPr>
            <w:tcW w:w="988" w:type="pct"/>
            <w:shd w:val="clear" w:color="auto" w:fill="auto"/>
          </w:tcPr>
          <w:p w14:paraId="1177FA9A" w14:textId="73A2A90B" w:rsidR="009A755E" w:rsidRPr="00781112" w:rsidRDefault="009A755E" w:rsidP="00A018D4">
            <w:pPr>
              <w:jc w:val="center"/>
              <w:rPr>
                <w:rFonts w:cs="Arial"/>
                <w:color w:val="000000" w:themeColor="text1"/>
                <w:szCs w:val="16"/>
              </w:rPr>
            </w:pPr>
          </w:p>
        </w:tc>
        <w:tc>
          <w:tcPr>
            <w:tcW w:w="1461" w:type="pct"/>
            <w:shd w:val="clear" w:color="auto" w:fill="auto"/>
          </w:tcPr>
          <w:p w14:paraId="42D596E0" w14:textId="4BE898FD" w:rsidR="009A755E" w:rsidRPr="00781112" w:rsidRDefault="009A755E">
            <w:pPr>
              <w:jc w:val="center"/>
              <w:rPr>
                <w:rFonts w:cs="Arial"/>
                <w:noProof/>
                <w:color w:val="000000" w:themeColor="text1"/>
                <w:szCs w:val="16"/>
              </w:rPr>
            </w:pPr>
          </w:p>
        </w:tc>
        <w:tc>
          <w:tcPr>
            <w:tcW w:w="1317" w:type="pct"/>
            <w:shd w:val="clear" w:color="auto" w:fill="auto"/>
          </w:tcPr>
          <w:p w14:paraId="1709DA4E" w14:textId="03D6E40F" w:rsidR="009A755E" w:rsidRPr="00781112" w:rsidRDefault="009A755E">
            <w:pPr>
              <w:jc w:val="center"/>
              <w:rPr>
                <w:rFonts w:cs="Arial"/>
                <w:noProof/>
                <w:color w:val="000000" w:themeColor="text1"/>
                <w:szCs w:val="16"/>
              </w:rPr>
            </w:pPr>
          </w:p>
        </w:tc>
        <w:tc>
          <w:tcPr>
            <w:tcW w:w="1234" w:type="pct"/>
            <w:shd w:val="clear" w:color="auto" w:fill="auto"/>
          </w:tcPr>
          <w:p w14:paraId="7008AE63" w14:textId="0E87CC18" w:rsidR="009A755E" w:rsidRPr="00781112" w:rsidRDefault="009A755E">
            <w:pPr>
              <w:jc w:val="center"/>
              <w:rPr>
                <w:rFonts w:cs="Arial"/>
                <w:noProof/>
                <w:color w:val="000000" w:themeColor="text1"/>
                <w:szCs w:val="16"/>
              </w:rPr>
            </w:pPr>
          </w:p>
        </w:tc>
      </w:tr>
      <w:tr w:rsidR="005C29F8" w:rsidRPr="00781112" w14:paraId="6B4A8AF5" w14:textId="77777777" w:rsidTr="003968A6">
        <w:tc>
          <w:tcPr>
            <w:tcW w:w="988" w:type="pct"/>
            <w:shd w:val="clear" w:color="auto" w:fill="auto"/>
          </w:tcPr>
          <w:p w14:paraId="43946979" w14:textId="506054A6" w:rsidR="009A755E" w:rsidRPr="00781112" w:rsidRDefault="009A755E" w:rsidP="00A018D4">
            <w:pPr>
              <w:jc w:val="center"/>
              <w:rPr>
                <w:rFonts w:cs="Arial"/>
                <w:color w:val="000000" w:themeColor="text1"/>
                <w:szCs w:val="16"/>
              </w:rPr>
            </w:pPr>
          </w:p>
        </w:tc>
        <w:tc>
          <w:tcPr>
            <w:tcW w:w="1461" w:type="pct"/>
            <w:shd w:val="clear" w:color="auto" w:fill="auto"/>
          </w:tcPr>
          <w:p w14:paraId="2F9F2AEA" w14:textId="4F1403DB" w:rsidR="009A755E" w:rsidRPr="00781112" w:rsidRDefault="009A755E">
            <w:pPr>
              <w:jc w:val="center"/>
              <w:rPr>
                <w:rFonts w:cs="Arial"/>
                <w:noProof/>
                <w:color w:val="000000" w:themeColor="text1"/>
                <w:szCs w:val="16"/>
              </w:rPr>
            </w:pPr>
          </w:p>
        </w:tc>
        <w:tc>
          <w:tcPr>
            <w:tcW w:w="1317" w:type="pct"/>
            <w:shd w:val="clear" w:color="auto" w:fill="auto"/>
          </w:tcPr>
          <w:p w14:paraId="083E1253" w14:textId="465F1687" w:rsidR="009A755E" w:rsidRPr="00781112" w:rsidRDefault="009A755E">
            <w:pPr>
              <w:jc w:val="center"/>
              <w:rPr>
                <w:rFonts w:cs="Arial"/>
                <w:noProof/>
                <w:color w:val="000000" w:themeColor="text1"/>
                <w:szCs w:val="16"/>
              </w:rPr>
            </w:pPr>
          </w:p>
        </w:tc>
        <w:tc>
          <w:tcPr>
            <w:tcW w:w="1234" w:type="pct"/>
            <w:shd w:val="clear" w:color="auto" w:fill="auto"/>
          </w:tcPr>
          <w:p w14:paraId="5051C049" w14:textId="54F55515" w:rsidR="009A755E" w:rsidRPr="00781112" w:rsidRDefault="009A755E">
            <w:pPr>
              <w:jc w:val="center"/>
              <w:rPr>
                <w:rFonts w:cs="Arial"/>
                <w:noProof/>
                <w:color w:val="000000" w:themeColor="text1"/>
                <w:szCs w:val="16"/>
              </w:rPr>
            </w:pPr>
          </w:p>
        </w:tc>
      </w:tr>
      <w:tr w:rsidR="009A0A1A" w:rsidRPr="00781112" w14:paraId="326044C9" w14:textId="77777777" w:rsidTr="003968A6">
        <w:tc>
          <w:tcPr>
            <w:tcW w:w="988" w:type="pct"/>
            <w:shd w:val="clear" w:color="auto" w:fill="auto"/>
          </w:tcPr>
          <w:p w14:paraId="4BA2A9AB" w14:textId="600C6311" w:rsidR="009A0A1A" w:rsidRPr="00781112" w:rsidRDefault="009A0A1A" w:rsidP="009A0A1A">
            <w:pPr>
              <w:jc w:val="center"/>
              <w:rPr>
                <w:rFonts w:cs="Arial"/>
                <w:color w:val="000000" w:themeColor="text1"/>
                <w:szCs w:val="16"/>
              </w:rPr>
            </w:pPr>
          </w:p>
        </w:tc>
        <w:tc>
          <w:tcPr>
            <w:tcW w:w="1461" w:type="pct"/>
            <w:shd w:val="clear" w:color="auto" w:fill="auto"/>
          </w:tcPr>
          <w:p w14:paraId="3A53DE5D" w14:textId="1B675A3C" w:rsidR="009A0A1A" w:rsidRPr="00781112" w:rsidRDefault="009A0A1A" w:rsidP="009A0A1A">
            <w:pPr>
              <w:jc w:val="center"/>
              <w:rPr>
                <w:rFonts w:cs="Arial"/>
                <w:color w:val="000000" w:themeColor="text1"/>
                <w:szCs w:val="16"/>
              </w:rPr>
            </w:pPr>
          </w:p>
        </w:tc>
        <w:tc>
          <w:tcPr>
            <w:tcW w:w="1317" w:type="pct"/>
            <w:shd w:val="clear" w:color="auto" w:fill="auto"/>
          </w:tcPr>
          <w:p w14:paraId="3E865613" w14:textId="390526A2" w:rsidR="009A0A1A" w:rsidRPr="00781112" w:rsidRDefault="009A0A1A" w:rsidP="009A0A1A">
            <w:pPr>
              <w:jc w:val="center"/>
              <w:rPr>
                <w:rFonts w:cs="Arial"/>
                <w:color w:val="000000" w:themeColor="text1"/>
                <w:szCs w:val="16"/>
              </w:rPr>
            </w:pPr>
          </w:p>
        </w:tc>
        <w:tc>
          <w:tcPr>
            <w:tcW w:w="1234" w:type="pct"/>
            <w:shd w:val="clear" w:color="auto" w:fill="auto"/>
          </w:tcPr>
          <w:p w14:paraId="42A0EAE6" w14:textId="26C893D7" w:rsidR="009A0A1A" w:rsidRPr="00781112" w:rsidRDefault="009A0A1A" w:rsidP="009A0A1A">
            <w:pPr>
              <w:jc w:val="center"/>
              <w:rPr>
                <w:rFonts w:cs="Arial"/>
                <w:color w:val="000000" w:themeColor="text1"/>
                <w:szCs w:val="16"/>
              </w:rPr>
            </w:pPr>
          </w:p>
        </w:tc>
      </w:tr>
      <w:tr w:rsidR="009A0A1A" w:rsidRPr="00781112" w14:paraId="1C2753A1" w14:textId="77777777" w:rsidTr="003968A6">
        <w:tc>
          <w:tcPr>
            <w:tcW w:w="988" w:type="pct"/>
            <w:shd w:val="clear" w:color="auto" w:fill="auto"/>
          </w:tcPr>
          <w:p w14:paraId="36D3903A" w14:textId="2B275116" w:rsidR="009A0A1A" w:rsidRPr="00781112" w:rsidRDefault="009A0A1A" w:rsidP="009A0A1A">
            <w:pPr>
              <w:jc w:val="center"/>
              <w:rPr>
                <w:rFonts w:cs="Arial"/>
                <w:color w:val="000000" w:themeColor="text1"/>
                <w:szCs w:val="16"/>
              </w:rPr>
            </w:pPr>
          </w:p>
        </w:tc>
        <w:tc>
          <w:tcPr>
            <w:tcW w:w="1461" w:type="pct"/>
            <w:shd w:val="clear" w:color="auto" w:fill="auto"/>
          </w:tcPr>
          <w:p w14:paraId="6D50DE81" w14:textId="31EC2B0E" w:rsidR="009A0A1A" w:rsidRPr="00781112" w:rsidRDefault="009A0A1A" w:rsidP="009A0A1A">
            <w:pPr>
              <w:jc w:val="center"/>
              <w:rPr>
                <w:rFonts w:cs="Arial"/>
                <w:color w:val="000000" w:themeColor="text1"/>
                <w:szCs w:val="16"/>
              </w:rPr>
            </w:pPr>
          </w:p>
        </w:tc>
        <w:tc>
          <w:tcPr>
            <w:tcW w:w="1317" w:type="pct"/>
            <w:shd w:val="clear" w:color="auto" w:fill="auto"/>
          </w:tcPr>
          <w:p w14:paraId="5274E81C" w14:textId="6539CB22" w:rsidR="009A0A1A" w:rsidRPr="00781112" w:rsidRDefault="009A0A1A" w:rsidP="009A0A1A">
            <w:pPr>
              <w:jc w:val="center"/>
              <w:rPr>
                <w:rFonts w:cs="Arial"/>
                <w:color w:val="000000" w:themeColor="text1"/>
                <w:szCs w:val="16"/>
              </w:rPr>
            </w:pPr>
          </w:p>
        </w:tc>
        <w:tc>
          <w:tcPr>
            <w:tcW w:w="1234" w:type="pct"/>
            <w:shd w:val="clear" w:color="auto" w:fill="auto"/>
          </w:tcPr>
          <w:p w14:paraId="69F94DB7" w14:textId="3F25747D" w:rsidR="009A0A1A" w:rsidRPr="00781112" w:rsidRDefault="009A0A1A" w:rsidP="009A0A1A">
            <w:pPr>
              <w:jc w:val="center"/>
              <w:rPr>
                <w:rFonts w:cs="Arial"/>
                <w:color w:val="000000" w:themeColor="text1"/>
                <w:szCs w:val="16"/>
              </w:rPr>
            </w:pPr>
          </w:p>
        </w:tc>
      </w:tr>
    </w:tbl>
    <w:p w14:paraId="3F4BF14E" w14:textId="77777777" w:rsidR="009A0A1A" w:rsidRPr="00781112" w:rsidRDefault="009A0A1A" w:rsidP="009A755E">
      <w:pPr>
        <w:rPr>
          <w:rFonts w:cs="Arial"/>
          <w:color w:val="000000" w:themeColor="text1"/>
          <w:szCs w:val="16"/>
        </w:rPr>
      </w:pPr>
    </w:p>
    <w:p w14:paraId="6AA9F004" w14:textId="407DFBC2" w:rsidR="004E2151" w:rsidRPr="00781112" w:rsidRDefault="00C22B92" w:rsidP="00123D76">
      <w:pPr>
        <w:pStyle w:val="Heading2"/>
      </w:pPr>
      <w:r w:rsidRPr="00781112">
        <w:t>11</w:t>
      </w:r>
      <w:r w:rsidR="004838A4" w:rsidRPr="00781112">
        <w:t xml:space="preserve"> </w:t>
      </w:r>
      <w:r w:rsidRPr="00781112">
        <w:t xml:space="preserve">- </w:t>
      </w:r>
      <w:r w:rsidR="004E2151" w:rsidRPr="00781112">
        <w:t>Prior FFY Required Actions</w:t>
      </w:r>
    </w:p>
    <w:p w14:paraId="1469B26E" w14:textId="5BCE6CA0" w:rsidR="004E2151" w:rsidRPr="00781112" w:rsidRDefault="002B7490" w:rsidP="004E2151">
      <w:pPr>
        <w:rPr>
          <w:rFonts w:cs="Arial"/>
          <w:color w:val="000000" w:themeColor="text1"/>
          <w:szCs w:val="16"/>
        </w:rPr>
      </w:pPr>
      <w:r w:rsidRPr="00781112">
        <w:rPr>
          <w:rFonts w:cs="Arial"/>
          <w:color w:val="000000" w:themeColor="text1"/>
          <w:szCs w:val="16"/>
        </w:rPr>
        <w:t>Because the State reported less than 100% compliance for FFY 2021, the State must report on the status of correction of noncompliance identified in FFY 2021 for this indicator. When reporting on the correction of noncompliance, the State must report, in the FFY 2022 SPP/APR, that it has verified that each LEA with noncompliance identified in FFY 2021 for this indicator:  (1) is correctly implementing the specific regulatory requirements (i.e., achieved 100% compliance) based on a review of updated data such as data subsequently collected through on-site monitoring or a State data system; and (2) has corrected each individual case of noncompliance, unless the child is no longer within the jurisdiction of the LEA, consistent with OSEP Memo 09-02.  In the FFY 2022 SPP/APR, the State must describe the specific actions that were taken to verify the correction.</w:t>
      </w:r>
      <w:r w:rsidRPr="00781112">
        <w:rPr>
          <w:rFonts w:cs="Arial"/>
          <w:color w:val="000000" w:themeColor="text1"/>
          <w:szCs w:val="16"/>
        </w:rPr>
        <w:br/>
      </w:r>
      <w:r w:rsidRPr="00781112">
        <w:rPr>
          <w:rFonts w:cs="Arial"/>
          <w:color w:val="000000" w:themeColor="text1"/>
          <w:szCs w:val="16"/>
        </w:rPr>
        <w:br/>
        <w:t>If the State did not identify any findings of noncompliance in FFY 2021, although its FFY 2021 data reflect less than 100% compliance, provide an explanation of why the State did not identify any findings of noncompliance in FFY 2021.</w:t>
      </w:r>
    </w:p>
    <w:p w14:paraId="314020BE" w14:textId="77777777" w:rsidR="009F69E7" w:rsidRPr="00781112" w:rsidRDefault="009F69E7" w:rsidP="004E2151">
      <w:pPr>
        <w:rPr>
          <w:rFonts w:cs="Arial"/>
          <w:color w:val="000000" w:themeColor="text1"/>
          <w:szCs w:val="16"/>
        </w:rPr>
      </w:pPr>
    </w:p>
    <w:p w14:paraId="35EEEBCC" w14:textId="55507AC2" w:rsidR="004E2151" w:rsidRPr="00781112" w:rsidRDefault="007639D7" w:rsidP="004369B2">
      <w:pPr>
        <w:rPr>
          <w:b/>
          <w:color w:val="000000" w:themeColor="text1"/>
        </w:rPr>
      </w:pPr>
      <w:r>
        <w:rPr>
          <w:b/>
          <w:color w:val="000000" w:themeColor="text1"/>
        </w:rPr>
        <w:t>Response to actions required in FFY 2021 SPP/APR</w:t>
      </w:r>
    </w:p>
    <w:p w14:paraId="29D8AFAD" w14:textId="6EBD882C" w:rsidR="004E2151" w:rsidRPr="00781112" w:rsidRDefault="002B7490" w:rsidP="004E2151">
      <w:pPr>
        <w:rPr>
          <w:rFonts w:cs="Arial"/>
          <w:color w:val="000000" w:themeColor="text1"/>
          <w:szCs w:val="16"/>
        </w:rPr>
      </w:pPr>
      <w:r w:rsidRPr="00781112">
        <w:rPr>
          <w:rFonts w:cs="Arial"/>
          <w:color w:val="000000" w:themeColor="text1"/>
          <w:szCs w:val="16"/>
        </w:rPr>
        <w:t>In the FFY 2022 SPP/APR, Colorado described the specific actions taken to verify that each LEA with noncompliance identified in FFY 2021 for this indicator is:  (1) is correctly implementing the specific regulatory requirements (i.e., achieved 100% compliance) based on a review of updated data such as data subsequently collected through on-site monitoring or a State data system; and (2) has corrected each individual case of noncompliance, unless the child is no longer within the jurisdiction of the LEA, consistent with OSEP QA 23-01.</w:t>
      </w:r>
    </w:p>
    <w:p w14:paraId="1D3AFFE6" w14:textId="5250F151" w:rsidR="007F5071" w:rsidRPr="00781112" w:rsidRDefault="00C22B92" w:rsidP="00123D76">
      <w:pPr>
        <w:pStyle w:val="Heading2"/>
      </w:pPr>
      <w:r w:rsidRPr="00781112">
        <w:t>11 - OSEP Response</w:t>
      </w:r>
    </w:p>
    <w:p w14:paraId="2479DA6D" w14:textId="3DE51C13" w:rsidR="00326C0B" w:rsidRPr="00781112" w:rsidRDefault="00326C0B" w:rsidP="00212954">
      <w:pPr>
        <w:rPr>
          <w:rFonts w:cs="Arial"/>
          <w:color w:val="000000" w:themeColor="text1"/>
          <w:szCs w:val="16"/>
        </w:rPr>
      </w:pPr>
    </w:p>
    <w:p w14:paraId="140652C1" w14:textId="064683E6" w:rsidR="007F5071" w:rsidRPr="00781112" w:rsidRDefault="00C22B92" w:rsidP="00123D76">
      <w:pPr>
        <w:pStyle w:val="Heading2"/>
      </w:pPr>
      <w:r w:rsidRPr="00781112">
        <w:t>11 - Required Actions</w:t>
      </w:r>
    </w:p>
    <w:p w14:paraId="542023B0" w14:textId="425F5FF5" w:rsidR="00326C0B" w:rsidRPr="00781112" w:rsidRDefault="002B7490" w:rsidP="00212954">
      <w:pPr>
        <w:rPr>
          <w:rFonts w:cs="Arial"/>
          <w:color w:val="000000" w:themeColor="text1"/>
          <w:szCs w:val="16"/>
        </w:rPr>
      </w:pPr>
      <w:r w:rsidRPr="00781112">
        <w:rPr>
          <w:rFonts w:cs="Arial"/>
          <w:color w:val="000000" w:themeColor="text1"/>
          <w:szCs w:val="16"/>
        </w:rPr>
        <w:t>Because the State reported less than 100% compliance for FFY 2022, the State must report on the status of correction of noncompliance identified in FFY 2022 for this indicator. When reporting on the correction of noncompliance, the State must report, in the FFY 2023 SPP/APR, that it has verified that each LEA with noncompliance identified in FFY 2022 for this indicator is correctly implementing the specific regulatory requirements (i.e., achieved 100% compliance) based on a review of updated data such as data subsequently collected through on-site monitoring or a State data system; and has corrected each individual case of noncompliance, unless the child is no longer within the jurisdiction of the LEA, consistent with OSEP QA 23-01.  In the FFY 2023 SPP/APR, the State must describe the specific actions that were taken to verify the correction. If the State did not identify any findings of noncompliance in FFY 2022, although its FFY 2022 data reflect less than 100% compliance, provide an explanation of why the State did not identify any findings of noncompliance in FFY 2022.</w:t>
      </w:r>
    </w:p>
    <w:p w14:paraId="529C4C74" w14:textId="77777777" w:rsidR="00102FA3" w:rsidRPr="00781112" w:rsidRDefault="00102FA3">
      <w:pPr>
        <w:spacing w:before="0" w:after="200" w:line="276" w:lineRule="auto"/>
        <w:rPr>
          <w:rFonts w:eastAsiaTheme="majorEastAsia" w:cs="Arial"/>
          <w:b/>
          <w:bCs/>
          <w:color w:val="000000" w:themeColor="text1"/>
          <w:szCs w:val="16"/>
        </w:rPr>
      </w:pPr>
      <w:r w:rsidRPr="00781112">
        <w:rPr>
          <w:rFonts w:cs="Arial"/>
          <w:color w:val="000000" w:themeColor="text1"/>
          <w:szCs w:val="16"/>
        </w:rPr>
        <w:br w:type="page"/>
      </w:r>
    </w:p>
    <w:p w14:paraId="55C7C90D" w14:textId="1ACF121A" w:rsidR="00D03701" w:rsidRPr="00781112" w:rsidRDefault="00D03701" w:rsidP="000444E2">
      <w:pPr>
        <w:pStyle w:val="Heading1"/>
        <w:rPr>
          <w:color w:val="000000" w:themeColor="text1"/>
          <w:sz w:val="22"/>
        </w:rPr>
      </w:pPr>
      <w:r w:rsidRPr="00781112">
        <w:rPr>
          <w:color w:val="000000" w:themeColor="text1"/>
          <w:sz w:val="22"/>
        </w:rPr>
        <w:lastRenderedPageBreak/>
        <w:t>Indicator 12: Early Childhood Transition</w:t>
      </w:r>
      <w:bookmarkEnd w:id="70"/>
      <w:bookmarkEnd w:id="71"/>
      <w:bookmarkEnd w:id="72"/>
    </w:p>
    <w:p w14:paraId="435B75C0" w14:textId="77777777" w:rsidR="00652135" w:rsidRPr="00781112" w:rsidRDefault="00652135" w:rsidP="00A018D4">
      <w:pPr>
        <w:rPr>
          <w:color w:val="000000" w:themeColor="text1"/>
          <w:szCs w:val="20"/>
        </w:rPr>
      </w:pPr>
      <w:r w:rsidRPr="00781112">
        <w:rPr>
          <w:b/>
          <w:color w:val="000000" w:themeColor="text1"/>
          <w:sz w:val="20"/>
          <w:szCs w:val="20"/>
        </w:rPr>
        <w:t>Instructions and Measurement</w:t>
      </w:r>
    </w:p>
    <w:p w14:paraId="6C78EC4F" w14:textId="77777777" w:rsidR="001F3A65" w:rsidRPr="00781112" w:rsidRDefault="001F3A65" w:rsidP="009447A3">
      <w:pPr>
        <w:rPr>
          <w:rFonts w:cs="Arial"/>
          <w:color w:val="000000" w:themeColor="text1"/>
          <w:szCs w:val="16"/>
        </w:rPr>
      </w:pPr>
      <w:bookmarkStart w:id="73" w:name="_Toc384383358"/>
      <w:bookmarkStart w:id="74" w:name="_Toc392159326"/>
      <w:r w:rsidRPr="00781112">
        <w:rPr>
          <w:rFonts w:cs="Arial"/>
          <w:b/>
          <w:color w:val="000000" w:themeColor="text1"/>
          <w:szCs w:val="16"/>
        </w:rPr>
        <w:t>Monitoring Priorit</w:t>
      </w:r>
      <w:r w:rsidRPr="00781112">
        <w:rPr>
          <w:rFonts w:cs="Arial"/>
          <w:color w:val="000000" w:themeColor="text1"/>
          <w:szCs w:val="16"/>
        </w:rPr>
        <w:t>y: Effective General Supervision Part B / Effective Transition</w:t>
      </w:r>
    </w:p>
    <w:p w14:paraId="5BB6E6C8" w14:textId="77777777" w:rsidR="00704E6A" w:rsidRPr="00781112" w:rsidRDefault="001F3A65" w:rsidP="009447A3">
      <w:pPr>
        <w:rPr>
          <w:rFonts w:cs="Arial"/>
          <w:color w:val="000000" w:themeColor="text1"/>
          <w:szCs w:val="16"/>
        </w:rPr>
      </w:pPr>
      <w:r w:rsidRPr="00781112">
        <w:rPr>
          <w:rFonts w:cs="Arial"/>
          <w:b/>
          <w:color w:val="000000" w:themeColor="text1"/>
          <w:szCs w:val="16"/>
        </w:rPr>
        <w:t>Compliance indicator</w:t>
      </w:r>
      <w:r w:rsidRPr="00781112">
        <w:rPr>
          <w:rFonts w:cs="Arial"/>
          <w:color w:val="000000" w:themeColor="text1"/>
          <w:szCs w:val="16"/>
        </w:rPr>
        <w:t xml:space="preserve">: Percent of children referred by Part C prior to age 3, who are found eligible for Part B, and who have an IEP developed and implemented by their third birthdays. </w:t>
      </w:r>
    </w:p>
    <w:p w14:paraId="760E84D0" w14:textId="3B0C2366" w:rsidR="001F3A65" w:rsidRPr="00781112" w:rsidRDefault="001F3A65" w:rsidP="009447A3">
      <w:pPr>
        <w:rPr>
          <w:rFonts w:cs="Arial"/>
          <w:color w:val="000000" w:themeColor="text1"/>
          <w:szCs w:val="16"/>
        </w:rPr>
      </w:pPr>
      <w:r w:rsidRPr="00781112">
        <w:rPr>
          <w:rFonts w:cs="Arial"/>
          <w:color w:val="000000" w:themeColor="text1"/>
          <w:szCs w:val="16"/>
        </w:rPr>
        <w:t>(20 U.S.C. 1416(a)(3)(B))</w:t>
      </w:r>
    </w:p>
    <w:p w14:paraId="10C4B518" w14:textId="77777777" w:rsidR="00704E6A" w:rsidRPr="00781112" w:rsidRDefault="00704E6A" w:rsidP="004369B2">
      <w:pPr>
        <w:rPr>
          <w:color w:val="000000" w:themeColor="text1"/>
        </w:rPr>
      </w:pPr>
      <w:r w:rsidRPr="00781112">
        <w:rPr>
          <w:b/>
          <w:color w:val="000000" w:themeColor="text1"/>
        </w:rPr>
        <w:t>Data Source</w:t>
      </w:r>
    </w:p>
    <w:p w14:paraId="65642578" w14:textId="09D10273" w:rsidR="00704E6A" w:rsidRPr="00781112" w:rsidRDefault="00704E6A" w:rsidP="00286BDF">
      <w:pPr>
        <w:rPr>
          <w:rFonts w:cs="Arial"/>
          <w:color w:val="000000" w:themeColor="text1"/>
          <w:szCs w:val="16"/>
        </w:rPr>
      </w:pPr>
      <w:r w:rsidRPr="00781112">
        <w:rPr>
          <w:rFonts w:cs="Arial"/>
          <w:color w:val="000000" w:themeColor="text1"/>
          <w:szCs w:val="16"/>
          <w:shd w:val="clear" w:color="auto" w:fill="FFFFFF"/>
        </w:rPr>
        <w:t>Data to be taken from State monitoring or State data system.</w:t>
      </w:r>
    </w:p>
    <w:p w14:paraId="4DFE5EEF" w14:textId="77777777" w:rsidR="00704E6A" w:rsidRPr="00781112" w:rsidRDefault="00704E6A" w:rsidP="004369B2">
      <w:pPr>
        <w:rPr>
          <w:color w:val="000000" w:themeColor="text1"/>
        </w:rPr>
      </w:pPr>
      <w:r w:rsidRPr="00781112">
        <w:rPr>
          <w:b/>
          <w:color w:val="000000" w:themeColor="text1"/>
        </w:rPr>
        <w:t>Measurement</w:t>
      </w:r>
    </w:p>
    <w:p w14:paraId="577779AD" w14:textId="51863FF6" w:rsidR="00704E6A" w:rsidRPr="00781112" w:rsidRDefault="00A90E71" w:rsidP="006A01BD">
      <w:pPr>
        <w:spacing w:before="0" w:after="0"/>
        <w:rPr>
          <w:rFonts w:eastAsia="Times New Roman" w:cs="Arial"/>
          <w:color w:val="000000" w:themeColor="text1"/>
          <w:szCs w:val="16"/>
        </w:rPr>
      </w:pPr>
      <w:r w:rsidRPr="00781112">
        <w:rPr>
          <w:rFonts w:eastAsia="Times New Roman" w:cs="Arial"/>
          <w:color w:val="000000" w:themeColor="text1"/>
          <w:szCs w:val="16"/>
        </w:rPr>
        <w:tab/>
        <w:t>a. # of children who have been served in Part C and referred to Part B for Part B eligibility determination.</w:t>
      </w:r>
    </w:p>
    <w:p w14:paraId="1D83C19C" w14:textId="0381C17E" w:rsidR="00704E6A" w:rsidRPr="00781112" w:rsidRDefault="00A90E71" w:rsidP="006A01BD">
      <w:pPr>
        <w:spacing w:before="0" w:after="0"/>
        <w:rPr>
          <w:rFonts w:eastAsia="Times New Roman" w:cs="Arial"/>
          <w:color w:val="000000" w:themeColor="text1"/>
          <w:szCs w:val="16"/>
        </w:rPr>
      </w:pPr>
      <w:r w:rsidRPr="00781112">
        <w:rPr>
          <w:rFonts w:eastAsia="Times New Roman" w:cs="Arial"/>
          <w:color w:val="000000" w:themeColor="text1"/>
          <w:szCs w:val="16"/>
        </w:rPr>
        <w:tab/>
        <w:t>b. # of those referred determined to be NOT eligible and whose eligibility was determined prior to their third birthdays.</w:t>
      </w:r>
    </w:p>
    <w:p w14:paraId="62A73664" w14:textId="3A860DF6" w:rsidR="00704E6A" w:rsidRPr="00781112" w:rsidRDefault="00A90E71" w:rsidP="006A01BD">
      <w:pPr>
        <w:spacing w:before="0" w:after="0"/>
        <w:rPr>
          <w:rFonts w:eastAsia="Times New Roman" w:cs="Arial"/>
          <w:color w:val="000000" w:themeColor="text1"/>
          <w:szCs w:val="16"/>
        </w:rPr>
      </w:pPr>
      <w:r w:rsidRPr="00781112">
        <w:rPr>
          <w:rFonts w:eastAsia="Times New Roman" w:cs="Arial"/>
          <w:color w:val="000000" w:themeColor="text1"/>
          <w:szCs w:val="16"/>
        </w:rPr>
        <w:tab/>
        <w:t>c. # of those found eligible who have an IEP developed and implemented by their third birthdays.</w:t>
      </w:r>
    </w:p>
    <w:p w14:paraId="43DE876C" w14:textId="58ABBAA9" w:rsidR="00704E6A" w:rsidRPr="00781112" w:rsidRDefault="00A90E71" w:rsidP="006A01BD">
      <w:pPr>
        <w:spacing w:before="0" w:after="0"/>
        <w:rPr>
          <w:rFonts w:eastAsia="Times New Roman" w:cs="Arial"/>
          <w:color w:val="000000" w:themeColor="text1"/>
          <w:szCs w:val="16"/>
        </w:rPr>
      </w:pPr>
      <w:r w:rsidRPr="00781112">
        <w:rPr>
          <w:rFonts w:eastAsia="Times New Roman" w:cs="Arial"/>
          <w:color w:val="000000" w:themeColor="text1"/>
          <w:szCs w:val="16"/>
        </w:rPr>
        <w:tab/>
        <w:t xml:space="preserve">d. # of children for whom parent refusal to provide consent caused delays in evaluation or initial services or to whom exceptions under 34 CFR </w:t>
      </w:r>
      <w:r w:rsidRPr="00781112">
        <w:rPr>
          <w:rFonts w:eastAsia="Times New Roman" w:cs="Arial"/>
          <w:color w:val="000000" w:themeColor="text1"/>
          <w:szCs w:val="16"/>
        </w:rPr>
        <w:tab/>
      </w:r>
      <w:r w:rsidR="00704E6A" w:rsidRPr="00781112">
        <w:rPr>
          <w:rFonts w:eastAsia="Times New Roman" w:cs="Arial"/>
          <w:color w:val="000000" w:themeColor="text1"/>
          <w:szCs w:val="16"/>
        </w:rPr>
        <w:t>§300.301(d) applied.</w:t>
      </w:r>
    </w:p>
    <w:p w14:paraId="4AFE260E" w14:textId="6A26A1CE" w:rsidR="00704E6A" w:rsidRPr="00781112" w:rsidRDefault="00A90E71" w:rsidP="006A01BD">
      <w:pPr>
        <w:spacing w:before="0" w:after="0"/>
        <w:rPr>
          <w:rFonts w:eastAsia="Times New Roman" w:cs="Arial"/>
          <w:color w:val="000000" w:themeColor="text1"/>
          <w:szCs w:val="16"/>
        </w:rPr>
      </w:pPr>
      <w:r w:rsidRPr="00781112">
        <w:rPr>
          <w:rFonts w:eastAsia="Times New Roman" w:cs="Arial"/>
          <w:color w:val="000000" w:themeColor="text1"/>
          <w:szCs w:val="16"/>
        </w:rPr>
        <w:tab/>
        <w:t>e. # of children determined to be eligible for early intervention services under Part C less than 90 days before their third birthdays.</w:t>
      </w:r>
    </w:p>
    <w:p w14:paraId="1306CF8A" w14:textId="7D69EBBD" w:rsidR="00704E6A" w:rsidRPr="00781112" w:rsidRDefault="00A90E71" w:rsidP="00A90E71">
      <w:pPr>
        <w:spacing w:before="0" w:after="0"/>
        <w:rPr>
          <w:rFonts w:eastAsia="Times New Roman" w:cs="Arial"/>
          <w:color w:val="000000" w:themeColor="text1"/>
          <w:szCs w:val="16"/>
        </w:rPr>
      </w:pPr>
      <w:r w:rsidRPr="00781112">
        <w:rPr>
          <w:rFonts w:eastAsia="Times New Roman" w:cs="Arial"/>
          <w:color w:val="000000" w:themeColor="text1"/>
          <w:szCs w:val="16"/>
        </w:rPr>
        <w:tab/>
        <w:t xml:space="preserve">f. # of children whose parents chose to continue early intervention services beyond the child’s third birthday through a </w:t>
      </w:r>
      <w:proofErr w:type="gramStart"/>
      <w:r w:rsidRPr="00781112">
        <w:rPr>
          <w:rFonts w:eastAsia="Times New Roman" w:cs="Arial"/>
          <w:color w:val="000000" w:themeColor="text1"/>
          <w:szCs w:val="16"/>
        </w:rPr>
        <w:t>State’s</w:t>
      </w:r>
      <w:proofErr w:type="gramEnd"/>
      <w:r w:rsidRPr="00781112">
        <w:rPr>
          <w:rFonts w:eastAsia="Times New Roman" w:cs="Arial"/>
          <w:color w:val="000000" w:themeColor="text1"/>
          <w:szCs w:val="16"/>
        </w:rPr>
        <w:t xml:space="preserve"> policy under 34 </w:t>
      </w:r>
      <w:r w:rsidRPr="00781112">
        <w:rPr>
          <w:rFonts w:eastAsia="Times New Roman" w:cs="Arial"/>
          <w:color w:val="000000" w:themeColor="text1"/>
          <w:szCs w:val="16"/>
        </w:rPr>
        <w:tab/>
      </w:r>
      <w:r w:rsidR="00704E6A" w:rsidRPr="00781112">
        <w:rPr>
          <w:rFonts w:eastAsia="Times New Roman" w:cs="Arial"/>
          <w:color w:val="000000" w:themeColor="text1"/>
          <w:szCs w:val="16"/>
        </w:rPr>
        <w:t>CFR §303.211 or a similar State option.</w:t>
      </w:r>
    </w:p>
    <w:p w14:paraId="13DB13F0" w14:textId="77777777" w:rsidR="00A90E71" w:rsidRPr="00781112" w:rsidRDefault="00A90E71" w:rsidP="006A01BD">
      <w:pPr>
        <w:spacing w:before="0" w:after="0"/>
        <w:rPr>
          <w:rFonts w:eastAsia="Times New Roman" w:cs="Arial"/>
          <w:color w:val="000000" w:themeColor="text1"/>
          <w:szCs w:val="16"/>
        </w:rPr>
      </w:pPr>
    </w:p>
    <w:p w14:paraId="07549C8E" w14:textId="77777777" w:rsidR="00704E6A" w:rsidRPr="00781112" w:rsidRDefault="00704E6A" w:rsidP="006A01BD">
      <w:pPr>
        <w:spacing w:before="0" w:after="210"/>
        <w:rPr>
          <w:rFonts w:eastAsia="Times New Roman" w:cs="Arial"/>
          <w:color w:val="000000" w:themeColor="text1"/>
          <w:szCs w:val="16"/>
        </w:rPr>
      </w:pPr>
      <w:r w:rsidRPr="00781112">
        <w:rPr>
          <w:rFonts w:eastAsia="Times New Roman" w:cs="Arial"/>
          <w:color w:val="000000" w:themeColor="text1"/>
          <w:szCs w:val="16"/>
        </w:rPr>
        <w:t>Account for children included in (a), but not included in b, c, d, e, or f. Indicate the range of days beyond the third birthday when eligibility was determined and the IEP developed, and the reasons for the delays.</w:t>
      </w:r>
    </w:p>
    <w:p w14:paraId="5406A8A2" w14:textId="2622A063" w:rsidR="00704E6A" w:rsidRPr="00781112" w:rsidRDefault="00704E6A" w:rsidP="009447A3">
      <w:pPr>
        <w:spacing w:before="0" w:after="210"/>
        <w:rPr>
          <w:rFonts w:eastAsia="Times New Roman" w:cs="Arial"/>
          <w:color w:val="000000" w:themeColor="text1"/>
          <w:szCs w:val="16"/>
        </w:rPr>
      </w:pPr>
      <w:r w:rsidRPr="00781112">
        <w:rPr>
          <w:rFonts w:eastAsia="Times New Roman" w:cs="Arial"/>
          <w:color w:val="000000" w:themeColor="text1"/>
          <w:szCs w:val="16"/>
        </w:rPr>
        <w:t>Percent = [(c) divided by (a - b - d - e - f)] times 100.</w:t>
      </w:r>
    </w:p>
    <w:p w14:paraId="568E2452" w14:textId="77777777" w:rsidR="00704E6A" w:rsidRPr="00781112" w:rsidRDefault="00704E6A" w:rsidP="004369B2">
      <w:pPr>
        <w:rPr>
          <w:color w:val="000000" w:themeColor="text1"/>
        </w:rPr>
      </w:pPr>
      <w:r w:rsidRPr="00781112">
        <w:rPr>
          <w:b/>
          <w:color w:val="000000" w:themeColor="text1"/>
        </w:rPr>
        <w:t>Instructions</w:t>
      </w:r>
    </w:p>
    <w:p w14:paraId="26144B56" w14:textId="77777777" w:rsidR="00704E6A" w:rsidRPr="00781112" w:rsidRDefault="00704E6A" w:rsidP="00286BDF">
      <w:pPr>
        <w:rPr>
          <w:rFonts w:cs="Arial"/>
          <w:i/>
          <w:iCs/>
          <w:color w:val="000000" w:themeColor="text1"/>
          <w:szCs w:val="16"/>
        </w:rPr>
      </w:pPr>
      <w:r w:rsidRPr="00781112">
        <w:rPr>
          <w:rFonts w:cs="Arial"/>
          <w:i/>
          <w:iCs/>
          <w:color w:val="000000" w:themeColor="text1"/>
          <w:szCs w:val="16"/>
        </w:rPr>
        <w:t xml:space="preserve">If data are from State monitoring, describe the method used to select LEAs for monitoring. If data </w:t>
      </w:r>
      <w:proofErr w:type="gramStart"/>
      <w:r w:rsidRPr="00781112">
        <w:rPr>
          <w:rFonts w:cs="Arial"/>
          <w:i/>
          <w:iCs/>
          <w:color w:val="000000" w:themeColor="text1"/>
          <w:szCs w:val="16"/>
        </w:rPr>
        <w:t>are</w:t>
      </w:r>
      <w:proofErr w:type="gramEnd"/>
      <w:r w:rsidRPr="00781112">
        <w:rPr>
          <w:rFonts w:cs="Arial"/>
          <w:i/>
          <w:iCs/>
          <w:color w:val="000000" w:themeColor="text1"/>
          <w:szCs w:val="16"/>
        </w:rPr>
        <w:t xml:space="preserve"> from a </w:t>
      </w:r>
      <w:proofErr w:type="gramStart"/>
      <w:r w:rsidRPr="00781112">
        <w:rPr>
          <w:rFonts w:cs="Arial"/>
          <w:i/>
          <w:iCs/>
          <w:color w:val="000000" w:themeColor="text1"/>
          <w:szCs w:val="16"/>
        </w:rPr>
        <w:t>State</w:t>
      </w:r>
      <w:proofErr w:type="gramEnd"/>
      <w:r w:rsidRPr="00781112">
        <w:rPr>
          <w:rFonts w:cs="Arial"/>
          <w:i/>
          <w:iCs/>
          <w:color w:val="000000" w:themeColor="text1"/>
          <w:szCs w:val="16"/>
        </w:rPr>
        <w:t xml:space="preserve"> database, include data for the entire reporting year.</w:t>
      </w:r>
    </w:p>
    <w:p w14:paraId="739AF8C8" w14:textId="7B1DF3FC" w:rsidR="00704E6A" w:rsidRPr="00781112" w:rsidRDefault="00704E6A" w:rsidP="00286BDF">
      <w:pPr>
        <w:rPr>
          <w:rFonts w:cs="Arial"/>
          <w:color w:val="000000" w:themeColor="text1"/>
          <w:szCs w:val="16"/>
        </w:rPr>
      </w:pPr>
      <w:r w:rsidRPr="00781112">
        <w:rPr>
          <w:rFonts w:cs="Arial"/>
          <w:color w:val="000000" w:themeColor="text1"/>
          <w:szCs w:val="16"/>
        </w:rPr>
        <w:t>Describe the results of the calculations and compare the results to the target. Describe the method used to collect these data and if data are from the State’s monitoring, describe the procedures used to collect these data. Provide the actual numbers used in the calculation.</w:t>
      </w:r>
    </w:p>
    <w:p w14:paraId="216DD8AC" w14:textId="77777777" w:rsidR="001F165D" w:rsidRPr="00781112" w:rsidRDefault="001F165D" w:rsidP="001F165D">
      <w:pPr>
        <w:rPr>
          <w:rFonts w:cs="Arial"/>
          <w:color w:val="000000" w:themeColor="text1"/>
          <w:szCs w:val="16"/>
        </w:rPr>
      </w:pPr>
      <w:r w:rsidRPr="00781112">
        <w:rPr>
          <w:rFonts w:cs="Arial"/>
          <w:color w:val="000000" w:themeColor="text1"/>
          <w:szCs w:val="16"/>
        </w:rPr>
        <w:t>Targets must be 100%.</w:t>
      </w:r>
    </w:p>
    <w:p w14:paraId="1B4708FE" w14:textId="1629AEED" w:rsidR="00704E6A" w:rsidRPr="00781112" w:rsidRDefault="00BA70F9" w:rsidP="00286BDF">
      <w:pPr>
        <w:rPr>
          <w:rFonts w:cs="Arial"/>
          <w:color w:val="000000" w:themeColor="text1"/>
          <w:szCs w:val="16"/>
        </w:rPr>
      </w:pPr>
      <w:r w:rsidRPr="00781112">
        <w:rPr>
          <w:rFonts w:cs="Arial"/>
          <w:color w:val="000000" w:themeColor="text1"/>
          <w:szCs w:val="16"/>
        </w:rPr>
        <w:t>Category f is to be used only by States that have an approved policy for providing parents the option of continuing early intervention services beyond the child’s third birthday under 34 CFR §303.211 or a similar State option.</w:t>
      </w:r>
    </w:p>
    <w:p w14:paraId="5D5B86D4" w14:textId="4725FE4E" w:rsidR="00704E6A" w:rsidRPr="00781112" w:rsidRDefault="00704E6A" w:rsidP="00286BDF">
      <w:pPr>
        <w:rPr>
          <w:rFonts w:cs="Arial"/>
          <w:color w:val="000000" w:themeColor="text1"/>
          <w:szCs w:val="16"/>
        </w:rPr>
      </w:pPr>
      <w:r w:rsidRPr="00781112">
        <w:rPr>
          <w:rFonts w:cs="Arial"/>
          <w:color w:val="000000" w:themeColor="text1"/>
          <w:szCs w:val="16"/>
        </w:rPr>
        <w:t xml:space="preserve">Provide detailed information about the timely correction of </w:t>
      </w:r>
      <w:bookmarkStart w:id="75" w:name="_Hlk150864384"/>
      <w:r w:rsidR="005F55E8" w:rsidRPr="005F55E8">
        <w:rPr>
          <w:rFonts w:cs="Arial"/>
          <w:color w:val="000000" w:themeColor="text1"/>
          <w:szCs w:val="16"/>
        </w:rPr>
        <w:t>child-specific and regulatory/systemic</w:t>
      </w:r>
      <w:r w:rsidR="005F55E8">
        <w:rPr>
          <w:sz w:val="20"/>
          <w:szCs w:val="14"/>
        </w:rPr>
        <w:t xml:space="preserve"> </w:t>
      </w:r>
      <w:bookmarkEnd w:id="75"/>
      <w:r w:rsidRPr="00781112">
        <w:rPr>
          <w:rFonts w:cs="Arial"/>
          <w:color w:val="000000" w:themeColor="text1"/>
          <w:szCs w:val="16"/>
        </w:rPr>
        <w:t>noncompliance as noted in OSEP’s response for the previous SPP/APR. If the State did not ensure timely correction of the previous noncompliance, provide information on the extent to which noncompliance was subsequently corrected (more than one year after identification). In addition, provide information regarding the nature of any continuing noncompliance, improvement activities completed (e.g., review of policies and procedures, technical assistance, training) and any enforcement actions that were taken.</w:t>
      </w:r>
    </w:p>
    <w:p w14:paraId="1B505E64" w14:textId="20BCC2A8" w:rsidR="00704E6A" w:rsidRPr="00781112" w:rsidRDefault="003A4027" w:rsidP="00286BDF">
      <w:pPr>
        <w:rPr>
          <w:rFonts w:cs="Arial"/>
          <w:color w:val="000000" w:themeColor="text1"/>
          <w:szCs w:val="16"/>
        </w:rPr>
      </w:pPr>
      <w:r w:rsidRPr="00781112">
        <w:rPr>
          <w:rFonts w:cs="Arial"/>
          <w:color w:val="000000" w:themeColor="text1"/>
          <w:szCs w:val="16"/>
        </w:rPr>
        <w:t>If the State reported less than 100% compliance for the previous reporting period (e.g., for the FFY 2022 SPP/APR, the data for FFY 2021), and the State did not identify any findings of noncompliance, provide an explanation of why the State did not identify any findings of noncompliance.</w:t>
      </w:r>
    </w:p>
    <w:p w14:paraId="79824C1D" w14:textId="3C301685" w:rsidR="00FE7D29" w:rsidRPr="00781112" w:rsidRDefault="00056350" w:rsidP="00123D76">
      <w:pPr>
        <w:pStyle w:val="Heading2"/>
      </w:pPr>
      <w:bookmarkStart w:id="76" w:name="_Toc384383359"/>
      <w:bookmarkStart w:id="77" w:name="_Toc392159327"/>
      <w:bookmarkEnd w:id="73"/>
      <w:bookmarkEnd w:id="74"/>
      <w:r w:rsidRPr="00781112">
        <w:t>12</w:t>
      </w:r>
      <w:r w:rsidR="004838A4" w:rsidRPr="00781112">
        <w:t xml:space="preserve"> </w:t>
      </w:r>
      <w:r w:rsidRPr="00781112">
        <w:t xml:space="preserve">- </w:t>
      </w:r>
      <w:r w:rsidR="00211617" w:rsidRPr="00781112">
        <w:t>Indicator Data</w:t>
      </w:r>
    </w:p>
    <w:p w14:paraId="0150EC4C" w14:textId="77777777" w:rsidR="0091098C" w:rsidRPr="00781112" w:rsidRDefault="0091098C" w:rsidP="004369B2">
      <w:pPr>
        <w:rPr>
          <w:color w:val="000000" w:themeColor="text1"/>
        </w:rPr>
      </w:pPr>
      <w:r w:rsidRPr="00781112">
        <w:rPr>
          <w:b/>
          <w:color w:val="000000" w:themeColor="text1"/>
        </w:rPr>
        <w:t>Not Applicable</w:t>
      </w:r>
    </w:p>
    <w:p w14:paraId="1844E5CA" w14:textId="6EC3A331" w:rsidR="00A5601C" w:rsidRPr="00781112" w:rsidRDefault="005D604C">
      <w:pPr>
        <w:rPr>
          <w:b/>
          <w:color w:val="000000" w:themeColor="text1"/>
        </w:rPr>
      </w:pPr>
      <w:r w:rsidRPr="00781112">
        <w:rPr>
          <w:b/>
          <w:color w:val="000000" w:themeColor="text1"/>
        </w:rPr>
        <w:t>Select yes if this indicator is not applicable.</w:t>
      </w:r>
    </w:p>
    <w:p w14:paraId="5B7EBB05" w14:textId="76B0BD88" w:rsidR="00043AC9" w:rsidRPr="00781112" w:rsidRDefault="00043AC9" w:rsidP="004369B2">
      <w:pPr>
        <w:rPr>
          <w:rFonts w:cs="Arial"/>
          <w:color w:val="000000" w:themeColor="text1"/>
          <w:szCs w:val="16"/>
        </w:rPr>
      </w:pPr>
      <w:r w:rsidRPr="00781112">
        <w:rPr>
          <w:rFonts w:cs="Arial"/>
          <w:color w:val="000000" w:themeColor="text1"/>
          <w:szCs w:val="16"/>
        </w:rPr>
        <w:t>NO</w:t>
      </w:r>
    </w:p>
    <w:p w14:paraId="0D26312C" w14:textId="77777777" w:rsidR="00C50290" w:rsidRPr="00781112" w:rsidRDefault="00C50290" w:rsidP="004369B2">
      <w:pPr>
        <w:rPr>
          <w:color w:val="000000" w:themeColor="text1"/>
        </w:rPr>
      </w:pPr>
    </w:p>
    <w:p w14:paraId="71DDF5C0" w14:textId="3F9EB38B" w:rsidR="00EC46E4" w:rsidRPr="00781112" w:rsidRDefault="00EC46E4" w:rsidP="004369B2">
      <w:pPr>
        <w:rPr>
          <w:b/>
          <w:color w:val="000000" w:themeColor="text1"/>
        </w:rPr>
      </w:pPr>
      <w:r w:rsidRPr="00781112">
        <w:rPr>
          <w:b/>
          <w:color w:val="000000" w:themeColor="text1"/>
        </w:rPr>
        <w:t>Historical Data</w:t>
      </w:r>
    </w:p>
    <w:tbl>
      <w:tblPr>
        <w:tblStyle w:val="TableGrid"/>
        <w:tblW w:w="0" w:type="auto"/>
        <w:tblLayout w:type="fixed"/>
        <w:tblLook w:val="04A0" w:firstRow="1" w:lastRow="0" w:firstColumn="1" w:lastColumn="0" w:noHBand="0" w:noVBand="1"/>
        <w:tblCaption w:val="B12BASELINEDATA"/>
      </w:tblPr>
      <w:tblGrid>
        <w:gridCol w:w="1797"/>
        <w:gridCol w:w="1798"/>
      </w:tblGrid>
      <w:tr w:rsidR="001875AF" w:rsidRPr="00781112" w14:paraId="056D9953" w14:textId="77777777" w:rsidTr="00123D76">
        <w:trPr>
          <w:trHeight w:val="311"/>
          <w:tblHeader/>
        </w:trPr>
        <w:tc>
          <w:tcPr>
            <w:tcW w:w="1797" w:type="dxa"/>
          </w:tcPr>
          <w:p w14:paraId="3B806594" w14:textId="77777777" w:rsidR="001875AF" w:rsidRPr="00781112" w:rsidRDefault="001875AF" w:rsidP="00123D76">
            <w:pPr>
              <w:jc w:val="center"/>
              <w:rPr>
                <w:b/>
                <w:color w:val="000000" w:themeColor="text1"/>
              </w:rPr>
            </w:pPr>
            <w:r w:rsidRPr="00781112">
              <w:rPr>
                <w:rFonts w:cs="Arial"/>
                <w:b/>
                <w:color w:val="000000" w:themeColor="text1"/>
                <w:szCs w:val="16"/>
              </w:rPr>
              <w:t>Baseline Year</w:t>
            </w:r>
          </w:p>
        </w:tc>
        <w:tc>
          <w:tcPr>
            <w:tcW w:w="1798" w:type="dxa"/>
          </w:tcPr>
          <w:p w14:paraId="47C5AC3E" w14:textId="77777777" w:rsidR="001875AF" w:rsidRPr="00781112" w:rsidRDefault="001875AF" w:rsidP="00123D76">
            <w:pPr>
              <w:jc w:val="center"/>
              <w:rPr>
                <w:b/>
                <w:color w:val="000000" w:themeColor="text1"/>
              </w:rPr>
            </w:pPr>
            <w:r w:rsidRPr="00781112">
              <w:rPr>
                <w:b/>
                <w:color w:val="000000" w:themeColor="text1"/>
              </w:rPr>
              <w:t>Baseline Data</w:t>
            </w:r>
          </w:p>
        </w:tc>
      </w:tr>
      <w:tr w:rsidR="001875AF" w:rsidRPr="00781112" w14:paraId="693B925B" w14:textId="77777777" w:rsidTr="00123D76">
        <w:trPr>
          <w:trHeight w:val="311"/>
        </w:trPr>
        <w:tc>
          <w:tcPr>
            <w:tcW w:w="1797" w:type="dxa"/>
            <w:vAlign w:val="center"/>
          </w:tcPr>
          <w:p w14:paraId="589FAD9D" w14:textId="6C47315C" w:rsidR="001875AF" w:rsidRPr="00781112" w:rsidRDefault="001875AF" w:rsidP="00123D76">
            <w:pPr>
              <w:jc w:val="center"/>
              <w:rPr>
                <w:bCs/>
                <w:color w:val="000000" w:themeColor="text1"/>
              </w:rPr>
            </w:pPr>
            <w:r w:rsidRPr="00781112">
              <w:rPr>
                <w:bCs/>
                <w:color w:val="000000" w:themeColor="text1"/>
              </w:rPr>
              <w:t>2006</w:t>
            </w:r>
          </w:p>
        </w:tc>
        <w:tc>
          <w:tcPr>
            <w:tcW w:w="1798" w:type="dxa"/>
            <w:vAlign w:val="center"/>
          </w:tcPr>
          <w:p w14:paraId="00D43D2D" w14:textId="0C3ED28A" w:rsidR="001875AF" w:rsidRPr="00781112" w:rsidRDefault="001875AF" w:rsidP="00123D76">
            <w:pPr>
              <w:jc w:val="center"/>
              <w:rPr>
                <w:bCs/>
                <w:color w:val="000000" w:themeColor="text1"/>
              </w:rPr>
            </w:pPr>
            <w:r w:rsidRPr="00781112">
              <w:rPr>
                <w:bCs/>
                <w:color w:val="000000" w:themeColor="text1"/>
              </w:rPr>
              <w:t>96.10%</w:t>
            </w:r>
          </w:p>
        </w:tc>
      </w:tr>
    </w:tbl>
    <w:p w14:paraId="465AB33D" w14:textId="77777777" w:rsidR="001875AF" w:rsidRPr="00781112" w:rsidRDefault="001875AF" w:rsidP="004369B2">
      <w:pPr>
        <w:rPr>
          <w:color w:val="000000" w:themeColor="text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B12HISTDATA"/>
      </w:tblPr>
      <w:tblGrid>
        <w:gridCol w:w="1798"/>
        <w:gridCol w:w="1798"/>
        <w:gridCol w:w="1798"/>
        <w:gridCol w:w="1798"/>
        <w:gridCol w:w="1798"/>
        <w:gridCol w:w="1800"/>
      </w:tblGrid>
      <w:tr w:rsidR="005C29F8" w:rsidRPr="00781112" w14:paraId="641F8356" w14:textId="77777777" w:rsidTr="005F2FF9">
        <w:trPr>
          <w:trHeight w:val="350"/>
        </w:trPr>
        <w:tc>
          <w:tcPr>
            <w:tcW w:w="833" w:type="pct"/>
            <w:tcBorders>
              <w:bottom w:val="single" w:sz="4" w:space="0" w:color="auto"/>
            </w:tcBorders>
            <w:shd w:val="clear" w:color="auto" w:fill="auto"/>
          </w:tcPr>
          <w:bookmarkEnd w:id="76"/>
          <w:bookmarkEnd w:id="77"/>
          <w:p w14:paraId="5D9A28F2" w14:textId="77777777" w:rsidR="009447A3" w:rsidRPr="00781112" w:rsidRDefault="009447A3" w:rsidP="004369B2">
            <w:pPr>
              <w:jc w:val="center"/>
              <w:rPr>
                <w:rFonts w:cs="Arial"/>
                <w:b/>
                <w:color w:val="000000" w:themeColor="text1"/>
                <w:szCs w:val="16"/>
              </w:rPr>
            </w:pPr>
            <w:r w:rsidRPr="00781112">
              <w:rPr>
                <w:rFonts w:cs="Arial"/>
                <w:b/>
                <w:color w:val="000000" w:themeColor="text1"/>
                <w:szCs w:val="16"/>
              </w:rPr>
              <w:t>FFY</w:t>
            </w:r>
          </w:p>
        </w:tc>
        <w:tc>
          <w:tcPr>
            <w:tcW w:w="833" w:type="pct"/>
            <w:shd w:val="clear" w:color="auto" w:fill="auto"/>
          </w:tcPr>
          <w:p w14:paraId="7E21A227" w14:textId="61889525" w:rsidR="009447A3" w:rsidRPr="00781112" w:rsidRDefault="002B7490" w:rsidP="008E31C4">
            <w:pPr>
              <w:jc w:val="center"/>
              <w:rPr>
                <w:rFonts w:cs="Arial"/>
                <w:b/>
                <w:color w:val="000000" w:themeColor="text1"/>
                <w:szCs w:val="16"/>
              </w:rPr>
            </w:pPr>
            <w:r w:rsidRPr="00781112">
              <w:rPr>
                <w:rFonts w:cs="Arial"/>
                <w:b/>
                <w:color w:val="000000" w:themeColor="text1"/>
                <w:szCs w:val="16"/>
              </w:rPr>
              <w:t>2017</w:t>
            </w:r>
          </w:p>
        </w:tc>
        <w:tc>
          <w:tcPr>
            <w:tcW w:w="833" w:type="pct"/>
            <w:shd w:val="clear" w:color="auto" w:fill="auto"/>
          </w:tcPr>
          <w:p w14:paraId="6B56B4FE" w14:textId="34D3DC5E" w:rsidR="009447A3" w:rsidRPr="00781112" w:rsidRDefault="002B7490" w:rsidP="008E31C4">
            <w:pPr>
              <w:jc w:val="center"/>
              <w:rPr>
                <w:rFonts w:cs="Arial"/>
                <w:b/>
                <w:color w:val="000000" w:themeColor="text1"/>
                <w:szCs w:val="16"/>
              </w:rPr>
            </w:pPr>
            <w:r w:rsidRPr="00781112">
              <w:rPr>
                <w:rFonts w:cs="Arial"/>
                <w:b/>
                <w:color w:val="000000" w:themeColor="text1"/>
                <w:szCs w:val="16"/>
              </w:rPr>
              <w:t>2018</w:t>
            </w:r>
          </w:p>
        </w:tc>
        <w:tc>
          <w:tcPr>
            <w:tcW w:w="833" w:type="pct"/>
            <w:shd w:val="clear" w:color="auto" w:fill="auto"/>
          </w:tcPr>
          <w:p w14:paraId="786A53CE" w14:textId="3A94FF3D" w:rsidR="009447A3" w:rsidRPr="00781112" w:rsidRDefault="002B7490" w:rsidP="008E31C4">
            <w:pPr>
              <w:jc w:val="center"/>
              <w:rPr>
                <w:rFonts w:cs="Arial"/>
                <w:b/>
                <w:color w:val="000000" w:themeColor="text1"/>
                <w:szCs w:val="16"/>
              </w:rPr>
            </w:pPr>
            <w:r w:rsidRPr="00781112">
              <w:rPr>
                <w:rFonts w:cs="Arial"/>
                <w:b/>
                <w:color w:val="000000" w:themeColor="text1"/>
                <w:szCs w:val="16"/>
              </w:rPr>
              <w:t>2019</w:t>
            </w:r>
          </w:p>
        </w:tc>
        <w:tc>
          <w:tcPr>
            <w:tcW w:w="833" w:type="pct"/>
            <w:shd w:val="clear" w:color="auto" w:fill="auto"/>
          </w:tcPr>
          <w:p w14:paraId="221DF675" w14:textId="00A1F14E" w:rsidR="009447A3" w:rsidRPr="00781112" w:rsidRDefault="002B7490" w:rsidP="008E31C4">
            <w:pPr>
              <w:jc w:val="center"/>
              <w:rPr>
                <w:rFonts w:cs="Arial"/>
                <w:b/>
                <w:color w:val="000000" w:themeColor="text1"/>
                <w:szCs w:val="16"/>
              </w:rPr>
            </w:pPr>
            <w:r w:rsidRPr="00781112">
              <w:rPr>
                <w:rFonts w:cs="Arial"/>
                <w:b/>
                <w:color w:val="000000" w:themeColor="text1"/>
                <w:szCs w:val="16"/>
              </w:rPr>
              <w:t>2020</w:t>
            </w:r>
          </w:p>
        </w:tc>
        <w:tc>
          <w:tcPr>
            <w:tcW w:w="834" w:type="pct"/>
            <w:shd w:val="clear" w:color="auto" w:fill="auto"/>
          </w:tcPr>
          <w:p w14:paraId="72849A47" w14:textId="21327CD6" w:rsidR="009447A3" w:rsidRPr="00781112" w:rsidRDefault="002B7490" w:rsidP="008E31C4">
            <w:pPr>
              <w:jc w:val="center"/>
              <w:rPr>
                <w:rFonts w:cs="Arial"/>
                <w:b/>
                <w:color w:val="000000" w:themeColor="text1"/>
                <w:szCs w:val="16"/>
              </w:rPr>
            </w:pPr>
            <w:r w:rsidRPr="00781112">
              <w:rPr>
                <w:rFonts w:cs="Arial"/>
                <w:b/>
                <w:color w:val="000000" w:themeColor="text1"/>
                <w:szCs w:val="16"/>
              </w:rPr>
              <w:t>2021</w:t>
            </w:r>
          </w:p>
        </w:tc>
      </w:tr>
      <w:tr w:rsidR="005C29F8" w:rsidRPr="00781112" w14:paraId="1A3B7AC8" w14:textId="77777777" w:rsidTr="005F2FF9">
        <w:trPr>
          <w:trHeight w:val="357"/>
        </w:trPr>
        <w:tc>
          <w:tcPr>
            <w:tcW w:w="833" w:type="pct"/>
            <w:shd w:val="clear" w:color="auto" w:fill="auto"/>
          </w:tcPr>
          <w:p w14:paraId="27FE69AA" w14:textId="697900D5" w:rsidR="009447A3" w:rsidRPr="00781112" w:rsidRDefault="009447A3" w:rsidP="00BA3DBE">
            <w:pPr>
              <w:jc w:val="center"/>
              <w:rPr>
                <w:rFonts w:cs="Arial"/>
                <w:color w:val="000000" w:themeColor="text1"/>
                <w:szCs w:val="16"/>
              </w:rPr>
            </w:pPr>
            <w:r w:rsidRPr="00781112">
              <w:rPr>
                <w:rFonts w:cs="Arial"/>
                <w:color w:val="000000" w:themeColor="text1"/>
                <w:szCs w:val="16"/>
              </w:rPr>
              <w:t>Target</w:t>
            </w:r>
          </w:p>
        </w:tc>
        <w:tc>
          <w:tcPr>
            <w:tcW w:w="833" w:type="pct"/>
            <w:shd w:val="clear" w:color="auto" w:fill="auto"/>
          </w:tcPr>
          <w:p w14:paraId="6628560E" w14:textId="0BC45703" w:rsidR="009447A3" w:rsidRPr="00781112" w:rsidRDefault="00B16A26" w:rsidP="003A4027">
            <w:pPr>
              <w:jc w:val="center"/>
              <w:rPr>
                <w:rFonts w:cs="Arial"/>
                <w:color w:val="000000" w:themeColor="text1"/>
                <w:szCs w:val="16"/>
              </w:rPr>
            </w:pPr>
            <w:r w:rsidRPr="00781112">
              <w:rPr>
                <w:rFonts w:cs="Arial"/>
                <w:color w:val="000000" w:themeColor="text1"/>
                <w:szCs w:val="16"/>
              </w:rPr>
              <w:t>100%</w:t>
            </w:r>
          </w:p>
        </w:tc>
        <w:tc>
          <w:tcPr>
            <w:tcW w:w="833" w:type="pct"/>
            <w:shd w:val="clear" w:color="auto" w:fill="auto"/>
          </w:tcPr>
          <w:p w14:paraId="347A32E0" w14:textId="064AD14E" w:rsidR="009447A3" w:rsidRPr="00781112" w:rsidRDefault="00B16A26" w:rsidP="003A4027">
            <w:pPr>
              <w:jc w:val="center"/>
              <w:rPr>
                <w:rFonts w:cs="Arial"/>
                <w:color w:val="000000" w:themeColor="text1"/>
                <w:szCs w:val="16"/>
              </w:rPr>
            </w:pPr>
            <w:r w:rsidRPr="00781112">
              <w:rPr>
                <w:rFonts w:cs="Arial"/>
                <w:color w:val="000000" w:themeColor="text1"/>
                <w:szCs w:val="16"/>
              </w:rPr>
              <w:t>100%</w:t>
            </w:r>
          </w:p>
        </w:tc>
        <w:tc>
          <w:tcPr>
            <w:tcW w:w="833" w:type="pct"/>
            <w:shd w:val="clear" w:color="auto" w:fill="auto"/>
          </w:tcPr>
          <w:p w14:paraId="4EFE8268" w14:textId="7F4C4E30" w:rsidR="009447A3" w:rsidRPr="00781112" w:rsidRDefault="00B16A26" w:rsidP="003A4027">
            <w:pPr>
              <w:jc w:val="center"/>
              <w:rPr>
                <w:rFonts w:cs="Arial"/>
                <w:color w:val="000000" w:themeColor="text1"/>
                <w:szCs w:val="16"/>
              </w:rPr>
            </w:pPr>
            <w:r w:rsidRPr="00781112">
              <w:rPr>
                <w:rFonts w:cs="Arial"/>
                <w:color w:val="000000" w:themeColor="text1"/>
                <w:szCs w:val="16"/>
              </w:rPr>
              <w:t>100%</w:t>
            </w:r>
          </w:p>
        </w:tc>
        <w:tc>
          <w:tcPr>
            <w:tcW w:w="833" w:type="pct"/>
            <w:shd w:val="clear" w:color="auto" w:fill="auto"/>
          </w:tcPr>
          <w:p w14:paraId="14DDB11E" w14:textId="2D6071C3" w:rsidR="009447A3" w:rsidRPr="00781112" w:rsidRDefault="00B16A26" w:rsidP="003A4027">
            <w:pPr>
              <w:jc w:val="center"/>
              <w:rPr>
                <w:rFonts w:cs="Arial"/>
                <w:color w:val="000000" w:themeColor="text1"/>
                <w:szCs w:val="16"/>
              </w:rPr>
            </w:pPr>
            <w:r w:rsidRPr="00781112">
              <w:rPr>
                <w:rFonts w:cs="Arial"/>
                <w:color w:val="000000" w:themeColor="text1"/>
                <w:szCs w:val="16"/>
              </w:rPr>
              <w:t>100%</w:t>
            </w:r>
          </w:p>
        </w:tc>
        <w:tc>
          <w:tcPr>
            <w:tcW w:w="834" w:type="pct"/>
            <w:shd w:val="clear" w:color="auto" w:fill="auto"/>
          </w:tcPr>
          <w:p w14:paraId="17E07D81" w14:textId="67F91616" w:rsidR="009447A3" w:rsidRPr="00781112" w:rsidRDefault="00B16A26" w:rsidP="003A4027">
            <w:pPr>
              <w:jc w:val="center"/>
              <w:rPr>
                <w:rFonts w:cs="Arial"/>
                <w:color w:val="000000" w:themeColor="text1"/>
                <w:szCs w:val="16"/>
              </w:rPr>
            </w:pPr>
            <w:r w:rsidRPr="00781112">
              <w:rPr>
                <w:rFonts w:cs="Arial"/>
                <w:color w:val="000000" w:themeColor="text1"/>
                <w:szCs w:val="16"/>
              </w:rPr>
              <w:t>100%</w:t>
            </w:r>
          </w:p>
        </w:tc>
      </w:tr>
      <w:tr w:rsidR="005C29F8" w:rsidRPr="00781112" w14:paraId="6BA24638" w14:textId="77777777" w:rsidTr="005F2FF9">
        <w:trPr>
          <w:trHeight w:val="85"/>
        </w:trPr>
        <w:tc>
          <w:tcPr>
            <w:tcW w:w="833" w:type="pct"/>
            <w:shd w:val="clear" w:color="auto" w:fill="auto"/>
          </w:tcPr>
          <w:p w14:paraId="76E217FB" w14:textId="77777777" w:rsidR="009447A3" w:rsidRPr="00781112" w:rsidRDefault="009447A3" w:rsidP="00BA3DBE">
            <w:pPr>
              <w:jc w:val="center"/>
              <w:rPr>
                <w:rFonts w:cs="Arial"/>
                <w:color w:val="000000" w:themeColor="text1"/>
                <w:szCs w:val="16"/>
              </w:rPr>
            </w:pPr>
            <w:r w:rsidRPr="00781112">
              <w:rPr>
                <w:rFonts w:cs="Arial"/>
                <w:color w:val="000000" w:themeColor="text1"/>
                <w:szCs w:val="16"/>
              </w:rPr>
              <w:t>Data</w:t>
            </w:r>
          </w:p>
        </w:tc>
        <w:tc>
          <w:tcPr>
            <w:tcW w:w="833" w:type="pct"/>
            <w:shd w:val="clear" w:color="auto" w:fill="auto"/>
          </w:tcPr>
          <w:p w14:paraId="5ABEE368" w14:textId="7DA2F686" w:rsidR="009447A3" w:rsidRPr="00781112" w:rsidRDefault="002B7490" w:rsidP="003A4027">
            <w:pPr>
              <w:jc w:val="center"/>
              <w:rPr>
                <w:rFonts w:cs="Arial"/>
                <w:color w:val="000000" w:themeColor="text1"/>
                <w:szCs w:val="16"/>
              </w:rPr>
            </w:pPr>
            <w:r w:rsidRPr="00781112">
              <w:rPr>
                <w:rFonts w:cs="Arial"/>
                <w:color w:val="000000" w:themeColor="text1"/>
                <w:szCs w:val="16"/>
              </w:rPr>
              <w:t>98.25%</w:t>
            </w:r>
          </w:p>
        </w:tc>
        <w:tc>
          <w:tcPr>
            <w:tcW w:w="833" w:type="pct"/>
            <w:shd w:val="clear" w:color="auto" w:fill="auto"/>
          </w:tcPr>
          <w:p w14:paraId="6826E3EC" w14:textId="5DEFD785" w:rsidR="009447A3" w:rsidRPr="00781112" w:rsidRDefault="002B7490" w:rsidP="003A4027">
            <w:pPr>
              <w:jc w:val="center"/>
              <w:rPr>
                <w:rFonts w:cs="Arial"/>
                <w:color w:val="000000" w:themeColor="text1"/>
                <w:szCs w:val="16"/>
              </w:rPr>
            </w:pPr>
            <w:r w:rsidRPr="00781112">
              <w:rPr>
                <w:rFonts w:cs="Arial"/>
                <w:color w:val="000000" w:themeColor="text1"/>
                <w:szCs w:val="16"/>
              </w:rPr>
              <w:t>98.19%</w:t>
            </w:r>
          </w:p>
        </w:tc>
        <w:tc>
          <w:tcPr>
            <w:tcW w:w="833" w:type="pct"/>
            <w:tcBorders>
              <w:bottom w:val="single" w:sz="4" w:space="0" w:color="auto"/>
            </w:tcBorders>
            <w:shd w:val="clear" w:color="auto" w:fill="auto"/>
            <w:vAlign w:val="center"/>
          </w:tcPr>
          <w:p w14:paraId="3702B817" w14:textId="1114F76E" w:rsidR="009447A3" w:rsidRPr="00781112" w:rsidRDefault="002B7490" w:rsidP="003A4027">
            <w:pPr>
              <w:jc w:val="center"/>
              <w:rPr>
                <w:rFonts w:cs="Arial"/>
                <w:color w:val="000000" w:themeColor="text1"/>
                <w:szCs w:val="16"/>
              </w:rPr>
            </w:pPr>
            <w:r w:rsidRPr="00781112">
              <w:rPr>
                <w:rFonts w:cs="Arial"/>
                <w:color w:val="000000" w:themeColor="text1"/>
                <w:szCs w:val="16"/>
              </w:rPr>
              <w:t>91.70%</w:t>
            </w:r>
          </w:p>
        </w:tc>
        <w:tc>
          <w:tcPr>
            <w:tcW w:w="833" w:type="pct"/>
            <w:tcBorders>
              <w:bottom w:val="single" w:sz="4" w:space="0" w:color="auto"/>
            </w:tcBorders>
            <w:shd w:val="clear" w:color="auto" w:fill="auto"/>
            <w:vAlign w:val="center"/>
          </w:tcPr>
          <w:p w14:paraId="7E5D1EA5" w14:textId="75D6241E" w:rsidR="009447A3" w:rsidRPr="00781112" w:rsidRDefault="002B7490" w:rsidP="003A4027">
            <w:pPr>
              <w:jc w:val="center"/>
              <w:rPr>
                <w:rFonts w:cs="Arial"/>
                <w:color w:val="000000" w:themeColor="text1"/>
                <w:szCs w:val="16"/>
              </w:rPr>
            </w:pPr>
            <w:r w:rsidRPr="00781112">
              <w:rPr>
                <w:rFonts w:cs="Arial"/>
                <w:color w:val="000000" w:themeColor="text1"/>
                <w:szCs w:val="16"/>
              </w:rPr>
              <w:t>97.17%</w:t>
            </w:r>
          </w:p>
        </w:tc>
        <w:tc>
          <w:tcPr>
            <w:tcW w:w="834" w:type="pct"/>
            <w:tcBorders>
              <w:bottom w:val="single" w:sz="4" w:space="0" w:color="auto"/>
            </w:tcBorders>
            <w:shd w:val="clear" w:color="auto" w:fill="auto"/>
            <w:vAlign w:val="center"/>
          </w:tcPr>
          <w:p w14:paraId="556DAD68" w14:textId="7FC0436F" w:rsidR="009447A3" w:rsidRPr="00781112" w:rsidRDefault="002B7490" w:rsidP="003A4027">
            <w:pPr>
              <w:jc w:val="center"/>
              <w:rPr>
                <w:rFonts w:cs="Arial"/>
                <w:color w:val="000000" w:themeColor="text1"/>
                <w:szCs w:val="16"/>
              </w:rPr>
            </w:pPr>
            <w:r w:rsidRPr="00781112">
              <w:rPr>
                <w:rFonts w:cs="Arial"/>
                <w:color w:val="000000" w:themeColor="text1"/>
                <w:szCs w:val="16"/>
              </w:rPr>
              <w:t>99.37%</w:t>
            </w:r>
          </w:p>
        </w:tc>
      </w:tr>
    </w:tbl>
    <w:p w14:paraId="3BDF8559" w14:textId="77777777" w:rsidR="00D82883" w:rsidRPr="00781112" w:rsidRDefault="00D82883" w:rsidP="004369B2">
      <w:pPr>
        <w:rPr>
          <w:color w:val="000000" w:themeColor="text1"/>
        </w:rPr>
      </w:pPr>
    </w:p>
    <w:p w14:paraId="32D6DA70" w14:textId="38C36AA8" w:rsidR="007A3964" w:rsidRPr="00781112" w:rsidRDefault="007A3964" w:rsidP="004369B2">
      <w:pPr>
        <w:rPr>
          <w:color w:val="000000" w:themeColor="text1"/>
        </w:rPr>
      </w:pPr>
      <w:r w:rsidRPr="00781112">
        <w:rPr>
          <w:b/>
          <w:color w:val="000000" w:themeColor="text1"/>
        </w:rPr>
        <w:t>Targets</w:t>
      </w:r>
    </w:p>
    <w:tbl>
      <w:tblPr>
        <w:tblW w:w="404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B12TARGETS"/>
      </w:tblPr>
      <w:tblGrid>
        <w:gridCol w:w="679"/>
        <w:gridCol w:w="1908"/>
        <w:gridCol w:w="2044"/>
        <w:gridCol w:w="2044"/>
        <w:gridCol w:w="2043"/>
      </w:tblGrid>
      <w:tr w:rsidR="00B67FCE" w:rsidRPr="00781112" w14:paraId="41D3AE7A" w14:textId="578794F0" w:rsidTr="00845B9B">
        <w:trPr>
          <w:trHeight w:val="328"/>
        </w:trPr>
        <w:tc>
          <w:tcPr>
            <w:tcW w:w="327" w:type="pct"/>
            <w:tcBorders>
              <w:bottom w:val="single" w:sz="4" w:space="0" w:color="auto"/>
            </w:tcBorders>
            <w:shd w:val="clear" w:color="auto" w:fill="auto"/>
          </w:tcPr>
          <w:p w14:paraId="7786D02D" w14:textId="77777777" w:rsidR="00B67FCE" w:rsidRPr="00781112" w:rsidRDefault="00B67FCE" w:rsidP="00AF574F">
            <w:pPr>
              <w:jc w:val="center"/>
              <w:rPr>
                <w:b/>
                <w:color w:val="000000" w:themeColor="text1"/>
              </w:rPr>
            </w:pPr>
            <w:r w:rsidRPr="00781112">
              <w:rPr>
                <w:b/>
                <w:color w:val="000000" w:themeColor="text1"/>
              </w:rPr>
              <w:t>FFY</w:t>
            </w:r>
          </w:p>
        </w:tc>
        <w:tc>
          <w:tcPr>
            <w:tcW w:w="1110" w:type="pct"/>
            <w:shd w:val="clear" w:color="auto" w:fill="auto"/>
          </w:tcPr>
          <w:p w14:paraId="09ED5838" w14:textId="77777777" w:rsidR="00B67FCE" w:rsidRPr="00781112" w:rsidRDefault="00B67FCE" w:rsidP="00AF574F">
            <w:pPr>
              <w:jc w:val="center"/>
              <w:rPr>
                <w:b/>
                <w:color w:val="000000" w:themeColor="text1"/>
              </w:rPr>
            </w:pPr>
            <w:r w:rsidRPr="00781112">
              <w:rPr>
                <w:b/>
                <w:color w:val="000000" w:themeColor="text1"/>
              </w:rPr>
              <w:t>2022</w:t>
            </w:r>
          </w:p>
        </w:tc>
        <w:tc>
          <w:tcPr>
            <w:tcW w:w="1188" w:type="pct"/>
          </w:tcPr>
          <w:p w14:paraId="0769903C" w14:textId="05A227DB" w:rsidR="00B67FCE" w:rsidRPr="00781112" w:rsidRDefault="00B67FCE" w:rsidP="00AF574F">
            <w:pPr>
              <w:jc w:val="center"/>
              <w:rPr>
                <w:b/>
                <w:color w:val="000000" w:themeColor="text1"/>
              </w:rPr>
            </w:pPr>
            <w:r w:rsidRPr="00781112">
              <w:rPr>
                <w:rFonts w:cs="Arial"/>
                <w:b/>
                <w:color w:val="000000" w:themeColor="text1"/>
                <w:szCs w:val="16"/>
              </w:rPr>
              <w:t>2023</w:t>
            </w:r>
          </w:p>
        </w:tc>
        <w:tc>
          <w:tcPr>
            <w:tcW w:w="1188" w:type="pct"/>
          </w:tcPr>
          <w:p w14:paraId="77CF077D" w14:textId="38DFC132" w:rsidR="00B67FCE" w:rsidRPr="00781112" w:rsidRDefault="00B67FCE" w:rsidP="00AF574F">
            <w:pPr>
              <w:jc w:val="center"/>
              <w:rPr>
                <w:b/>
                <w:color w:val="000000" w:themeColor="text1"/>
              </w:rPr>
            </w:pPr>
            <w:r w:rsidRPr="00781112">
              <w:rPr>
                <w:rFonts w:cs="Arial"/>
                <w:b/>
                <w:color w:val="000000" w:themeColor="text1"/>
                <w:szCs w:val="16"/>
              </w:rPr>
              <w:t>2024</w:t>
            </w:r>
          </w:p>
        </w:tc>
        <w:tc>
          <w:tcPr>
            <w:tcW w:w="1188" w:type="pct"/>
          </w:tcPr>
          <w:p w14:paraId="5C5F415E" w14:textId="7B035D53" w:rsidR="00B67FCE" w:rsidRPr="00781112" w:rsidRDefault="00B67FCE" w:rsidP="00AF574F">
            <w:pPr>
              <w:jc w:val="center"/>
              <w:rPr>
                <w:b/>
                <w:color w:val="000000" w:themeColor="text1"/>
              </w:rPr>
            </w:pPr>
            <w:r w:rsidRPr="00781112">
              <w:rPr>
                <w:rFonts w:cs="Arial"/>
                <w:b/>
                <w:color w:val="000000" w:themeColor="text1"/>
                <w:szCs w:val="16"/>
              </w:rPr>
              <w:t>2025</w:t>
            </w:r>
          </w:p>
        </w:tc>
      </w:tr>
      <w:tr w:rsidR="00B67FCE" w:rsidRPr="00781112" w14:paraId="2B267817" w14:textId="2A03C05D" w:rsidTr="00845B9B">
        <w:trPr>
          <w:trHeight w:val="335"/>
        </w:trPr>
        <w:tc>
          <w:tcPr>
            <w:tcW w:w="327" w:type="pct"/>
            <w:shd w:val="clear" w:color="auto" w:fill="auto"/>
            <w:vAlign w:val="center"/>
          </w:tcPr>
          <w:p w14:paraId="70D956A8" w14:textId="6CD3BD29" w:rsidR="00B67FCE" w:rsidRPr="00781112" w:rsidRDefault="00B67FCE" w:rsidP="00BA3DBE">
            <w:pPr>
              <w:jc w:val="center"/>
              <w:rPr>
                <w:rFonts w:cs="Arial"/>
                <w:color w:val="000000" w:themeColor="text1"/>
                <w:szCs w:val="16"/>
              </w:rPr>
            </w:pPr>
            <w:r w:rsidRPr="00781112">
              <w:rPr>
                <w:rFonts w:cs="Arial"/>
                <w:color w:val="000000" w:themeColor="text1"/>
                <w:szCs w:val="16"/>
              </w:rPr>
              <w:t>Target</w:t>
            </w:r>
          </w:p>
        </w:tc>
        <w:tc>
          <w:tcPr>
            <w:tcW w:w="1110" w:type="pct"/>
            <w:shd w:val="clear" w:color="auto" w:fill="auto"/>
            <w:vAlign w:val="center"/>
          </w:tcPr>
          <w:p w14:paraId="5CDE7127" w14:textId="59D1386F" w:rsidR="00B67FCE" w:rsidRPr="00781112" w:rsidRDefault="00B67FCE" w:rsidP="00AF574F">
            <w:pPr>
              <w:jc w:val="center"/>
              <w:rPr>
                <w:rFonts w:cs="Arial"/>
                <w:color w:val="000000" w:themeColor="text1"/>
                <w:szCs w:val="16"/>
              </w:rPr>
            </w:pPr>
            <w:r w:rsidRPr="00781112">
              <w:rPr>
                <w:rFonts w:cs="Arial"/>
                <w:color w:val="000000" w:themeColor="text1"/>
                <w:szCs w:val="16"/>
              </w:rPr>
              <w:t>100%</w:t>
            </w:r>
          </w:p>
        </w:tc>
        <w:tc>
          <w:tcPr>
            <w:tcW w:w="1188" w:type="pct"/>
          </w:tcPr>
          <w:p w14:paraId="6CF78C3F" w14:textId="1B45F3AE" w:rsidR="00B67FCE" w:rsidRPr="00781112" w:rsidRDefault="00B67FCE" w:rsidP="00AF574F">
            <w:pPr>
              <w:jc w:val="center"/>
              <w:rPr>
                <w:rFonts w:cs="Arial"/>
                <w:color w:val="000000" w:themeColor="text1"/>
                <w:szCs w:val="16"/>
              </w:rPr>
            </w:pPr>
            <w:r w:rsidRPr="00781112">
              <w:rPr>
                <w:color w:val="000000" w:themeColor="text1"/>
                <w:szCs w:val="16"/>
              </w:rPr>
              <w:t>100%</w:t>
            </w:r>
          </w:p>
        </w:tc>
        <w:tc>
          <w:tcPr>
            <w:tcW w:w="1188" w:type="pct"/>
          </w:tcPr>
          <w:p w14:paraId="6FCC2C45" w14:textId="5131688B" w:rsidR="00B67FCE" w:rsidRPr="00781112" w:rsidRDefault="00B67FCE" w:rsidP="00AF574F">
            <w:pPr>
              <w:jc w:val="center"/>
              <w:rPr>
                <w:rFonts w:cs="Arial"/>
                <w:color w:val="000000" w:themeColor="text1"/>
                <w:szCs w:val="16"/>
              </w:rPr>
            </w:pPr>
            <w:r w:rsidRPr="00781112">
              <w:rPr>
                <w:color w:val="000000" w:themeColor="text1"/>
                <w:szCs w:val="16"/>
              </w:rPr>
              <w:t>100%</w:t>
            </w:r>
          </w:p>
        </w:tc>
        <w:tc>
          <w:tcPr>
            <w:tcW w:w="1188" w:type="pct"/>
          </w:tcPr>
          <w:p w14:paraId="06CB35C0" w14:textId="66848221" w:rsidR="00B67FCE" w:rsidRPr="00781112" w:rsidRDefault="00B67FCE" w:rsidP="00AF574F">
            <w:pPr>
              <w:jc w:val="center"/>
              <w:rPr>
                <w:rFonts w:cs="Arial"/>
                <w:color w:val="000000" w:themeColor="text1"/>
                <w:szCs w:val="16"/>
              </w:rPr>
            </w:pPr>
            <w:r w:rsidRPr="00781112">
              <w:rPr>
                <w:color w:val="000000" w:themeColor="text1"/>
                <w:szCs w:val="16"/>
              </w:rPr>
              <w:t>100%</w:t>
            </w:r>
          </w:p>
        </w:tc>
      </w:tr>
    </w:tbl>
    <w:p w14:paraId="1AD7361B" w14:textId="77777777" w:rsidR="00D82883" w:rsidRPr="00781112" w:rsidRDefault="00D82883" w:rsidP="004369B2">
      <w:pPr>
        <w:rPr>
          <w:color w:val="000000" w:themeColor="text1"/>
        </w:rPr>
      </w:pPr>
    </w:p>
    <w:p w14:paraId="4C8DD49F" w14:textId="048474D0" w:rsidR="00634AD8" w:rsidRPr="00781112" w:rsidRDefault="0047313F" w:rsidP="004369B2">
      <w:pPr>
        <w:rPr>
          <w:color w:val="000000" w:themeColor="text1"/>
        </w:rPr>
      </w:pPr>
      <w:r>
        <w:rPr>
          <w:b/>
          <w:color w:val="000000" w:themeColor="text1"/>
        </w:rPr>
        <w:t>FFY 2022 SPP/APR Data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B12CFFYAPRDATA"/>
      </w:tblPr>
      <w:tblGrid>
        <w:gridCol w:w="9355"/>
        <w:gridCol w:w="1435"/>
      </w:tblGrid>
      <w:tr w:rsidR="005C29F8" w:rsidRPr="00781112" w14:paraId="5DD64811" w14:textId="77777777" w:rsidTr="009D3860">
        <w:trPr>
          <w:trHeight w:val="350"/>
        </w:trPr>
        <w:tc>
          <w:tcPr>
            <w:tcW w:w="4335" w:type="pct"/>
          </w:tcPr>
          <w:p w14:paraId="7822AF5A" w14:textId="77777777" w:rsidR="00634AD8" w:rsidRPr="00781112" w:rsidRDefault="00634AD8" w:rsidP="003E65F5">
            <w:pPr>
              <w:rPr>
                <w:rFonts w:cs="Arial"/>
                <w:color w:val="000000" w:themeColor="text1"/>
                <w:szCs w:val="16"/>
              </w:rPr>
            </w:pPr>
            <w:r w:rsidRPr="00781112">
              <w:rPr>
                <w:rFonts w:cs="Arial"/>
                <w:color w:val="000000" w:themeColor="text1"/>
                <w:szCs w:val="16"/>
              </w:rPr>
              <w:t xml:space="preserve">a. Number of children who have been served in Part C and referred to Part B for Part B eligibility determination. </w:t>
            </w:r>
          </w:p>
        </w:tc>
        <w:tc>
          <w:tcPr>
            <w:tcW w:w="665" w:type="pct"/>
            <w:shd w:val="clear" w:color="auto" w:fill="auto"/>
            <w:vAlign w:val="center"/>
          </w:tcPr>
          <w:p w14:paraId="65ADF67F" w14:textId="14592995" w:rsidR="00634AD8" w:rsidRPr="00781112" w:rsidRDefault="002B7490" w:rsidP="00A018D4">
            <w:pPr>
              <w:jc w:val="center"/>
              <w:rPr>
                <w:rFonts w:cs="Arial"/>
                <w:color w:val="000000" w:themeColor="text1"/>
                <w:szCs w:val="16"/>
              </w:rPr>
            </w:pPr>
            <w:r w:rsidRPr="00781112">
              <w:rPr>
                <w:rFonts w:cs="Arial"/>
                <w:color w:val="000000" w:themeColor="text1"/>
                <w:szCs w:val="16"/>
              </w:rPr>
              <w:t>3,118</w:t>
            </w:r>
          </w:p>
        </w:tc>
      </w:tr>
      <w:tr w:rsidR="005C29F8" w:rsidRPr="00781112" w14:paraId="6497A162" w14:textId="77777777" w:rsidTr="009D3860">
        <w:trPr>
          <w:trHeight w:val="357"/>
        </w:trPr>
        <w:tc>
          <w:tcPr>
            <w:tcW w:w="4335" w:type="pct"/>
          </w:tcPr>
          <w:p w14:paraId="00979D87" w14:textId="77777777" w:rsidR="00634AD8" w:rsidRPr="00781112" w:rsidRDefault="00634AD8" w:rsidP="003E65F5">
            <w:pPr>
              <w:rPr>
                <w:rFonts w:cs="Arial"/>
                <w:color w:val="000000" w:themeColor="text1"/>
                <w:szCs w:val="16"/>
              </w:rPr>
            </w:pPr>
            <w:r w:rsidRPr="00781112">
              <w:rPr>
                <w:rFonts w:cs="Arial"/>
                <w:color w:val="000000" w:themeColor="text1"/>
                <w:szCs w:val="16"/>
              </w:rPr>
              <w:t xml:space="preserve">b. Number of those referred determined to be NOT eligible and whose eligibility was determined prior to third birthday. </w:t>
            </w:r>
          </w:p>
        </w:tc>
        <w:tc>
          <w:tcPr>
            <w:tcW w:w="665" w:type="pct"/>
            <w:shd w:val="clear" w:color="auto" w:fill="auto"/>
            <w:vAlign w:val="center"/>
          </w:tcPr>
          <w:p w14:paraId="5383065B" w14:textId="0CFFF590" w:rsidR="00634AD8" w:rsidRPr="00781112" w:rsidRDefault="002B7490" w:rsidP="00A018D4">
            <w:pPr>
              <w:jc w:val="center"/>
              <w:rPr>
                <w:rFonts w:cs="Arial"/>
                <w:color w:val="000000" w:themeColor="text1"/>
                <w:szCs w:val="16"/>
              </w:rPr>
            </w:pPr>
            <w:r w:rsidRPr="00781112">
              <w:rPr>
                <w:rFonts w:cs="Arial"/>
                <w:color w:val="000000" w:themeColor="text1"/>
                <w:szCs w:val="16"/>
              </w:rPr>
              <w:t>469</w:t>
            </w:r>
          </w:p>
        </w:tc>
      </w:tr>
      <w:tr w:rsidR="005C29F8" w:rsidRPr="00781112" w14:paraId="3372C19D" w14:textId="77777777" w:rsidTr="009D3860">
        <w:trPr>
          <w:trHeight w:val="357"/>
        </w:trPr>
        <w:tc>
          <w:tcPr>
            <w:tcW w:w="4335" w:type="pct"/>
          </w:tcPr>
          <w:p w14:paraId="2817071E" w14:textId="77777777" w:rsidR="00634AD8" w:rsidRPr="00781112" w:rsidRDefault="00634AD8" w:rsidP="003E65F5">
            <w:pPr>
              <w:rPr>
                <w:rFonts w:cs="Arial"/>
                <w:color w:val="000000" w:themeColor="text1"/>
                <w:szCs w:val="16"/>
              </w:rPr>
            </w:pPr>
            <w:r w:rsidRPr="00781112">
              <w:rPr>
                <w:rFonts w:cs="Arial"/>
                <w:color w:val="000000" w:themeColor="text1"/>
                <w:szCs w:val="16"/>
              </w:rPr>
              <w:lastRenderedPageBreak/>
              <w:t xml:space="preserve">c. Number of those found eligible who have an IEP developed and implemented by their third birthdays. </w:t>
            </w:r>
          </w:p>
        </w:tc>
        <w:tc>
          <w:tcPr>
            <w:tcW w:w="665" w:type="pct"/>
            <w:shd w:val="clear" w:color="auto" w:fill="auto"/>
            <w:vAlign w:val="center"/>
          </w:tcPr>
          <w:p w14:paraId="1678CD90" w14:textId="068B0D57" w:rsidR="00634AD8" w:rsidRPr="00781112" w:rsidRDefault="002B7490" w:rsidP="00A018D4">
            <w:pPr>
              <w:jc w:val="center"/>
              <w:rPr>
                <w:rFonts w:cs="Arial"/>
                <w:color w:val="000000" w:themeColor="text1"/>
                <w:szCs w:val="16"/>
              </w:rPr>
            </w:pPr>
            <w:r w:rsidRPr="00781112">
              <w:rPr>
                <w:rFonts w:cs="Arial"/>
                <w:color w:val="000000" w:themeColor="text1"/>
                <w:szCs w:val="16"/>
              </w:rPr>
              <w:t>1,568</w:t>
            </w:r>
          </w:p>
        </w:tc>
      </w:tr>
      <w:tr w:rsidR="005C29F8" w:rsidRPr="00781112" w14:paraId="00CE41C8" w14:textId="77777777" w:rsidTr="009D3860">
        <w:trPr>
          <w:trHeight w:val="357"/>
        </w:trPr>
        <w:tc>
          <w:tcPr>
            <w:tcW w:w="4335" w:type="pct"/>
          </w:tcPr>
          <w:p w14:paraId="547A75A2" w14:textId="77777777" w:rsidR="00634AD8" w:rsidRPr="00781112" w:rsidRDefault="00634AD8" w:rsidP="003E65F5">
            <w:pPr>
              <w:rPr>
                <w:rFonts w:cs="Arial"/>
                <w:color w:val="000000" w:themeColor="text1"/>
                <w:szCs w:val="16"/>
              </w:rPr>
            </w:pPr>
            <w:r w:rsidRPr="00781112">
              <w:rPr>
                <w:rFonts w:cs="Arial"/>
                <w:color w:val="000000" w:themeColor="text1"/>
                <w:szCs w:val="16"/>
              </w:rPr>
              <w:t xml:space="preserve">d. Number for whom parent refusals to provide consent caused delays in evaluation or initial services or to whom exceptions under 34 CFR §300.301(d) applied. </w:t>
            </w:r>
          </w:p>
        </w:tc>
        <w:tc>
          <w:tcPr>
            <w:tcW w:w="665" w:type="pct"/>
            <w:shd w:val="clear" w:color="auto" w:fill="auto"/>
            <w:vAlign w:val="center"/>
          </w:tcPr>
          <w:p w14:paraId="78FF9A45" w14:textId="45CD6353" w:rsidR="00634AD8" w:rsidRPr="00781112" w:rsidRDefault="002B7490" w:rsidP="00A018D4">
            <w:pPr>
              <w:jc w:val="center"/>
              <w:rPr>
                <w:rFonts w:cs="Arial"/>
                <w:color w:val="000000" w:themeColor="text1"/>
                <w:szCs w:val="16"/>
              </w:rPr>
            </w:pPr>
            <w:r w:rsidRPr="00781112">
              <w:rPr>
                <w:rFonts w:cs="Arial"/>
                <w:color w:val="000000" w:themeColor="text1"/>
                <w:szCs w:val="16"/>
              </w:rPr>
              <w:t>922</w:t>
            </w:r>
          </w:p>
        </w:tc>
      </w:tr>
      <w:tr w:rsidR="005C29F8" w:rsidRPr="00781112" w14:paraId="47C8B30F" w14:textId="77777777" w:rsidTr="009D3860">
        <w:trPr>
          <w:trHeight w:val="357"/>
        </w:trPr>
        <w:tc>
          <w:tcPr>
            <w:tcW w:w="4335" w:type="pct"/>
          </w:tcPr>
          <w:p w14:paraId="03BE3AC0" w14:textId="77777777" w:rsidR="00634AD8" w:rsidRPr="00781112" w:rsidRDefault="00634AD8" w:rsidP="003E65F5">
            <w:pPr>
              <w:rPr>
                <w:rFonts w:cs="Arial"/>
                <w:color w:val="000000" w:themeColor="text1"/>
                <w:szCs w:val="16"/>
              </w:rPr>
            </w:pPr>
            <w:r w:rsidRPr="00781112">
              <w:rPr>
                <w:rFonts w:cs="Arial"/>
                <w:color w:val="000000" w:themeColor="text1"/>
                <w:szCs w:val="16"/>
              </w:rPr>
              <w:t xml:space="preserve">e. Number of children who were referred to Part C less than 90 days before their third birthdays. </w:t>
            </w:r>
          </w:p>
        </w:tc>
        <w:tc>
          <w:tcPr>
            <w:tcW w:w="665" w:type="pct"/>
            <w:shd w:val="clear" w:color="auto" w:fill="auto"/>
            <w:vAlign w:val="center"/>
          </w:tcPr>
          <w:p w14:paraId="33E087DB" w14:textId="01E57E33" w:rsidR="00634AD8" w:rsidRPr="00781112" w:rsidRDefault="002B7490" w:rsidP="00A018D4">
            <w:pPr>
              <w:jc w:val="center"/>
              <w:rPr>
                <w:rFonts w:cs="Arial"/>
                <w:color w:val="000000" w:themeColor="text1"/>
                <w:szCs w:val="16"/>
              </w:rPr>
            </w:pPr>
            <w:r w:rsidRPr="00781112">
              <w:rPr>
                <w:rFonts w:cs="Arial"/>
                <w:color w:val="000000" w:themeColor="text1"/>
                <w:szCs w:val="16"/>
              </w:rPr>
              <w:t>79</w:t>
            </w:r>
          </w:p>
        </w:tc>
      </w:tr>
      <w:tr w:rsidR="004E67B3" w:rsidRPr="00781112" w14:paraId="19297440" w14:textId="77777777" w:rsidTr="009D3860">
        <w:trPr>
          <w:trHeight w:val="357"/>
        </w:trPr>
        <w:tc>
          <w:tcPr>
            <w:tcW w:w="4335" w:type="pct"/>
          </w:tcPr>
          <w:p w14:paraId="592F3289" w14:textId="43CA733D" w:rsidR="004E67B3" w:rsidRPr="00781112" w:rsidRDefault="004E67B3" w:rsidP="003E65F5">
            <w:pPr>
              <w:rPr>
                <w:rFonts w:cs="Arial"/>
                <w:color w:val="000000" w:themeColor="text1"/>
                <w:szCs w:val="16"/>
              </w:rPr>
            </w:pPr>
            <w:r w:rsidRPr="00781112">
              <w:rPr>
                <w:rFonts w:cs="Arial"/>
                <w:color w:val="000000" w:themeColor="text1"/>
                <w:szCs w:val="16"/>
              </w:rPr>
              <w:t xml:space="preserve">f. Number of children whose parents chose to continue early intervention services beyond the child’s third birthday through a </w:t>
            </w:r>
            <w:proofErr w:type="gramStart"/>
            <w:r w:rsidRPr="00781112">
              <w:rPr>
                <w:rFonts w:cs="Arial"/>
                <w:color w:val="000000" w:themeColor="text1"/>
                <w:szCs w:val="16"/>
              </w:rPr>
              <w:t>State’s</w:t>
            </w:r>
            <w:proofErr w:type="gramEnd"/>
            <w:r w:rsidRPr="00781112">
              <w:rPr>
                <w:rFonts w:cs="Arial"/>
                <w:color w:val="000000" w:themeColor="text1"/>
                <w:szCs w:val="16"/>
              </w:rPr>
              <w:t xml:space="preserve"> policy under 34 CFR §303.211 or a similar State option.</w:t>
            </w:r>
          </w:p>
        </w:tc>
        <w:tc>
          <w:tcPr>
            <w:tcW w:w="665" w:type="pct"/>
            <w:shd w:val="clear" w:color="auto" w:fill="auto"/>
            <w:vAlign w:val="center"/>
          </w:tcPr>
          <w:p w14:paraId="02B29C79" w14:textId="62FEE650" w:rsidR="004E67B3" w:rsidRPr="00781112" w:rsidRDefault="002B7490" w:rsidP="00A018D4">
            <w:pPr>
              <w:jc w:val="center"/>
              <w:rPr>
                <w:rFonts w:cs="Arial"/>
                <w:color w:val="000000" w:themeColor="text1"/>
                <w:szCs w:val="16"/>
              </w:rPr>
            </w:pPr>
            <w:r w:rsidRPr="00781112">
              <w:rPr>
                <w:rFonts w:cs="Arial"/>
                <w:color w:val="000000" w:themeColor="text1"/>
                <w:szCs w:val="16"/>
              </w:rPr>
              <w:t>67</w:t>
            </w:r>
          </w:p>
        </w:tc>
      </w:tr>
    </w:tbl>
    <w:p w14:paraId="798A2079" w14:textId="77777777" w:rsidR="00634AD8" w:rsidRPr="00781112" w:rsidRDefault="00634AD8" w:rsidP="00634AD8">
      <w:pPr>
        <w:rPr>
          <w:rFonts w:cs="Arial"/>
          <w:b/>
          <w:color w:val="000000" w:themeColor="text1"/>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B12CFFYAPRDATA1"/>
      </w:tblPr>
      <w:tblGrid>
        <w:gridCol w:w="1794"/>
        <w:gridCol w:w="1285"/>
        <w:gridCol w:w="1285"/>
        <w:gridCol w:w="1285"/>
        <w:gridCol w:w="1285"/>
        <w:gridCol w:w="1285"/>
        <w:gridCol w:w="1285"/>
        <w:gridCol w:w="1286"/>
      </w:tblGrid>
      <w:tr w:rsidR="00B1652C" w:rsidRPr="00781112" w14:paraId="666B6B4E" w14:textId="2C1DC9A0" w:rsidTr="0010170F">
        <w:trPr>
          <w:trHeight w:val="340"/>
          <w:tblHeader/>
        </w:trPr>
        <w:tc>
          <w:tcPr>
            <w:tcW w:w="831" w:type="pct"/>
            <w:shd w:val="clear" w:color="auto" w:fill="auto"/>
          </w:tcPr>
          <w:p w14:paraId="5A0321EA" w14:textId="34C57852" w:rsidR="00B1652C" w:rsidRPr="00781112" w:rsidRDefault="00B1652C" w:rsidP="00BA3DBE">
            <w:pPr>
              <w:jc w:val="center"/>
              <w:rPr>
                <w:rFonts w:cs="Arial"/>
                <w:b/>
                <w:bCs/>
                <w:color w:val="000000" w:themeColor="text1"/>
                <w:szCs w:val="16"/>
              </w:rPr>
            </w:pPr>
            <w:r w:rsidRPr="00781112">
              <w:rPr>
                <w:rFonts w:cs="Arial"/>
                <w:b/>
                <w:bCs/>
                <w:color w:val="000000" w:themeColor="text1"/>
                <w:szCs w:val="16"/>
              </w:rPr>
              <w:t>Measure</w:t>
            </w:r>
          </w:p>
        </w:tc>
        <w:tc>
          <w:tcPr>
            <w:tcW w:w="595" w:type="pct"/>
            <w:shd w:val="clear" w:color="auto" w:fill="auto"/>
          </w:tcPr>
          <w:p w14:paraId="45390059" w14:textId="77777777" w:rsidR="00B1652C" w:rsidRPr="00781112" w:rsidRDefault="00B1652C" w:rsidP="00B1652C">
            <w:pPr>
              <w:jc w:val="center"/>
              <w:rPr>
                <w:rFonts w:cs="Arial"/>
                <w:b/>
                <w:color w:val="000000" w:themeColor="text1"/>
                <w:szCs w:val="16"/>
              </w:rPr>
            </w:pPr>
            <w:r w:rsidRPr="00781112">
              <w:rPr>
                <w:rFonts w:cs="Arial"/>
                <w:b/>
                <w:color w:val="000000" w:themeColor="text1"/>
                <w:szCs w:val="16"/>
              </w:rPr>
              <w:t>Numerator (c)</w:t>
            </w:r>
          </w:p>
        </w:tc>
        <w:tc>
          <w:tcPr>
            <w:tcW w:w="595" w:type="pct"/>
            <w:shd w:val="clear" w:color="auto" w:fill="auto"/>
          </w:tcPr>
          <w:p w14:paraId="46860D80" w14:textId="77777777" w:rsidR="00B1652C" w:rsidRPr="0075451F" w:rsidRDefault="00B1652C" w:rsidP="00B1652C">
            <w:pPr>
              <w:jc w:val="center"/>
              <w:rPr>
                <w:rFonts w:cs="Arial"/>
                <w:b/>
                <w:color w:val="000000" w:themeColor="text1"/>
                <w:szCs w:val="16"/>
                <w:lang w:val="es-ES"/>
              </w:rPr>
            </w:pPr>
            <w:proofErr w:type="spellStart"/>
            <w:r w:rsidRPr="0075451F">
              <w:rPr>
                <w:rFonts w:cs="Arial"/>
                <w:b/>
                <w:color w:val="000000" w:themeColor="text1"/>
                <w:szCs w:val="16"/>
                <w:lang w:val="es-ES"/>
              </w:rPr>
              <w:t>Denominator</w:t>
            </w:r>
            <w:proofErr w:type="spellEnd"/>
            <w:r w:rsidRPr="0075451F">
              <w:rPr>
                <w:rFonts w:cs="Arial"/>
                <w:b/>
                <w:color w:val="000000" w:themeColor="text1"/>
                <w:szCs w:val="16"/>
                <w:lang w:val="es-ES"/>
              </w:rPr>
              <w:t xml:space="preserve"> (a-b-d-e-f)</w:t>
            </w:r>
          </w:p>
        </w:tc>
        <w:tc>
          <w:tcPr>
            <w:tcW w:w="595" w:type="pct"/>
            <w:shd w:val="clear" w:color="auto" w:fill="auto"/>
            <w:vAlign w:val="bottom"/>
          </w:tcPr>
          <w:p w14:paraId="58F547FF" w14:textId="6881F181" w:rsidR="00B1652C" w:rsidRPr="006D0A52" w:rsidRDefault="00B1652C" w:rsidP="00B1652C">
            <w:pPr>
              <w:jc w:val="center"/>
              <w:rPr>
                <w:rFonts w:cs="Arial"/>
                <w:b/>
                <w:bCs/>
                <w:color w:val="000000" w:themeColor="text1"/>
                <w:szCs w:val="16"/>
              </w:rPr>
            </w:pPr>
            <w:r w:rsidRPr="006D0A52">
              <w:rPr>
                <w:b/>
                <w:bCs/>
              </w:rPr>
              <w:t>FFY 2021 Data</w:t>
            </w:r>
          </w:p>
        </w:tc>
        <w:tc>
          <w:tcPr>
            <w:tcW w:w="595" w:type="pct"/>
            <w:shd w:val="clear" w:color="auto" w:fill="auto"/>
            <w:vAlign w:val="bottom"/>
          </w:tcPr>
          <w:p w14:paraId="36BD2BCA" w14:textId="5C1AC691" w:rsidR="00B1652C" w:rsidRPr="006D0A52" w:rsidRDefault="00B1652C" w:rsidP="00B1652C">
            <w:pPr>
              <w:jc w:val="center"/>
              <w:rPr>
                <w:rFonts w:cs="Arial"/>
                <w:b/>
                <w:bCs/>
                <w:color w:val="000000" w:themeColor="text1"/>
                <w:szCs w:val="16"/>
              </w:rPr>
            </w:pPr>
            <w:r w:rsidRPr="006D0A52">
              <w:rPr>
                <w:b/>
                <w:bCs/>
              </w:rPr>
              <w:t>FFY 2022 Target</w:t>
            </w:r>
          </w:p>
        </w:tc>
        <w:tc>
          <w:tcPr>
            <w:tcW w:w="595" w:type="pct"/>
            <w:shd w:val="clear" w:color="auto" w:fill="auto"/>
            <w:vAlign w:val="bottom"/>
          </w:tcPr>
          <w:p w14:paraId="0030B6C4" w14:textId="0A408750" w:rsidR="00B1652C" w:rsidRPr="006D0A52" w:rsidRDefault="00B1652C" w:rsidP="00B1652C">
            <w:pPr>
              <w:jc w:val="center"/>
              <w:rPr>
                <w:rFonts w:cs="Arial"/>
                <w:b/>
                <w:bCs/>
                <w:color w:val="000000" w:themeColor="text1"/>
                <w:szCs w:val="16"/>
              </w:rPr>
            </w:pPr>
            <w:r w:rsidRPr="006D0A52">
              <w:rPr>
                <w:b/>
                <w:bCs/>
              </w:rPr>
              <w:t>FFY 2022 Data</w:t>
            </w:r>
          </w:p>
        </w:tc>
        <w:tc>
          <w:tcPr>
            <w:tcW w:w="595" w:type="pct"/>
            <w:shd w:val="clear" w:color="auto" w:fill="auto"/>
          </w:tcPr>
          <w:p w14:paraId="16905A6D" w14:textId="19A3632B" w:rsidR="00B1652C" w:rsidRPr="00781112" w:rsidRDefault="00B1652C" w:rsidP="00B1652C">
            <w:pPr>
              <w:jc w:val="center"/>
              <w:rPr>
                <w:rFonts w:cs="Arial"/>
                <w:b/>
                <w:color w:val="000000" w:themeColor="text1"/>
                <w:szCs w:val="16"/>
              </w:rPr>
            </w:pPr>
            <w:r w:rsidRPr="00781112">
              <w:rPr>
                <w:rFonts w:cs="Arial"/>
                <w:b/>
                <w:color w:val="000000" w:themeColor="text1"/>
                <w:szCs w:val="16"/>
              </w:rPr>
              <w:t>Status</w:t>
            </w:r>
          </w:p>
        </w:tc>
        <w:tc>
          <w:tcPr>
            <w:tcW w:w="596" w:type="pct"/>
            <w:shd w:val="clear" w:color="auto" w:fill="auto"/>
          </w:tcPr>
          <w:p w14:paraId="0DCCD9DE" w14:textId="3F28AD62" w:rsidR="00B1652C" w:rsidRPr="00781112" w:rsidRDefault="00B1652C" w:rsidP="00B1652C">
            <w:pPr>
              <w:jc w:val="center"/>
              <w:rPr>
                <w:rFonts w:cs="Arial"/>
                <w:b/>
                <w:color w:val="000000" w:themeColor="text1"/>
                <w:szCs w:val="16"/>
              </w:rPr>
            </w:pPr>
            <w:r w:rsidRPr="00781112">
              <w:rPr>
                <w:rFonts w:cs="Arial"/>
                <w:b/>
                <w:color w:val="000000" w:themeColor="text1"/>
                <w:szCs w:val="16"/>
              </w:rPr>
              <w:t>Slippage</w:t>
            </w:r>
          </w:p>
        </w:tc>
      </w:tr>
      <w:tr w:rsidR="005C29F8" w:rsidRPr="00781112" w14:paraId="1F7C0EED" w14:textId="06CECBDB" w:rsidTr="005F2FF9">
        <w:trPr>
          <w:trHeight w:val="347"/>
        </w:trPr>
        <w:tc>
          <w:tcPr>
            <w:tcW w:w="831" w:type="pct"/>
            <w:shd w:val="clear" w:color="auto" w:fill="auto"/>
          </w:tcPr>
          <w:p w14:paraId="42006EF2" w14:textId="30F01538" w:rsidR="009447A3" w:rsidRPr="00781112" w:rsidRDefault="00616BA4" w:rsidP="009447A3">
            <w:pPr>
              <w:rPr>
                <w:rFonts w:cs="Arial"/>
                <w:color w:val="000000" w:themeColor="text1"/>
                <w:szCs w:val="16"/>
              </w:rPr>
            </w:pPr>
            <w:r w:rsidRPr="00781112">
              <w:rPr>
                <w:rFonts w:cs="Arial"/>
                <w:color w:val="000000" w:themeColor="text1"/>
                <w:szCs w:val="16"/>
              </w:rPr>
              <w:t>Percent of children referred by Part C prior to age 3 who are found eligible for Part B, and who have an IEP developed and implemented by their third birthdays.</w:t>
            </w:r>
          </w:p>
        </w:tc>
        <w:tc>
          <w:tcPr>
            <w:tcW w:w="595" w:type="pct"/>
            <w:shd w:val="clear" w:color="auto" w:fill="auto"/>
            <w:vAlign w:val="center"/>
          </w:tcPr>
          <w:p w14:paraId="25AD0B10" w14:textId="530E8072" w:rsidR="009447A3" w:rsidRPr="00781112" w:rsidRDefault="00FA318E" w:rsidP="004369B2">
            <w:pPr>
              <w:jc w:val="center"/>
              <w:rPr>
                <w:rFonts w:cs="Arial"/>
                <w:color w:val="000000" w:themeColor="text1"/>
                <w:szCs w:val="16"/>
              </w:rPr>
            </w:pPr>
            <w:r w:rsidRPr="00781112">
              <w:rPr>
                <w:rFonts w:cs="Arial"/>
                <w:color w:val="000000" w:themeColor="text1"/>
                <w:szCs w:val="16"/>
              </w:rPr>
              <w:t>1,568</w:t>
            </w:r>
          </w:p>
        </w:tc>
        <w:tc>
          <w:tcPr>
            <w:tcW w:w="595" w:type="pct"/>
            <w:shd w:val="clear" w:color="auto" w:fill="auto"/>
            <w:vAlign w:val="center"/>
          </w:tcPr>
          <w:p w14:paraId="7A8E33C9" w14:textId="2CE029E7" w:rsidR="009447A3" w:rsidRPr="00781112" w:rsidRDefault="00FA318E" w:rsidP="004369B2">
            <w:pPr>
              <w:jc w:val="center"/>
              <w:rPr>
                <w:rFonts w:cs="Arial"/>
                <w:color w:val="000000" w:themeColor="text1"/>
                <w:szCs w:val="16"/>
              </w:rPr>
            </w:pPr>
            <w:r w:rsidRPr="00781112">
              <w:rPr>
                <w:rFonts w:cs="Arial"/>
                <w:color w:val="000000" w:themeColor="text1"/>
                <w:szCs w:val="16"/>
              </w:rPr>
              <w:t>1,581</w:t>
            </w:r>
          </w:p>
        </w:tc>
        <w:tc>
          <w:tcPr>
            <w:tcW w:w="595" w:type="pct"/>
            <w:shd w:val="clear" w:color="auto" w:fill="auto"/>
            <w:vAlign w:val="center"/>
          </w:tcPr>
          <w:p w14:paraId="7A618E17" w14:textId="730CF37E" w:rsidR="009447A3" w:rsidRPr="00781112" w:rsidRDefault="002B7490" w:rsidP="004369B2">
            <w:pPr>
              <w:jc w:val="center"/>
              <w:rPr>
                <w:rFonts w:cs="Arial"/>
                <w:color w:val="000000" w:themeColor="text1"/>
                <w:szCs w:val="16"/>
              </w:rPr>
            </w:pPr>
            <w:r w:rsidRPr="00781112">
              <w:rPr>
                <w:rFonts w:cs="Arial"/>
                <w:color w:val="000000" w:themeColor="text1"/>
                <w:szCs w:val="16"/>
              </w:rPr>
              <w:t>99.37%</w:t>
            </w:r>
          </w:p>
        </w:tc>
        <w:tc>
          <w:tcPr>
            <w:tcW w:w="595" w:type="pct"/>
            <w:shd w:val="clear" w:color="auto" w:fill="auto"/>
            <w:vAlign w:val="center"/>
          </w:tcPr>
          <w:p w14:paraId="173DD24A" w14:textId="02E11A38" w:rsidR="009447A3" w:rsidRPr="00781112" w:rsidRDefault="00B16A26" w:rsidP="004369B2">
            <w:pPr>
              <w:jc w:val="center"/>
              <w:rPr>
                <w:rFonts w:cs="Arial"/>
                <w:color w:val="000000" w:themeColor="text1"/>
                <w:szCs w:val="16"/>
              </w:rPr>
            </w:pPr>
            <w:r w:rsidRPr="00781112">
              <w:rPr>
                <w:rFonts w:cs="Arial"/>
                <w:color w:val="000000" w:themeColor="text1"/>
                <w:szCs w:val="16"/>
              </w:rPr>
              <w:t>100%</w:t>
            </w:r>
          </w:p>
        </w:tc>
        <w:tc>
          <w:tcPr>
            <w:tcW w:w="595" w:type="pct"/>
            <w:shd w:val="clear" w:color="auto" w:fill="auto"/>
            <w:vAlign w:val="center"/>
          </w:tcPr>
          <w:p w14:paraId="1BEC9517" w14:textId="612C62AC" w:rsidR="009447A3" w:rsidRPr="00781112" w:rsidRDefault="002B7490" w:rsidP="004369B2">
            <w:pPr>
              <w:jc w:val="center"/>
              <w:rPr>
                <w:rFonts w:cs="Arial"/>
                <w:color w:val="000000" w:themeColor="text1"/>
                <w:szCs w:val="16"/>
              </w:rPr>
            </w:pPr>
            <w:r w:rsidRPr="00781112">
              <w:rPr>
                <w:rFonts w:cs="Arial"/>
                <w:color w:val="000000" w:themeColor="text1"/>
                <w:szCs w:val="16"/>
              </w:rPr>
              <w:t>99.18%</w:t>
            </w:r>
          </w:p>
        </w:tc>
        <w:tc>
          <w:tcPr>
            <w:tcW w:w="595" w:type="pct"/>
            <w:shd w:val="clear" w:color="auto" w:fill="auto"/>
            <w:vAlign w:val="center"/>
          </w:tcPr>
          <w:p w14:paraId="35C0024C" w14:textId="6347E5FC" w:rsidR="009447A3" w:rsidRPr="00781112" w:rsidRDefault="002B7490" w:rsidP="004369B2">
            <w:pPr>
              <w:jc w:val="center"/>
              <w:rPr>
                <w:rFonts w:cs="Arial"/>
                <w:color w:val="000000" w:themeColor="text1"/>
                <w:szCs w:val="16"/>
              </w:rPr>
            </w:pPr>
            <w:r w:rsidRPr="00781112">
              <w:rPr>
                <w:rFonts w:cs="Arial"/>
                <w:color w:val="000000" w:themeColor="text1"/>
                <w:szCs w:val="16"/>
              </w:rPr>
              <w:t>Did not meet target</w:t>
            </w:r>
          </w:p>
        </w:tc>
        <w:tc>
          <w:tcPr>
            <w:tcW w:w="596" w:type="pct"/>
            <w:shd w:val="clear" w:color="auto" w:fill="auto"/>
            <w:vAlign w:val="center"/>
          </w:tcPr>
          <w:p w14:paraId="466F387F" w14:textId="652A9CC9" w:rsidR="009447A3" w:rsidRPr="00781112" w:rsidRDefault="002B7490" w:rsidP="004369B2">
            <w:pPr>
              <w:jc w:val="center"/>
              <w:rPr>
                <w:rFonts w:cs="Arial"/>
                <w:color w:val="000000" w:themeColor="text1"/>
                <w:szCs w:val="16"/>
              </w:rPr>
            </w:pPr>
            <w:r w:rsidRPr="00781112">
              <w:rPr>
                <w:rFonts w:cs="Arial"/>
                <w:color w:val="000000" w:themeColor="text1"/>
                <w:szCs w:val="16"/>
              </w:rPr>
              <w:t>No Slippage</w:t>
            </w:r>
          </w:p>
        </w:tc>
      </w:tr>
    </w:tbl>
    <w:p w14:paraId="0416C2F1" w14:textId="701A59F0" w:rsidR="00A5601C" w:rsidRPr="00781112" w:rsidRDefault="00A5601C" w:rsidP="007D435F">
      <w:pPr>
        <w:rPr>
          <w:rFonts w:cs="Arial"/>
          <w:b/>
          <w:color w:val="000000" w:themeColor="text1"/>
          <w:szCs w:val="16"/>
        </w:rPr>
      </w:pPr>
      <w:r w:rsidRPr="00781112">
        <w:rPr>
          <w:rFonts w:cs="Arial"/>
          <w:b/>
          <w:color w:val="000000" w:themeColor="text1"/>
          <w:szCs w:val="16"/>
        </w:rPr>
        <w:t>Number of children who served in Part C and referred to Part B for eligibility determination that are not included in b, c, d, e, or f</w:t>
      </w:r>
    </w:p>
    <w:p w14:paraId="621D77AD" w14:textId="2BC90681" w:rsidR="00A5601C" w:rsidRPr="00781112" w:rsidRDefault="00A5601C" w:rsidP="007D435F">
      <w:pPr>
        <w:rPr>
          <w:rFonts w:cs="Arial"/>
          <w:color w:val="000000" w:themeColor="text1"/>
          <w:szCs w:val="16"/>
        </w:rPr>
      </w:pPr>
      <w:r w:rsidRPr="00781112">
        <w:rPr>
          <w:rFonts w:cs="Arial"/>
          <w:color w:val="000000" w:themeColor="text1"/>
          <w:szCs w:val="16"/>
        </w:rPr>
        <w:t>13</w:t>
      </w:r>
    </w:p>
    <w:p w14:paraId="2DB77447" w14:textId="5C5B3699" w:rsidR="00E418E6" w:rsidRPr="00781112" w:rsidRDefault="00326C0B" w:rsidP="006A01BD">
      <w:pPr>
        <w:rPr>
          <w:b/>
          <w:color w:val="000000" w:themeColor="text1"/>
        </w:rPr>
      </w:pPr>
      <w:r w:rsidRPr="00781112">
        <w:rPr>
          <w:b/>
          <w:color w:val="000000" w:themeColor="text1"/>
        </w:rPr>
        <w:t>Account for children included in (a), but not included in b, c, d, e, or f. Indicate the range of days beyond the third birthday when eligibility was determined and the IEP developed, and the reasons for the delays.</w:t>
      </w:r>
    </w:p>
    <w:p w14:paraId="542A680D" w14:textId="2831B065" w:rsidR="00326C0B" w:rsidRPr="00781112" w:rsidRDefault="002B7490" w:rsidP="006A01BD">
      <w:pPr>
        <w:rPr>
          <w:bCs/>
          <w:color w:val="000000" w:themeColor="text1"/>
        </w:rPr>
      </w:pPr>
      <w:r w:rsidRPr="00781112">
        <w:rPr>
          <w:bCs/>
          <w:color w:val="000000" w:themeColor="text1"/>
        </w:rPr>
        <w:t xml:space="preserve">Among the 13 children whose IEP was not developed or implemented by their third birthday, the shortest number of days beyond the 3rd birthday to implementation of the IEP was 5 days and the longest was 104 days.  The median number of days beyond the 3rd birthday was 28 days. </w:t>
      </w:r>
      <w:proofErr w:type="gramStart"/>
      <w:r w:rsidRPr="00781112">
        <w:rPr>
          <w:bCs/>
          <w:color w:val="000000" w:themeColor="text1"/>
        </w:rPr>
        <w:t>Reasons</w:t>
      </w:r>
      <w:proofErr w:type="gramEnd"/>
      <w:r w:rsidRPr="00781112">
        <w:rPr>
          <w:bCs/>
          <w:color w:val="000000" w:themeColor="text1"/>
        </w:rPr>
        <w:t xml:space="preserve"> for the delays were due to staff missed the deadline and referral close to the third birthday. </w:t>
      </w:r>
    </w:p>
    <w:p w14:paraId="4BE9E8DB" w14:textId="127EF17F" w:rsidR="00A5601C" w:rsidRPr="00781112" w:rsidRDefault="00326C0B" w:rsidP="006A01BD">
      <w:pPr>
        <w:rPr>
          <w:b/>
          <w:color w:val="000000" w:themeColor="text1"/>
        </w:rPr>
      </w:pPr>
      <w:r w:rsidRPr="00781112">
        <w:rPr>
          <w:b/>
          <w:color w:val="000000" w:themeColor="text1"/>
        </w:rPr>
        <w:t>Attach PDF table (optional)</w:t>
      </w:r>
    </w:p>
    <w:p w14:paraId="79E6A8DD" w14:textId="2B03416C" w:rsidR="00326C0B" w:rsidRPr="00781112" w:rsidRDefault="00326C0B" w:rsidP="006A01BD">
      <w:pPr>
        <w:rPr>
          <w:bCs/>
          <w:color w:val="000000" w:themeColor="text1"/>
        </w:rPr>
      </w:pPr>
      <w:bookmarkStart w:id="78" w:name="_Hlk20318414"/>
      <w:bookmarkEnd w:id="78"/>
    </w:p>
    <w:p w14:paraId="5E057416" w14:textId="77777777" w:rsidR="00A5601C" w:rsidRPr="00781112" w:rsidRDefault="009447A3">
      <w:pPr>
        <w:rPr>
          <w:b/>
          <w:color w:val="000000" w:themeColor="text1"/>
        </w:rPr>
      </w:pPr>
      <w:r w:rsidRPr="00781112">
        <w:rPr>
          <w:b/>
          <w:color w:val="000000" w:themeColor="text1"/>
        </w:rPr>
        <w:t>What is the source of the data provided for this indicator?</w:t>
      </w:r>
    </w:p>
    <w:p w14:paraId="50B7435C" w14:textId="024484CA" w:rsidR="009447A3" w:rsidRPr="00781112" w:rsidRDefault="002B7490" w:rsidP="004369B2">
      <w:pPr>
        <w:rPr>
          <w:color w:val="000000" w:themeColor="text1"/>
        </w:rPr>
      </w:pPr>
      <w:r w:rsidRPr="00781112">
        <w:rPr>
          <w:color w:val="000000" w:themeColor="text1"/>
        </w:rPr>
        <w:t>State database that includes data for the entire reporting year</w:t>
      </w:r>
    </w:p>
    <w:p w14:paraId="4558F99F" w14:textId="77777777" w:rsidR="009447A3" w:rsidRPr="00781112" w:rsidRDefault="009447A3" w:rsidP="004369B2">
      <w:pPr>
        <w:rPr>
          <w:b/>
          <w:color w:val="000000" w:themeColor="text1"/>
        </w:rPr>
      </w:pPr>
      <w:r w:rsidRPr="00781112">
        <w:rPr>
          <w:b/>
          <w:color w:val="000000" w:themeColor="text1"/>
        </w:rPr>
        <w:t xml:space="preserve">Describe the method used to collect these data, and if data are from the State’s monitoring, describe the procedures used to collect these data. </w:t>
      </w:r>
    </w:p>
    <w:p w14:paraId="6C2B5D1A" w14:textId="61019073" w:rsidR="00326C0B" w:rsidRPr="00781112" w:rsidRDefault="002B7490" w:rsidP="008E31C4">
      <w:pPr>
        <w:rPr>
          <w:rFonts w:cs="Arial"/>
          <w:color w:val="000000" w:themeColor="text1"/>
          <w:szCs w:val="16"/>
        </w:rPr>
      </w:pPr>
      <w:r w:rsidRPr="00781112">
        <w:rPr>
          <w:rFonts w:cs="Arial"/>
          <w:color w:val="000000" w:themeColor="text1"/>
          <w:szCs w:val="16"/>
        </w:rPr>
        <w:t xml:space="preserve">Data for Indicator 12 </w:t>
      </w:r>
      <w:proofErr w:type="gramStart"/>
      <w:r w:rsidRPr="00781112">
        <w:rPr>
          <w:rFonts w:cs="Arial"/>
          <w:color w:val="000000" w:themeColor="text1"/>
          <w:szCs w:val="16"/>
        </w:rPr>
        <w:t>are</w:t>
      </w:r>
      <w:proofErr w:type="gramEnd"/>
      <w:r w:rsidRPr="00781112">
        <w:rPr>
          <w:rFonts w:cs="Arial"/>
          <w:color w:val="000000" w:themeColor="text1"/>
          <w:szCs w:val="16"/>
        </w:rPr>
        <w:t xml:space="preserve"> reported by every AU through the online Special Education End-of-Year data collection. The data elements and definitions with the relevant information for Indicator 12 are defined as: Child’s Date of Birth, Date of Parental Consent to Evaluate, Date of Initial Eligibility Meeting, Date IEP was Implemented, and Reason for Delay in Implementing IEP.  AUs report data for all children who were served in a Part C program and evaluated for Part B services. When the IEP was not developed or implemented by the child’s third birthday, a reason for </w:t>
      </w:r>
      <w:proofErr w:type="gramStart"/>
      <w:r w:rsidRPr="00781112">
        <w:rPr>
          <w:rFonts w:cs="Arial"/>
          <w:color w:val="000000" w:themeColor="text1"/>
          <w:szCs w:val="16"/>
        </w:rPr>
        <w:t>delay</w:t>
      </w:r>
      <w:proofErr w:type="gramEnd"/>
      <w:r w:rsidRPr="00781112">
        <w:rPr>
          <w:rFonts w:cs="Arial"/>
          <w:color w:val="000000" w:themeColor="text1"/>
          <w:szCs w:val="16"/>
        </w:rPr>
        <w:t xml:space="preserve"> must be provided.</w:t>
      </w:r>
    </w:p>
    <w:p w14:paraId="6353DD92" w14:textId="77777777" w:rsidR="00E46206" w:rsidRPr="00781112" w:rsidRDefault="00E46206" w:rsidP="00E46206">
      <w:pPr>
        <w:rPr>
          <w:rFonts w:cs="Arial"/>
          <w:b/>
          <w:color w:val="000000" w:themeColor="text1"/>
          <w:szCs w:val="16"/>
        </w:rPr>
      </w:pPr>
      <w:r w:rsidRPr="00781112">
        <w:rPr>
          <w:rFonts w:cs="Arial"/>
          <w:b/>
          <w:color w:val="000000" w:themeColor="text1"/>
          <w:szCs w:val="16"/>
        </w:rPr>
        <w:t>Provide additional information about this indicator (optional)</w:t>
      </w:r>
    </w:p>
    <w:p w14:paraId="7201221D" w14:textId="686A034C" w:rsidR="00326C0B" w:rsidRPr="00781112" w:rsidRDefault="00326C0B" w:rsidP="007D435F">
      <w:pPr>
        <w:rPr>
          <w:rFonts w:cs="Arial"/>
          <w:color w:val="000000" w:themeColor="text1"/>
          <w:szCs w:val="16"/>
        </w:rPr>
      </w:pPr>
    </w:p>
    <w:p w14:paraId="4E94D02C" w14:textId="77777777" w:rsidR="009C5AE7" w:rsidRPr="00781112" w:rsidRDefault="009C5AE7" w:rsidP="004369B2">
      <w:pPr>
        <w:rPr>
          <w:color w:val="000000" w:themeColor="text1"/>
        </w:rPr>
      </w:pPr>
    </w:p>
    <w:p w14:paraId="7740DC21" w14:textId="6893CB59" w:rsidR="009A755E" w:rsidRPr="00781112" w:rsidRDefault="00450F98" w:rsidP="004369B2">
      <w:pPr>
        <w:rPr>
          <w:color w:val="000000" w:themeColor="text1"/>
        </w:rPr>
      </w:pPr>
      <w:r>
        <w:rPr>
          <w:b/>
          <w:color w:val="000000" w:themeColor="text1"/>
        </w:rPr>
        <w:t>Correction of Findings of Noncompliance Identified in FFY 2021</w:t>
      </w:r>
    </w:p>
    <w:tbl>
      <w:tblPr>
        <w:tblStyle w:val="TableGrid"/>
        <w:tblW w:w="5000" w:type="pct"/>
        <w:tblLook w:val="04A0" w:firstRow="1" w:lastRow="0" w:firstColumn="1" w:lastColumn="0" w:noHBand="0" w:noVBand="1"/>
        <w:tblCaption w:val="B12PFFYNCFINDINGS"/>
      </w:tblPr>
      <w:tblGrid>
        <w:gridCol w:w="2650"/>
        <w:gridCol w:w="2780"/>
        <w:gridCol w:w="2656"/>
        <w:gridCol w:w="2704"/>
      </w:tblGrid>
      <w:tr w:rsidR="005C29F8" w:rsidRPr="00781112" w14:paraId="716024C7" w14:textId="77777777" w:rsidTr="00455889">
        <w:trPr>
          <w:trHeight w:val="389"/>
          <w:tblHeader/>
        </w:trPr>
        <w:tc>
          <w:tcPr>
            <w:tcW w:w="1228" w:type="pct"/>
            <w:shd w:val="clear" w:color="auto" w:fill="auto"/>
            <w:vAlign w:val="bottom"/>
          </w:tcPr>
          <w:p w14:paraId="0E49E3D0" w14:textId="77777777" w:rsidR="009A755E" w:rsidRPr="00781112" w:rsidRDefault="009A755E" w:rsidP="009A755E">
            <w:pPr>
              <w:jc w:val="center"/>
              <w:rPr>
                <w:rFonts w:cs="Arial"/>
                <w:b/>
                <w:color w:val="000000" w:themeColor="text1"/>
                <w:szCs w:val="16"/>
              </w:rPr>
            </w:pPr>
            <w:r w:rsidRPr="00781112">
              <w:rPr>
                <w:rFonts w:cs="Arial"/>
                <w:b/>
                <w:color w:val="000000" w:themeColor="text1"/>
                <w:szCs w:val="16"/>
              </w:rPr>
              <w:t>Findings of Noncompliance Identified</w:t>
            </w:r>
          </w:p>
        </w:tc>
        <w:tc>
          <w:tcPr>
            <w:tcW w:w="1288" w:type="pct"/>
            <w:shd w:val="clear" w:color="auto" w:fill="auto"/>
            <w:vAlign w:val="bottom"/>
          </w:tcPr>
          <w:p w14:paraId="43B565EC" w14:textId="77777777" w:rsidR="009A755E" w:rsidRPr="00781112" w:rsidRDefault="009A755E" w:rsidP="009A755E">
            <w:pPr>
              <w:jc w:val="center"/>
              <w:rPr>
                <w:rFonts w:cs="Arial"/>
                <w:b/>
                <w:color w:val="000000" w:themeColor="text1"/>
                <w:szCs w:val="16"/>
              </w:rPr>
            </w:pPr>
            <w:r w:rsidRPr="00781112">
              <w:rPr>
                <w:rFonts w:cs="Arial"/>
                <w:b/>
                <w:color w:val="000000" w:themeColor="text1"/>
                <w:szCs w:val="16"/>
              </w:rPr>
              <w:t>Findings of Noncompliance Verified as Corrected Within One Year</w:t>
            </w:r>
          </w:p>
        </w:tc>
        <w:tc>
          <w:tcPr>
            <w:tcW w:w="1231" w:type="pct"/>
            <w:shd w:val="clear" w:color="auto" w:fill="auto"/>
            <w:vAlign w:val="bottom"/>
          </w:tcPr>
          <w:p w14:paraId="2113F3E4" w14:textId="77777777" w:rsidR="009A755E" w:rsidRPr="00781112" w:rsidRDefault="009A755E" w:rsidP="009A755E">
            <w:pPr>
              <w:jc w:val="center"/>
              <w:rPr>
                <w:rFonts w:cs="Arial"/>
                <w:b/>
                <w:color w:val="000000" w:themeColor="text1"/>
                <w:szCs w:val="16"/>
              </w:rPr>
            </w:pPr>
            <w:r w:rsidRPr="00781112">
              <w:rPr>
                <w:rFonts w:cs="Arial"/>
                <w:b/>
                <w:color w:val="000000" w:themeColor="text1"/>
                <w:szCs w:val="16"/>
              </w:rPr>
              <w:t>Findings of Noncompliance Subsequently Corrected</w:t>
            </w:r>
          </w:p>
        </w:tc>
        <w:tc>
          <w:tcPr>
            <w:tcW w:w="1254" w:type="pct"/>
            <w:shd w:val="clear" w:color="auto" w:fill="auto"/>
            <w:vAlign w:val="bottom"/>
          </w:tcPr>
          <w:p w14:paraId="15802D8D" w14:textId="77777777" w:rsidR="009A755E" w:rsidRPr="00781112" w:rsidRDefault="009A755E" w:rsidP="009A755E">
            <w:pPr>
              <w:jc w:val="center"/>
              <w:rPr>
                <w:rFonts w:cs="Arial"/>
                <w:b/>
                <w:color w:val="000000" w:themeColor="text1"/>
                <w:szCs w:val="16"/>
              </w:rPr>
            </w:pPr>
            <w:r w:rsidRPr="00781112">
              <w:rPr>
                <w:rFonts w:cs="Arial"/>
                <w:b/>
                <w:color w:val="000000" w:themeColor="text1"/>
                <w:szCs w:val="16"/>
              </w:rPr>
              <w:t>Findings Not Yet Verified as Corrected</w:t>
            </w:r>
          </w:p>
        </w:tc>
      </w:tr>
      <w:tr w:rsidR="005C29F8" w:rsidRPr="00781112" w14:paraId="5362EE0E" w14:textId="77777777" w:rsidTr="00455889">
        <w:tc>
          <w:tcPr>
            <w:tcW w:w="1228" w:type="pct"/>
            <w:shd w:val="clear" w:color="auto" w:fill="auto"/>
          </w:tcPr>
          <w:p w14:paraId="106FED18" w14:textId="3538FD80" w:rsidR="009A755E" w:rsidRPr="00781112" w:rsidRDefault="002B7490" w:rsidP="00A018D4">
            <w:pPr>
              <w:jc w:val="center"/>
              <w:rPr>
                <w:rFonts w:cs="Arial"/>
                <w:color w:val="000000" w:themeColor="text1"/>
                <w:szCs w:val="16"/>
              </w:rPr>
            </w:pPr>
            <w:r w:rsidRPr="00781112">
              <w:rPr>
                <w:rFonts w:cs="Arial"/>
                <w:color w:val="000000" w:themeColor="text1"/>
                <w:szCs w:val="16"/>
              </w:rPr>
              <w:t>6</w:t>
            </w:r>
          </w:p>
        </w:tc>
        <w:tc>
          <w:tcPr>
            <w:tcW w:w="1288" w:type="pct"/>
            <w:shd w:val="clear" w:color="auto" w:fill="auto"/>
          </w:tcPr>
          <w:p w14:paraId="30E75C81" w14:textId="5263D718" w:rsidR="009A755E" w:rsidRPr="00781112" w:rsidRDefault="002B7490" w:rsidP="00A018D4">
            <w:pPr>
              <w:jc w:val="center"/>
              <w:rPr>
                <w:rFonts w:cs="Arial"/>
                <w:color w:val="000000" w:themeColor="text1"/>
                <w:szCs w:val="16"/>
              </w:rPr>
            </w:pPr>
            <w:r w:rsidRPr="00781112">
              <w:rPr>
                <w:rFonts w:cs="Arial"/>
                <w:color w:val="000000" w:themeColor="text1"/>
                <w:szCs w:val="16"/>
              </w:rPr>
              <w:t>6</w:t>
            </w:r>
          </w:p>
        </w:tc>
        <w:tc>
          <w:tcPr>
            <w:tcW w:w="1231" w:type="pct"/>
            <w:shd w:val="clear" w:color="auto" w:fill="auto"/>
          </w:tcPr>
          <w:p w14:paraId="36D48FD7" w14:textId="2F6E80E6" w:rsidR="009A755E" w:rsidRPr="00781112" w:rsidRDefault="002B7490" w:rsidP="00A018D4">
            <w:pPr>
              <w:jc w:val="center"/>
              <w:rPr>
                <w:rFonts w:cs="Arial"/>
                <w:color w:val="000000" w:themeColor="text1"/>
                <w:szCs w:val="16"/>
              </w:rPr>
            </w:pPr>
            <w:r w:rsidRPr="00781112">
              <w:rPr>
                <w:rFonts w:cs="Arial"/>
                <w:color w:val="000000" w:themeColor="text1"/>
                <w:szCs w:val="16"/>
              </w:rPr>
              <w:t>0</w:t>
            </w:r>
          </w:p>
        </w:tc>
        <w:tc>
          <w:tcPr>
            <w:tcW w:w="1254" w:type="pct"/>
            <w:shd w:val="clear" w:color="auto" w:fill="auto"/>
          </w:tcPr>
          <w:p w14:paraId="139EEFD1" w14:textId="6A5591D3" w:rsidR="009A755E" w:rsidRPr="00781112" w:rsidRDefault="002B7490" w:rsidP="00A018D4">
            <w:pPr>
              <w:jc w:val="center"/>
              <w:rPr>
                <w:rFonts w:cs="Arial"/>
                <w:color w:val="000000" w:themeColor="text1"/>
                <w:szCs w:val="16"/>
              </w:rPr>
            </w:pPr>
            <w:r w:rsidRPr="00781112">
              <w:rPr>
                <w:rFonts w:cs="Arial"/>
                <w:color w:val="000000" w:themeColor="text1"/>
                <w:szCs w:val="16"/>
              </w:rPr>
              <w:t>0</w:t>
            </w:r>
          </w:p>
        </w:tc>
      </w:tr>
    </w:tbl>
    <w:p w14:paraId="155373B8" w14:textId="08ECF385" w:rsidR="009A755E" w:rsidRPr="00781112" w:rsidRDefault="00450F98" w:rsidP="004369B2">
      <w:pPr>
        <w:rPr>
          <w:color w:val="000000" w:themeColor="text1"/>
        </w:rPr>
      </w:pPr>
      <w:r>
        <w:rPr>
          <w:b/>
          <w:color w:val="000000" w:themeColor="text1"/>
        </w:rPr>
        <w:t>FFY 2021 Findings of Noncompliance Verified as Corrected</w:t>
      </w:r>
    </w:p>
    <w:p w14:paraId="3D8B0B26" w14:textId="565C69B4" w:rsidR="009A755E" w:rsidRPr="00781112" w:rsidRDefault="009A755E" w:rsidP="009A755E">
      <w:pPr>
        <w:rPr>
          <w:rFonts w:cs="Arial"/>
          <w:b/>
          <w:color w:val="000000" w:themeColor="text1"/>
          <w:szCs w:val="16"/>
        </w:rPr>
      </w:pPr>
      <w:r w:rsidRPr="00781112">
        <w:rPr>
          <w:rFonts w:cs="Arial"/>
          <w:b/>
          <w:color w:val="000000" w:themeColor="text1"/>
          <w:szCs w:val="16"/>
        </w:rPr>
        <w:t xml:space="preserve">Describe how the State verified that the source of noncompliance is correctly implementing the </w:t>
      </w:r>
      <w:r w:rsidRPr="00781112">
        <w:rPr>
          <w:rFonts w:cs="Arial"/>
          <w:b/>
          <w:i/>
          <w:color w:val="000000" w:themeColor="text1"/>
          <w:szCs w:val="16"/>
        </w:rPr>
        <w:t>regulatory requirements</w:t>
      </w:r>
    </w:p>
    <w:p w14:paraId="7669CC58" w14:textId="38E853B3" w:rsidR="00326C0B" w:rsidRPr="00781112" w:rsidRDefault="002B7490" w:rsidP="009A755E">
      <w:pPr>
        <w:rPr>
          <w:rFonts w:cs="Arial"/>
          <w:color w:val="000000" w:themeColor="text1"/>
          <w:szCs w:val="16"/>
        </w:rPr>
      </w:pPr>
      <w:r w:rsidRPr="00781112">
        <w:rPr>
          <w:rFonts w:cs="Arial"/>
          <w:color w:val="000000" w:themeColor="text1"/>
          <w:szCs w:val="16"/>
        </w:rPr>
        <w:t>The previously noncompliant Administrative Units (AUs) submitted 3 months of C to B transition records that took place since the noncompliance was found. CDE then reviewed the newly submitted data via desk audit and verified that all children reported during the timeframe were evaluated and had IEPs implemented before their third birthdays within the timeline.  By reviewing and verifying these updated data, CDE ensured that the AUs were correctly implementing the regulatory requirements related to Indicator 12.</w:t>
      </w:r>
    </w:p>
    <w:p w14:paraId="1F3D7853" w14:textId="324FF78E" w:rsidR="009A755E" w:rsidRPr="00781112" w:rsidRDefault="009A755E" w:rsidP="009A755E">
      <w:pPr>
        <w:rPr>
          <w:rFonts w:cs="Arial"/>
          <w:b/>
          <w:color w:val="000000" w:themeColor="text1"/>
          <w:szCs w:val="16"/>
        </w:rPr>
      </w:pPr>
      <w:r w:rsidRPr="00781112">
        <w:rPr>
          <w:rFonts w:cs="Arial"/>
          <w:b/>
          <w:color w:val="000000" w:themeColor="text1"/>
          <w:szCs w:val="16"/>
        </w:rPr>
        <w:t xml:space="preserve">Describe how the State verified that each </w:t>
      </w:r>
      <w:r w:rsidRPr="00781112">
        <w:rPr>
          <w:rFonts w:cs="Arial"/>
          <w:b/>
          <w:i/>
          <w:color w:val="000000" w:themeColor="text1"/>
          <w:szCs w:val="16"/>
        </w:rPr>
        <w:t>individual case</w:t>
      </w:r>
      <w:r w:rsidRPr="00781112">
        <w:rPr>
          <w:rFonts w:cs="Arial"/>
          <w:b/>
          <w:color w:val="000000" w:themeColor="text1"/>
          <w:szCs w:val="16"/>
        </w:rPr>
        <w:t xml:space="preserve"> of noncompliance was corrected</w:t>
      </w:r>
    </w:p>
    <w:p w14:paraId="0E95D025" w14:textId="78E1AA95" w:rsidR="00326C0B" w:rsidRPr="00781112" w:rsidRDefault="002B7490" w:rsidP="009A755E">
      <w:pPr>
        <w:rPr>
          <w:rFonts w:cs="Arial"/>
          <w:color w:val="000000" w:themeColor="text1"/>
          <w:szCs w:val="16"/>
        </w:rPr>
      </w:pPr>
      <w:r w:rsidRPr="00781112">
        <w:rPr>
          <w:rFonts w:cs="Arial"/>
          <w:color w:val="000000" w:themeColor="text1"/>
          <w:szCs w:val="16"/>
        </w:rPr>
        <w:t>CDE verified that each individual case of noncompliance was corrected by having AUs that failed to meet compliance with Indicator 12 follow the below process:</w:t>
      </w:r>
      <w:r w:rsidRPr="00781112">
        <w:rPr>
          <w:rFonts w:cs="Arial"/>
          <w:color w:val="000000" w:themeColor="text1"/>
          <w:szCs w:val="16"/>
        </w:rPr>
        <w:br/>
      </w:r>
      <w:r w:rsidRPr="00781112">
        <w:rPr>
          <w:rFonts w:cs="Arial"/>
          <w:color w:val="000000" w:themeColor="text1"/>
          <w:szCs w:val="16"/>
        </w:rPr>
        <w:br/>
        <w:t>1. AUs received a pre-populated Indicator 12 Demonstration of Correction tracking form in the Data Management System, which listed each individual case of delayed C-to-B transition records.</w:t>
      </w:r>
      <w:r w:rsidRPr="00781112">
        <w:rPr>
          <w:rFonts w:cs="Arial"/>
          <w:color w:val="000000" w:themeColor="text1"/>
          <w:szCs w:val="16"/>
        </w:rPr>
        <w:br/>
        <w:t>2. AUs verified/reported the reason for the delay.</w:t>
      </w:r>
      <w:r w:rsidRPr="00781112">
        <w:rPr>
          <w:rFonts w:cs="Arial"/>
          <w:color w:val="000000" w:themeColor="text1"/>
          <w:szCs w:val="16"/>
        </w:rPr>
        <w:br/>
        <w:t>3. AUs provided an explanation for how they ensured the delay did not result in denial of FAPE.</w:t>
      </w:r>
      <w:r w:rsidRPr="00781112">
        <w:rPr>
          <w:rFonts w:cs="Arial"/>
          <w:color w:val="000000" w:themeColor="text1"/>
          <w:szCs w:val="16"/>
        </w:rPr>
        <w:br/>
        <w:t xml:space="preserve"> a. If the AU did not address the delay of services and the student was still within the AU, then the AU reported how it planned to address the delay.</w:t>
      </w:r>
      <w:r w:rsidRPr="00781112">
        <w:rPr>
          <w:rFonts w:cs="Arial"/>
          <w:color w:val="000000" w:themeColor="text1"/>
          <w:szCs w:val="16"/>
        </w:rPr>
        <w:br/>
        <w:t xml:space="preserve">4. CDE conducted a desk audit of the </w:t>
      </w:r>
      <w:proofErr w:type="gramStart"/>
      <w:r w:rsidRPr="00781112">
        <w:rPr>
          <w:rFonts w:cs="Arial"/>
          <w:color w:val="000000" w:themeColor="text1"/>
          <w:szCs w:val="16"/>
        </w:rPr>
        <w:t>Indicator</w:t>
      </w:r>
      <w:proofErr w:type="gramEnd"/>
      <w:r w:rsidRPr="00781112">
        <w:rPr>
          <w:rFonts w:cs="Arial"/>
          <w:color w:val="000000" w:themeColor="text1"/>
          <w:szCs w:val="16"/>
        </w:rPr>
        <w:t xml:space="preserve"> 12 Correction Trackers submitted by every noncompliant AU. CDE reviewed and verified that each individual case of noncompliance was corrected and informed the AUs of the results.</w:t>
      </w:r>
    </w:p>
    <w:p w14:paraId="1A909BBB" w14:textId="77777777" w:rsidR="00455889" w:rsidRPr="00781112" w:rsidRDefault="00455889" w:rsidP="004369B2">
      <w:pPr>
        <w:rPr>
          <w:color w:val="000000" w:themeColor="text1"/>
        </w:rPr>
      </w:pPr>
    </w:p>
    <w:p w14:paraId="1C75EC2F" w14:textId="0E37D015" w:rsidR="009A755E" w:rsidRPr="00781112" w:rsidRDefault="00450F98" w:rsidP="004369B2">
      <w:pPr>
        <w:rPr>
          <w:color w:val="000000" w:themeColor="text1"/>
        </w:rPr>
      </w:pPr>
      <w:r>
        <w:rPr>
          <w:b/>
          <w:color w:val="000000" w:themeColor="text1"/>
        </w:rPr>
        <w:t>Correction of Findings of Noncompliance Identified Prior to FFY 2021</w:t>
      </w:r>
    </w:p>
    <w:tbl>
      <w:tblPr>
        <w:tblStyle w:val="TableGrid"/>
        <w:tblW w:w="5000" w:type="pct"/>
        <w:tblLook w:val="04A0" w:firstRow="1" w:lastRow="0" w:firstColumn="1" w:lastColumn="0" w:noHBand="0" w:noVBand="1"/>
        <w:tblCaption w:val="B12PPFFYNCFINDINGS"/>
      </w:tblPr>
      <w:tblGrid>
        <w:gridCol w:w="2192"/>
        <w:gridCol w:w="2935"/>
        <w:gridCol w:w="2924"/>
        <w:gridCol w:w="2739"/>
      </w:tblGrid>
      <w:tr w:rsidR="005C29F8" w:rsidRPr="00781112" w14:paraId="4192A257" w14:textId="77777777" w:rsidTr="00AB0D6A">
        <w:trPr>
          <w:tblHeader/>
        </w:trPr>
        <w:tc>
          <w:tcPr>
            <w:tcW w:w="1016" w:type="pct"/>
            <w:shd w:val="clear" w:color="auto" w:fill="auto"/>
            <w:vAlign w:val="bottom"/>
          </w:tcPr>
          <w:p w14:paraId="72F29034" w14:textId="1B3341B8" w:rsidR="009A755E" w:rsidRPr="00781112" w:rsidRDefault="003A4027" w:rsidP="009A755E">
            <w:pPr>
              <w:jc w:val="center"/>
              <w:rPr>
                <w:rFonts w:cs="Arial"/>
                <w:b/>
                <w:color w:val="000000" w:themeColor="text1"/>
                <w:szCs w:val="16"/>
              </w:rPr>
            </w:pPr>
            <w:r w:rsidRPr="00781112">
              <w:rPr>
                <w:rFonts w:cs="Arial"/>
                <w:b/>
                <w:color w:val="000000" w:themeColor="text1"/>
                <w:szCs w:val="16"/>
              </w:rPr>
              <w:lastRenderedPageBreak/>
              <w:t>Year Findings of Noncompliance Were Identified</w:t>
            </w:r>
          </w:p>
        </w:tc>
        <w:tc>
          <w:tcPr>
            <w:tcW w:w="1360" w:type="pct"/>
            <w:shd w:val="clear" w:color="auto" w:fill="auto"/>
            <w:vAlign w:val="bottom"/>
          </w:tcPr>
          <w:p w14:paraId="5E92FF85" w14:textId="0E367339" w:rsidR="009A755E" w:rsidRPr="00781112" w:rsidRDefault="00450F98" w:rsidP="009A755E">
            <w:pPr>
              <w:jc w:val="center"/>
              <w:rPr>
                <w:rFonts w:cs="Arial"/>
                <w:b/>
                <w:color w:val="000000" w:themeColor="text1"/>
                <w:szCs w:val="16"/>
              </w:rPr>
            </w:pPr>
            <w:r>
              <w:rPr>
                <w:rFonts w:cs="Arial"/>
                <w:b/>
                <w:color w:val="000000" w:themeColor="text1"/>
                <w:szCs w:val="16"/>
              </w:rPr>
              <w:t>Findings of Noncompliance Not Yet Verified as Corrected as of FFY 2021 APR</w:t>
            </w:r>
          </w:p>
        </w:tc>
        <w:tc>
          <w:tcPr>
            <w:tcW w:w="1355" w:type="pct"/>
            <w:shd w:val="clear" w:color="auto" w:fill="auto"/>
            <w:vAlign w:val="bottom"/>
          </w:tcPr>
          <w:p w14:paraId="4861690F" w14:textId="77777777" w:rsidR="009A755E" w:rsidRPr="00781112" w:rsidRDefault="009A755E" w:rsidP="009A755E">
            <w:pPr>
              <w:jc w:val="center"/>
              <w:rPr>
                <w:rFonts w:cs="Arial"/>
                <w:b/>
                <w:color w:val="000000" w:themeColor="text1"/>
                <w:szCs w:val="16"/>
              </w:rPr>
            </w:pPr>
            <w:r w:rsidRPr="00781112">
              <w:rPr>
                <w:rFonts w:cs="Arial"/>
                <w:b/>
                <w:color w:val="000000" w:themeColor="text1"/>
                <w:szCs w:val="16"/>
              </w:rPr>
              <w:t>Findings of Noncompliance Verified as Corrected</w:t>
            </w:r>
          </w:p>
        </w:tc>
        <w:tc>
          <w:tcPr>
            <w:tcW w:w="1269" w:type="pct"/>
            <w:shd w:val="clear" w:color="auto" w:fill="auto"/>
            <w:vAlign w:val="bottom"/>
          </w:tcPr>
          <w:p w14:paraId="5C0832D3" w14:textId="77777777" w:rsidR="009A755E" w:rsidRPr="00781112" w:rsidRDefault="009A755E" w:rsidP="009A755E">
            <w:pPr>
              <w:jc w:val="center"/>
              <w:rPr>
                <w:rFonts w:cs="Arial"/>
                <w:b/>
                <w:color w:val="000000" w:themeColor="text1"/>
                <w:szCs w:val="16"/>
              </w:rPr>
            </w:pPr>
            <w:r w:rsidRPr="00781112">
              <w:rPr>
                <w:rFonts w:cs="Arial"/>
                <w:b/>
                <w:color w:val="000000" w:themeColor="text1"/>
                <w:szCs w:val="16"/>
              </w:rPr>
              <w:t>Findings Not Yet Verified as Corrected</w:t>
            </w:r>
          </w:p>
        </w:tc>
      </w:tr>
      <w:tr w:rsidR="005C29F8" w:rsidRPr="00781112" w14:paraId="204865EB" w14:textId="77777777" w:rsidTr="00AB0D6A">
        <w:tc>
          <w:tcPr>
            <w:tcW w:w="1016" w:type="pct"/>
            <w:shd w:val="clear" w:color="auto" w:fill="auto"/>
          </w:tcPr>
          <w:p w14:paraId="316ACDB5" w14:textId="541F250F" w:rsidR="009A755E" w:rsidRPr="00781112" w:rsidRDefault="009A755E" w:rsidP="00A018D4">
            <w:pPr>
              <w:jc w:val="center"/>
              <w:rPr>
                <w:rFonts w:cs="Arial"/>
                <w:color w:val="000000" w:themeColor="text1"/>
                <w:szCs w:val="16"/>
              </w:rPr>
            </w:pPr>
          </w:p>
        </w:tc>
        <w:tc>
          <w:tcPr>
            <w:tcW w:w="1360" w:type="pct"/>
            <w:shd w:val="clear" w:color="auto" w:fill="auto"/>
          </w:tcPr>
          <w:p w14:paraId="69625405" w14:textId="789965CC" w:rsidR="009A755E" w:rsidRPr="00781112" w:rsidRDefault="009A755E">
            <w:pPr>
              <w:jc w:val="center"/>
              <w:rPr>
                <w:rFonts w:cs="Arial"/>
                <w:noProof/>
                <w:color w:val="000000" w:themeColor="text1"/>
                <w:szCs w:val="16"/>
              </w:rPr>
            </w:pPr>
          </w:p>
        </w:tc>
        <w:tc>
          <w:tcPr>
            <w:tcW w:w="1355" w:type="pct"/>
            <w:shd w:val="clear" w:color="auto" w:fill="auto"/>
          </w:tcPr>
          <w:p w14:paraId="7C3E37A7" w14:textId="61202FB3" w:rsidR="009A755E" w:rsidRPr="00781112" w:rsidRDefault="009A755E">
            <w:pPr>
              <w:jc w:val="center"/>
              <w:rPr>
                <w:rFonts w:cs="Arial"/>
                <w:noProof/>
                <w:color w:val="000000" w:themeColor="text1"/>
                <w:szCs w:val="16"/>
              </w:rPr>
            </w:pPr>
          </w:p>
        </w:tc>
        <w:tc>
          <w:tcPr>
            <w:tcW w:w="1269" w:type="pct"/>
            <w:shd w:val="clear" w:color="auto" w:fill="auto"/>
          </w:tcPr>
          <w:p w14:paraId="79E9FAD3" w14:textId="3428603A" w:rsidR="009A755E" w:rsidRPr="00781112" w:rsidRDefault="009A755E">
            <w:pPr>
              <w:jc w:val="center"/>
              <w:rPr>
                <w:rFonts w:cs="Arial"/>
                <w:noProof/>
                <w:color w:val="000000" w:themeColor="text1"/>
                <w:szCs w:val="16"/>
              </w:rPr>
            </w:pPr>
          </w:p>
        </w:tc>
      </w:tr>
      <w:tr w:rsidR="005C29F8" w:rsidRPr="00781112" w14:paraId="7F75F2C7" w14:textId="77777777" w:rsidTr="00AB0D6A">
        <w:tc>
          <w:tcPr>
            <w:tcW w:w="1016" w:type="pct"/>
            <w:shd w:val="clear" w:color="auto" w:fill="auto"/>
          </w:tcPr>
          <w:p w14:paraId="147AA631" w14:textId="76843337" w:rsidR="009A755E" w:rsidRPr="00781112" w:rsidRDefault="009A755E" w:rsidP="00A018D4">
            <w:pPr>
              <w:jc w:val="center"/>
              <w:rPr>
                <w:rFonts w:cs="Arial"/>
                <w:color w:val="000000" w:themeColor="text1"/>
                <w:szCs w:val="16"/>
              </w:rPr>
            </w:pPr>
          </w:p>
        </w:tc>
        <w:tc>
          <w:tcPr>
            <w:tcW w:w="1360" w:type="pct"/>
            <w:shd w:val="clear" w:color="auto" w:fill="auto"/>
          </w:tcPr>
          <w:p w14:paraId="404653A8" w14:textId="163A8B38" w:rsidR="009A755E" w:rsidRPr="00781112" w:rsidRDefault="009A755E">
            <w:pPr>
              <w:jc w:val="center"/>
              <w:rPr>
                <w:rFonts w:cs="Arial"/>
                <w:noProof/>
                <w:color w:val="000000" w:themeColor="text1"/>
                <w:szCs w:val="16"/>
              </w:rPr>
            </w:pPr>
          </w:p>
        </w:tc>
        <w:tc>
          <w:tcPr>
            <w:tcW w:w="1355" w:type="pct"/>
            <w:shd w:val="clear" w:color="auto" w:fill="auto"/>
          </w:tcPr>
          <w:p w14:paraId="6504342A" w14:textId="13575C8A" w:rsidR="009A755E" w:rsidRPr="00781112" w:rsidRDefault="009A755E">
            <w:pPr>
              <w:jc w:val="center"/>
              <w:rPr>
                <w:rFonts w:cs="Arial"/>
                <w:noProof/>
                <w:color w:val="000000" w:themeColor="text1"/>
                <w:szCs w:val="16"/>
              </w:rPr>
            </w:pPr>
          </w:p>
        </w:tc>
        <w:tc>
          <w:tcPr>
            <w:tcW w:w="1269" w:type="pct"/>
            <w:shd w:val="clear" w:color="auto" w:fill="auto"/>
          </w:tcPr>
          <w:p w14:paraId="6D520AD1" w14:textId="4947031C" w:rsidR="009A755E" w:rsidRPr="00781112" w:rsidRDefault="009A755E">
            <w:pPr>
              <w:jc w:val="center"/>
              <w:rPr>
                <w:rFonts w:cs="Arial"/>
                <w:noProof/>
                <w:color w:val="000000" w:themeColor="text1"/>
                <w:szCs w:val="16"/>
              </w:rPr>
            </w:pPr>
          </w:p>
        </w:tc>
      </w:tr>
      <w:tr w:rsidR="005C29F8" w:rsidRPr="00781112" w14:paraId="2D4810B4" w14:textId="77777777" w:rsidTr="00AB0D6A">
        <w:tc>
          <w:tcPr>
            <w:tcW w:w="1016" w:type="pct"/>
            <w:shd w:val="clear" w:color="auto" w:fill="auto"/>
          </w:tcPr>
          <w:p w14:paraId="6AEFAA10" w14:textId="16E2E3E6" w:rsidR="009A755E" w:rsidRPr="00781112" w:rsidRDefault="009A755E" w:rsidP="00A018D4">
            <w:pPr>
              <w:jc w:val="center"/>
              <w:rPr>
                <w:rFonts w:cs="Arial"/>
                <w:color w:val="000000" w:themeColor="text1"/>
                <w:szCs w:val="16"/>
              </w:rPr>
            </w:pPr>
          </w:p>
        </w:tc>
        <w:tc>
          <w:tcPr>
            <w:tcW w:w="1360" w:type="pct"/>
            <w:shd w:val="clear" w:color="auto" w:fill="auto"/>
          </w:tcPr>
          <w:p w14:paraId="075C05B4" w14:textId="1672B0AC" w:rsidR="009A755E" w:rsidRPr="00781112" w:rsidRDefault="009A755E">
            <w:pPr>
              <w:jc w:val="center"/>
              <w:rPr>
                <w:rFonts w:cs="Arial"/>
                <w:noProof/>
                <w:color w:val="000000" w:themeColor="text1"/>
                <w:szCs w:val="16"/>
              </w:rPr>
            </w:pPr>
          </w:p>
        </w:tc>
        <w:tc>
          <w:tcPr>
            <w:tcW w:w="1355" w:type="pct"/>
            <w:shd w:val="clear" w:color="auto" w:fill="auto"/>
          </w:tcPr>
          <w:p w14:paraId="70536E6E" w14:textId="5BE8198D" w:rsidR="009A755E" w:rsidRPr="00781112" w:rsidRDefault="009A755E">
            <w:pPr>
              <w:jc w:val="center"/>
              <w:rPr>
                <w:rFonts w:cs="Arial"/>
                <w:noProof/>
                <w:color w:val="000000" w:themeColor="text1"/>
                <w:szCs w:val="16"/>
              </w:rPr>
            </w:pPr>
          </w:p>
        </w:tc>
        <w:tc>
          <w:tcPr>
            <w:tcW w:w="1269" w:type="pct"/>
            <w:shd w:val="clear" w:color="auto" w:fill="auto"/>
          </w:tcPr>
          <w:p w14:paraId="4BC059F6" w14:textId="5DCA531E" w:rsidR="009A755E" w:rsidRPr="00781112" w:rsidRDefault="009A755E">
            <w:pPr>
              <w:jc w:val="center"/>
              <w:rPr>
                <w:rFonts w:cs="Arial"/>
                <w:noProof/>
                <w:color w:val="000000" w:themeColor="text1"/>
                <w:szCs w:val="16"/>
              </w:rPr>
            </w:pPr>
          </w:p>
        </w:tc>
      </w:tr>
      <w:tr w:rsidR="00427654" w:rsidRPr="00781112" w14:paraId="396E5878" w14:textId="77777777" w:rsidTr="00AB0D6A">
        <w:tc>
          <w:tcPr>
            <w:tcW w:w="1016" w:type="pct"/>
            <w:shd w:val="clear" w:color="auto" w:fill="auto"/>
          </w:tcPr>
          <w:p w14:paraId="2526939E" w14:textId="4B0F7EA1" w:rsidR="00427654" w:rsidRPr="00781112" w:rsidRDefault="00427654" w:rsidP="00427654">
            <w:pPr>
              <w:jc w:val="center"/>
              <w:rPr>
                <w:rFonts w:cs="Arial"/>
                <w:color w:val="000000" w:themeColor="text1"/>
                <w:szCs w:val="16"/>
              </w:rPr>
            </w:pPr>
          </w:p>
        </w:tc>
        <w:tc>
          <w:tcPr>
            <w:tcW w:w="1360" w:type="pct"/>
            <w:shd w:val="clear" w:color="auto" w:fill="auto"/>
          </w:tcPr>
          <w:p w14:paraId="53F9CFD1" w14:textId="649082E1" w:rsidR="00427654" w:rsidRPr="00781112" w:rsidRDefault="00427654" w:rsidP="00427654">
            <w:pPr>
              <w:jc w:val="center"/>
              <w:rPr>
                <w:rFonts w:cs="Arial"/>
                <w:color w:val="000000" w:themeColor="text1"/>
                <w:szCs w:val="16"/>
              </w:rPr>
            </w:pPr>
          </w:p>
        </w:tc>
        <w:tc>
          <w:tcPr>
            <w:tcW w:w="1355" w:type="pct"/>
            <w:shd w:val="clear" w:color="auto" w:fill="auto"/>
          </w:tcPr>
          <w:p w14:paraId="31A66057" w14:textId="56F35F0C" w:rsidR="00427654" w:rsidRPr="00781112" w:rsidRDefault="00427654" w:rsidP="00427654">
            <w:pPr>
              <w:jc w:val="center"/>
              <w:rPr>
                <w:rFonts w:cs="Arial"/>
                <w:color w:val="000000" w:themeColor="text1"/>
                <w:szCs w:val="16"/>
              </w:rPr>
            </w:pPr>
          </w:p>
        </w:tc>
        <w:tc>
          <w:tcPr>
            <w:tcW w:w="1269" w:type="pct"/>
            <w:shd w:val="clear" w:color="auto" w:fill="auto"/>
          </w:tcPr>
          <w:p w14:paraId="56CAB428" w14:textId="2EB1A710" w:rsidR="00427654" w:rsidRPr="00781112" w:rsidRDefault="00427654" w:rsidP="00427654">
            <w:pPr>
              <w:jc w:val="center"/>
              <w:rPr>
                <w:rFonts w:cs="Arial"/>
                <w:color w:val="000000" w:themeColor="text1"/>
                <w:szCs w:val="16"/>
              </w:rPr>
            </w:pPr>
          </w:p>
        </w:tc>
      </w:tr>
      <w:tr w:rsidR="00427654" w:rsidRPr="00781112" w14:paraId="0E34CBDE" w14:textId="77777777" w:rsidTr="00AB0D6A">
        <w:tc>
          <w:tcPr>
            <w:tcW w:w="1016" w:type="pct"/>
            <w:shd w:val="clear" w:color="auto" w:fill="auto"/>
          </w:tcPr>
          <w:p w14:paraId="4797FB89" w14:textId="78458E90" w:rsidR="00427654" w:rsidRPr="00781112" w:rsidRDefault="00427654" w:rsidP="00427654">
            <w:pPr>
              <w:jc w:val="center"/>
              <w:rPr>
                <w:rFonts w:cs="Arial"/>
                <w:color w:val="000000" w:themeColor="text1"/>
                <w:szCs w:val="16"/>
              </w:rPr>
            </w:pPr>
          </w:p>
        </w:tc>
        <w:tc>
          <w:tcPr>
            <w:tcW w:w="1360" w:type="pct"/>
            <w:shd w:val="clear" w:color="auto" w:fill="auto"/>
          </w:tcPr>
          <w:p w14:paraId="2C99A152" w14:textId="2B976E01" w:rsidR="00427654" w:rsidRPr="00781112" w:rsidRDefault="00427654" w:rsidP="00427654">
            <w:pPr>
              <w:jc w:val="center"/>
              <w:rPr>
                <w:rFonts w:cs="Arial"/>
                <w:color w:val="000000" w:themeColor="text1"/>
                <w:szCs w:val="16"/>
              </w:rPr>
            </w:pPr>
          </w:p>
        </w:tc>
        <w:tc>
          <w:tcPr>
            <w:tcW w:w="1355" w:type="pct"/>
            <w:shd w:val="clear" w:color="auto" w:fill="auto"/>
          </w:tcPr>
          <w:p w14:paraId="1CCE8582" w14:textId="782DE568" w:rsidR="00427654" w:rsidRPr="00781112" w:rsidRDefault="00427654" w:rsidP="00427654">
            <w:pPr>
              <w:jc w:val="center"/>
              <w:rPr>
                <w:rFonts w:cs="Arial"/>
                <w:color w:val="000000" w:themeColor="text1"/>
                <w:szCs w:val="16"/>
              </w:rPr>
            </w:pPr>
          </w:p>
        </w:tc>
        <w:tc>
          <w:tcPr>
            <w:tcW w:w="1269" w:type="pct"/>
            <w:shd w:val="clear" w:color="auto" w:fill="auto"/>
          </w:tcPr>
          <w:p w14:paraId="39E480FA" w14:textId="06CE7186" w:rsidR="00427654" w:rsidRPr="00781112" w:rsidRDefault="00427654" w:rsidP="00427654">
            <w:pPr>
              <w:jc w:val="center"/>
              <w:rPr>
                <w:rFonts w:cs="Arial"/>
                <w:color w:val="000000" w:themeColor="text1"/>
                <w:szCs w:val="16"/>
              </w:rPr>
            </w:pPr>
          </w:p>
        </w:tc>
      </w:tr>
    </w:tbl>
    <w:p w14:paraId="201CFF85" w14:textId="77777777" w:rsidR="00427654" w:rsidRPr="00781112" w:rsidRDefault="00427654" w:rsidP="00455889">
      <w:pPr>
        <w:rPr>
          <w:rFonts w:cs="Arial"/>
          <w:color w:val="000000" w:themeColor="text1"/>
          <w:szCs w:val="16"/>
        </w:rPr>
      </w:pPr>
    </w:p>
    <w:p w14:paraId="2F3E7ED0" w14:textId="1BDCCC61" w:rsidR="004E2151" w:rsidRPr="00781112" w:rsidRDefault="00056350" w:rsidP="00123D76">
      <w:pPr>
        <w:pStyle w:val="Heading2"/>
      </w:pPr>
      <w:r w:rsidRPr="00781112">
        <w:t>12</w:t>
      </w:r>
      <w:r w:rsidR="004838A4" w:rsidRPr="00781112">
        <w:t xml:space="preserve"> </w:t>
      </w:r>
      <w:r w:rsidRPr="00781112">
        <w:t xml:space="preserve">- </w:t>
      </w:r>
      <w:r w:rsidR="004E2151" w:rsidRPr="00781112">
        <w:t>Prior FFY Required Actions</w:t>
      </w:r>
    </w:p>
    <w:p w14:paraId="3D03A210" w14:textId="19033EA5" w:rsidR="009F69E7" w:rsidRPr="00781112" w:rsidRDefault="002B7490" w:rsidP="004E2151">
      <w:pPr>
        <w:rPr>
          <w:rFonts w:cs="Arial"/>
          <w:color w:val="000000" w:themeColor="text1"/>
          <w:szCs w:val="16"/>
        </w:rPr>
      </w:pPr>
      <w:r w:rsidRPr="00781112">
        <w:rPr>
          <w:rFonts w:cs="Arial"/>
          <w:color w:val="000000" w:themeColor="text1"/>
          <w:szCs w:val="16"/>
        </w:rPr>
        <w:t>Because the State reported less than 100% compliance for FFY 2021, the State must report on the status of correction of noncompliance identified in FFY 2021 for this indicator. When reporting on the correction of noncompliance, the State must report, in the FFY 2022 SPP/APR, that it has verified that each LEA with noncompliance identified in FFY 2021 for this indicator:  (1) is correctly implementing the specific regulatory requirements (i.e., achieved 100% compliance) based on a review of updated data such as data subsequently collected through on-site monitoring or a State data system; and (2) has corrected each individual case of noncompliance, unless the child is no longer within the jurisdiction of the LEA, consistent with OSEP Memo 09-02.  In the FFY 2022 SPP/APR, the State must describe the specific actions that were taken to verify the correction.</w:t>
      </w:r>
      <w:r w:rsidRPr="00781112">
        <w:rPr>
          <w:rFonts w:cs="Arial"/>
          <w:color w:val="000000" w:themeColor="text1"/>
          <w:szCs w:val="16"/>
        </w:rPr>
        <w:br/>
      </w:r>
      <w:r w:rsidRPr="00781112">
        <w:rPr>
          <w:rFonts w:cs="Arial"/>
          <w:color w:val="000000" w:themeColor="text1"/>
          <w:szCs w:val="16"/>
        </w:rPr>
        <w:br/>
        <w:t>If the State did not identify any findings of noncompliance in FFY 2021, although its FFY 2021 data reflect less than 100% compliance, provide an explanation of why the State did not identify any findings of noncompliance in FFY 2021.</w:t>
      </w:r>
    </w:p>
    <w:p w14:paraId="3F84A4E0" w14:textId="5FCA3A29" w:rsidR="004E2151" w:rsidRPr="00781112" w:rsidRDefault="007639D7" w:rsidP="004369B2">
      <w:pPr>
        <w:rPr>
          <w:b/>
          <w:color w:val="000000" w:themeColor="text1"/>
        </w:rPr>
      </w:pPr>
      <w:r>
        <w:rPr>
          <w:b/>
          <w:color w:val="000000" w:themeColor="text1"/>
        </w:rPr>
        <w:t>Response to actions required in FFY 2021 SPP/APR</w:t>
      </w:r>
    </w:p>
    <w:p w14:paraId="5EB5FDCA" w14:textId="5CB823AF" w:rsidR="004E2151" w:rsidRPr="00781112" w:rsidRDefault="002B7490" w:rsidP="004E2151">
      <w:pPr>
        <w:rPr>
          <w:rFonts w:cs="Arial"/>
          <w:color w:val="000000" w:themeColor="text1"/>
          <w:szCs w:val="16"/>
        </w:rPr>
      </w:pPr>
      <w:r w:rsidRPr="00781112">
        <w:rPr>
          <w:rFonts w:cs="Arial"/>
          <w:color w:val="000000" w:themeColor="text1"/>
          <w:szCs w:val="16"/>
        </w:rPr>
        <w:t>In the FFY 2022 SPP/APR, Colorado described the specific actions taken to verify that each LEA with noncompliance identified in FFY 2021 for this indicator is: (1) is correctly implementing the specific regulatory requirements (i.e., achieved 100% compliance) based on a review of updated data such as data subsequently collected through on-site monitoring or a State data system; and (2) has corrected each individual case of noncompliance, unless the child is no longer within the jurisdiction of the LEA, consistent with OSEP QA 23-01.</w:t>
      </w:r>
    </w:p>
    <w:p w14:paraId="29993C29" w14:textId="00995379" w:rsidR="007F5071" w:rsidRPr="00781112" w:rsidRDefault="00056350" w:rsidP="00123D76">
      <w:pPr>
        <w:pStyle w:val="Heading2"/>
      </w:pPr>
      <w:r w:rsidRPr="00781112">
        <w:t>12 - OSEP Response</w:t>
      </w:r>
    </w:p>
    <w:p w14:paraId="25E9178D" w14:textId="14A4C34F" w:rsidR="00326C0B" w:rsidRPr="00781112" w:rsidRDefault="00326C0B" w:rsidP="00212954">
      <w:pPr>
        <w:rPr>
          <w:rFonts w:cs="Arial"/>
          <w:color w:val="000000" w:themeColor="text1"/>
          <w:szCs w:val="16"/>
        </w:rPr>
      </w:pPr>
    </w:p>
    <w:p w14:paraId="06759F0A" w14:textId="1523FF35" w:rsidR="007F5071" w:rsidRPr="00781112" w:rsidRDefault="00056350" w:rsidP="00123D76">
      <w:pPr>
        <w:pStyle w:val="Heading2"/>
      </w:pPr>
      <w:r w:rsidRPr="00781112">
        <w:t>12 - Required Actions</w:t>
      </w:r>
    </w:p>
    <w:p w14:paraId="57889B20" w14:textId="73162143" w:rsidR="00326C0B" w:rsidRPr="00781112" w:rsidRDefault="002B7490" w:rsidP="00212954">
      <w:pPr>
        <w:rPr>
          <w:rFonts w:cs="Arial"/>
          <w:color w:val="000000" w:themeColor="text1"/>
          <w:szCs w:val="16"/>
        </w:rPr>
      </w:pPr>
      <w:r w:rsidRPr="00781112">
        <w:rPr>
          <w:rFonts w:cs="Arial"/>
          <w:color w:val="000000" w:themeColor="text1"/>
          <w:szCs w:val="16"/>
        </w:rPr>
        <w:t>Because the State reported less than 100% compliance for FFY 2022, the State must report on the status of correction of noncompliance identified in FFY 2022 for this indicator. When reporting on the correction of noncompliance, the State must report, in the FFY 2023 SPP/APR, that it has verified that each LEA with noncompliance identified in FFY 2022 for this indicator is correctly implementing the specific regulatory requirements (i.e., achieved 100% compliance) based on a review of updated data such as data subsequently collected through on-site monitoring or a State data system; and has corrected each individual case of noncompliance, unless the child is no longer within the jurisdiction of the LEA, consistent with OSEP QA 23-01.  In the FFY 2023 SPP/APR, the State must describe the specific actions that were taken to verify the correction. If the State did not identify any findings of noncompliance in FFY 2022, although its FFY 2022 data reflect less than 100% compliance, provide an explanation of why the State did not identify any findings of noncompliance in FFY 2022.</w:t>
      </w:r>
    </w:p>
    <w:p w14:paraId="09BE7DCF" w14:textId="77777777" w:rsidR="00102FA3" w:rsidRPr="00781112" w:rsidRDefault="00102FA3">
      <w:pPr>
        <w:spacing w:before="0" w:after="200" w:line="276" w:lineRule="auto"/>
        <w:rPr>
          <w:rFonts w:eastAsiaTheme="majorEastAsia" w:cs="Arial"/>
          <w:b/>
          <w:bCs/>
          <w:color w:val="000000" w:themeColor="text1"/>
          <w:szCs w:val="16"/>
        </w:rPr>
      </w:pPr>
      <w:r w:rsidRPr="00781112">
        <w:rPr>
          <w:rFonts w:cs="Arial"/>
          <w:color w:val="000000" w:themeColor="text1"/>
          <w:szCs w:val="16"/>
        </w:rPr>
        <w:br w:type="page"/>
      </w:r>
    </w:p>
    <w:p w14:paraId="117517B2" w14:textId="1ECF1753" w:rsidR="00D03701" w:rsidRPr="00781112" w:rsidRDefault="00D03701" w:rsidP="000444E2">
      <w:pPr>
        <w:pStyle w:val="Heading1"/>
        <w:rPr>
          <w:color w:val="000000" w:themeColor="text1"/>
          <w:sz w:val="22"/>
        </w:rPr>
      </w:pPr>
      <w:r w:rsidRPr="00781112">
        <w:rPr>
          <w:color w:val="000000" w:themeColor="text1"/>
          <w:sz w:val="22"/>
        </w:rPr>
        <w:lastRenderedPageBreak/>
        <w:t>Indicator 13: Secondary Transition</w:t>
      </w:r>
    </w:p>
    <w:p w14:paraId="20F3CA53" w14:textId="77777777" w:rsidR="00D04044" w:rsidRPr="00781112" w:rsidRDefault="00D04044" w:rsidP="00A018D4">
      <w:pPr>
        <w:rPr>
          <w:color w:val="000000" w:themeColor="text1"/>
          <w:szCs w:val="20"/>
        </w:rPr>
      </w:pPr>
      <w:bookmarkStart w:id="79" w:name="_Toc384383363"/>
      <w:bookmarkStart w:id="80" w:name="_Toc392159331"/>
      <w:r w:rsidRPr="00781112">
        <w:rPr>
          <w:b/>
          <w:color w:val="000000" w:themeColor="text1"/>
          <w:sz w:val="20"/>
          <w:szCs w:val="20"/>
        </w:rPr>
        <w:t>Instructions and Measurement</w:t>
      </w:r>
    </w:p>
    <w:p w14:paraId="541AD2D1" w14:textId="15B7D425" w:rsidR="001F3A65" w:rsidRPr="00781112" w:rsidRDefault="001F3A65" w:rsidP="009447A3">
      <w:pPr>
        <w:rPr>
          <w:rFonts w:cs="Arial"/>
          <w:color w:val="000000" w:themeColor="text1"/>
          <w:szCs w:val="16"/>
        </w:rPr>
      </w:pPr>
      <w:r w:rsidRPr="00781112">
        <w:rPr>
          <w:rFonts w:cs="Arial"/>
          <w:b/>
          <w:color w:val="000000" w:themeColor="text1"/>
          <w:szCs w:val="16"/>
        </w:rPr>
        <w:t>Monitoring Priority</w:t>
      </w:r>
      <w:r w:rsidRPr="00781112">
        <w:rPr>
          <w:rFonts w:cs="Arial"/>
          <w:color w:val="000000" w:themeColor="text1"/>
          <w:szCs w:val="16"/>
        </w:rPr>
        <w:t>: Effective General Supervision Part B / Effective Transition</w:t>
      </w:r>
    </w:p>
    <w:p w14:paraId="2098A995" w14:textId="07865850" w:rsidR="0096257C" w:rsidRPr="00781112" w:rsidRDefault="001F3A65" w:rsidP="009447A3">
      <w:pPr>
        <w:rPr>
          <w:rFonts w:cs="Arial"/>
          <w:color w:val="000000" w:themeColor="text1"/>
          <w:szCs w:val="16"/>
        </w:rPr>
      </w:pPr>
      <w:r w:rsidRPr="00781112">
        <w:rPr>
          <w:rFonts w:cs="Arial"/>
          <w:b/>
          <w:color w:val="000000" w:themeColor="text1"/>
          <w:szCs w:val="16"/>
        </w:rPr>
        <w:t>Compliance indicator</w:t>
      </w:r>
      <w:r w:rsidRPr="00781112">
        <w:rPr>
          <w:rFonts w:cs="Arial"/>
          <w:color w:val="000000" w:themeColor="text1"/>
          <w:szCs w:val="16"/>
        </w:rPr>
        <w:t xml:space="preserve">: Percent of youth with IEPs aged 16 and above with an IEP that includes appropriate measurable postsecondary goals that are annually updated and based upon an </w:t>
      </w:r>
      <w:proofErr w:type="gramStart"/>
      <w:r w:rsidRPr="00781112">
        <w:rPr>
          <w:rFonts w:cs="Arial"/>
          <w:color w:val="000000" w:themeColor="text1"/>
          <w:szCs w:val="16"/>
        </w:rPr>
        <w:t>age appropriate</w:t>
      </w:r>
      <w:proofErr w:type="gramEnd"/>
      <w:r w:rsidRPr="00781112">
        <w:rPr>
          <w:rFonts w:cs="Arial"/>
          <w:color w:val="000000" w:themeColor="text1"/>
          <w:szCs w:val="16"/>
        </w:rPr>
        <w:t xml:space="preserve"> transition assessment, transition services, including courses of study, that will reasonably enable the student to meet those postsecondary goals, and annual IEP goals related to the student’s transition </w:t>
      </w:r>
      <w:proofErr w:type="spellStart"/>
      <w:r w:rsidRPr="00781112">
        <w:rPr>
          <w:rFonts w:cs="Arial"/>
          <w:color w:val="000000" w:themeColor="text1"/>
          <w:szCs w:val="16"/>
        </w:rPr>
        <w:t>services</w:t>
      </w:r>
      <w:proofErr w:type="spellEnd"/>
      <w:r w:rsidRPr="00781112">
        <w:rPr>
          <w:rFonts w:cs="Arial"/>
          <w:color w:val="000000" w:themeColor="text1"/>
          <w:szCs w:val="16"/>
        </w:rPr>
        <w:t xml:space="preserve"> needs. There also must be evidence that the student was invited to the IEP Team meeting where transition services are to be discussed and evidence that, if appropriate, a representative of any participating agency </w:t>
      </w:r>
      <w:r w:rsidR="00C973D4" w:rsidRPr="00781112">
        <w:rPr>
          <w:rFonts w:cs="Arial"/>
          <w:szCs w:val="16"/>
        </w:rPr>
        <w:t xml:space="preserve">that is likely to be responsible for providing or paying for transition services, including, if appropriate, pre-employment transition services, </w:t>
      </w:r>
      <w:r w:rsidRPr="00781112">
        <w:rPr>
          <w:rFonts w:cs="Arial"/>
          <w:color w:val="000000" w:themeColor="text1"/>
          <w:szCs w:val="16"/>
        </w:rPr>
        <w:t>was invited to the IEP Team meeting with the prior consent of the parent or student who has reached the age of majority.</w:t>
      </w:r>
    </w:p>
    <w:p w14:paraId="24167CE3" w14:textId="32AC8C8C" w:rsidR="001F3A65" w:rsidRPr="00781112" w:rsidRDefault="001F3A65" w:rsidP="009447A3">
      <w:pPr>
        <w:rPr>
          <w:rFonts w:cs="Arial"/>
          <w:color w:val="000000" w:themeColor="text1"/>
          <w:szCs w:val="16"/>
        </w:rPr>
      </w:pPr>
      <w:r w:rsidRPr="00781112">
        <w:rPr>
          <w:rFonts w:cs="Arial"/>
          <w:color w:val="000000" w:themeColor="text1"/>
          <w:szCs w:val="16"/>
        </w:rPr>
        <w:t xml:space="preserve"> (20 U.S.C. 1416(a)(3)(B))</w:t>
      </w:r>
    </w:p>
    <w:p w14:paraId="1BD1BDBD" w14:textId="77777777" w:rsidR="0096257C" w:rsidRPr="00781112" w:rsidRDefault="0096257C" w:rsidP="004369B2">
      <w:pPr>
        <w:rPr>
          <w:color w:val="000000" w:themeColor="text1"/>
        </w:rPr>
      </w:pPr>
      <w:r w:rsidRPr="00781112">
        <w:rPr>
          <w:b/>
          <w:color w:val="000000" w:themeColor="text1"/>
        </w:rPr>
        <w:t>Data Source</w:t>
      </w:r>
    </w:p>
    <w:p w14:paraId="5868BA99" w14:textId="77777777" w:rsidR="0096257C" w:rsidRPr="00781112" w:rsidRDefault="0096257C" w:rsidP="00286BDF">
      <w:pPr>
        <w:rPr>
          <w:rFonts w:cs="Arial"/>
          <w:color w:val="000000" w:themeColor="text1"/>
          <w:szCs w:val="16"/>
        </w:rPr>
      </w:pPr>
      <w:r w:rsidRPr="00781112">
        <w:rPr>
          <w:rFonts w:cs="Arial"/>
          <w:color w:val="000000" w:themeColor="text1"/>
          <w:szCs w:val="16"/>
          <w:shd w:val="clear" w:color="auto" w:fill="FFFFFF"/>
        </w:rPr>
        <w:t>Data to be taken from State monitoring or State data system.</w:t>
      </w:r>
    </w:p>
    <w:p w14:paraId="44CB6F9A" w14:textId="71312CEA" w:rsidR="0096257C" w:rsidRPr="00781112" w:rsidRDefault="0096257C" w:rsidP="004369B2">
      <w:pPr>
        <w:rPr>
          <w:color w:val="000000" w:themeColor="text1"/>
        </w:rPr>
      </w:pPr>
      <w:r w:rsidRPr="00781112">
        <w:rPr>
          <w:b/>
          <w:color w:val="000000" w:themeColor="text1"/>
        </w:rPr>
        <w:t>Measurement</w:t>
      </w:r>
    </w:p>
    <w:p w14:paraId="780214FF" w14:textId="6A8C4134" w:rsidR="00B67038" w:rsidRPr="00781112" w:rsidRDefault="00B67038" w:rsidP="00286BDF">
      <w:pPr>
        <w:rPr>
          <w:rFonts w:cs="Arial"/>
          <w:color w:val="000000" w:themeColor="text1"/>
          <w:szCs w:val="16"/>
        </w:rPr>
      </w:pPr>
      <w:r w:rsidRPr="00781112">
        <w:rPr>
          <w:rFonts w:cs="Arial"/>
          <w:color w:val="000000" w:themeColor="text1"/>
          <w:szCs w:val="16"/>
        </w:rPr>
        <w:t xml:space="preserve">Percent = [(# of youth with IEPs aged 16 and above with an IEP that includes appropriate measurable postsecondary goals that are annually updated and based upon an </w:t>
      </w:r>
      <w:proofErr w:type="gramStart"/>
      <w:r w:rsidRPr="00781112">
        <w:rPr>
          <w:rFonts w:cs="Arial"/>
          <w:color w:val="000000" w:themeColor="text1"/>
          <w:szCs w:val="16"/>
        </w:rPr>
        <w:t>age appropriate</w:t>
      </w:r>
      <w:proofErr w:type="gramEnd"/>
      <w:r w:rsidRPr="00781112">
        <w:rPr>
          <w:rFonts w:cs="Arial"/>
          <w:color w:val="000000" w:themeColor="text1"/>
          <w:szCs w:val="16"/>
        </w:rPr>
        <w:t xml:space="preserve"> transition assessment, transition services, including courses of study, that will reasonably enable the student to meet those postsecondary goals, and annual IEP goals related to the student’s transition </w:t>
      </w:r>
      <w:proofErr w:type="spellStart"/>
      <w:r w:rsidRPr="00781112">
        <w:rPr>
          <w:rFonts w:cs="Arial"/>
          <w:color w:val="000000" w:themeColor="text1"/>
          <w:szCs w:val="16"/>
        </w:rPr>
        <w:t>services</w:t>
      </w:r>
      <w:proofErr w:type="spellEnd"/>
      <w:r w:rsidRPr="00781112">
        <w:rPr>
          <w:rFonts w:cs="Arial"/>
          <w:color w:val="000000" w:themeColor="text1"/>
          <w:szCs w:val="16"/>
        </w:rPr>
        <w:t xml:space="preserve"> needs. There also must be evidence that the student was invited to the IEP Team meeting where transition services are to be discussed and evidence that, if appropriate, a representative of any participating agency </w:t>
      </w:r>
      <w:r w:rsidR="006D650D" w:rsidRPr="00781112">
        <w:rPr>
          <w:rFonts w:cs="Arial"/>
          <w:szCs w:val="16"/>
        </w:rPr>
        <w:t xml:space="preserve">that is likely to be responsible for providing or paying for transition services, including, if appropriate, pre-employment transition services, </w:t>
      </w:r>
      <w:r w:rsidRPr="00781112">
        <w:rPr>
          <w:rFonts w:cs="Arial"/>
          <w:color w:val="000000" w:themeColor="text1"/>
          <w:szCs w:val="16"/>
        </w:rPr>
        <w:t>was invited to the IEP Team meeting with the prior consent of the parent or student who has reached the age of majority) divided by the (# of youth with an IEP age 16 and above)] times 100.</w:t>
      </w:r>
    </w:p>
    <w:p w14:paraId="0695051F" w14:textId="0AB8CE10" w:rsidR="00B67038" w:rsidRPr="00781112" w:rsidRDefault="00B67038" w:rsidP="00286BDF">
      <w:pPr>
        <w:rPr>
          <w:rFonts w:cs="Arial"/>
          <w:color w:val="000000" w:themeColor="text1"/>
          <w:szCs w:val="16"/>
        </w:rPr>
      </w:pPr>
      <w:r w:rsidRPr="00781112">
        <w:rPr>
          <w:rFonts w:cs="Arial"/>
          <w:color w:val="000000" w:themeColor="text1"/>
          <w:szCs w:val="16"/>
        </w:rPr>
        <w:t xml:space="preserve">If a </w:t>
      </w:r>
      <w:proofErr w:type="gramStart"/>
      <w:r w:rsidRPr="00781112">
        <w:rPr>
          <w:rFonts w:cs="Arial"/>
          <w:color w:val="000000" w:themeColor="text1"/>
          <w:szCs w:val="16"/>
        </w:rPr>
        <w:t>State’s</w:t>
      </w:r>
      <w:proofErr w:type="gramEnd"/>
      <w:r w:rsidRPr="00781112">
        <w:rPr>
          <w:rFonts w:cs="Arial"/>
          <w:color w:val="000000" w:themeColor="text1"/>
          <w:szCs w:val="16"/>
        </w:rPr>
        <w:t xml:space="preserve"> policies and procedures provide that public agencies must meet these requirements at an age younger than 16, the State may, but is not required to, choose to include youth beginning at that younger age in its data for this indicator. If a State chooses to do this, it must state this clearly in its SPP/APR and ensure that its baseline data are based on youth beginning at that younger age.</w:t>
      </w:r>
    </w:p>
    <w:p w14:paraId="6D498B21" w14:textId="77777777" w:rsidR="0096257C" w:rsidRPr="00781112" w:rsidRDefault="0096257C" w:rsidP="004369B2">
      <w:pPr>
        <w:rPr>
          <w:color w:val="000000" w:themeColor="text1"/>
        </w:rPr>
      </w:pPr>
      <w:r w:rsidRPr="00781112">
        <w:rPr>
          <w:b/>
          <w:color w:val="000000" w:themeColor="text1"/>
        </w:rPr>
        <w:t>Instructions</w:t>
      </w:r>
    </w:p>
    <w:p w14:paraId="7B194027" w14:textId="77777777" w:rsidR="00B67038" w:rsidRPr="00781112" w:rsidRDefault="00B67038" w:rsidP="00286BDF">
      <w:pPr>
        <w:rPr>
          <w:rFonts w:cs="Arial"/>
          <w:i/>
          <w:iCs/>
          <w:color w:val="000000" w:themeColor="text1"/>
          <w:szCs w:val="16"/>
        </w:rPr>
      </w:pPr>
      <w:r w:rsidRPr="00781112">
        <w:rPr>
          <w:rFonts w:cs="Arial"/>
          <w:i/>
          <w:iCs/>
          <w:color w:val="000000" w:themeColor="text1"/>
          <w:szCs w:val="16"/>
        </w:rPr>
        <w:t xml:space="preserve">If data are from State monitoring, describe the method used to select LEAs for monitoring. If data </w:t>
      </w:r>
      <w:proofErr w:type="gramStart"/>
      <w:r w:rsidRPr="00781112">
        <w:rPr>
          <w:rFonts w:cs="Arial"/>
          <w:i/>
          <w:iCs/>
          <w:color w:val="000000" w:themeColor="text1"/>
          <w:szCs w:val="16"/>
        </w:rPr>
        <w:t>are</w:t>
      </w:r>
      <w:proofErr w:type="gramEnd"/>
      <w:r w:rsidRPr="00781112">
        <w:rPr>
          <w:rFonts w:cs="Arial"/>
          <w:i/>
          <w:iCs/>
          <w:color w:val="000000" w:themeColor="text1"/>
          <w:szCs w:val="16"/>
        </w:rPr>
        <w:t xml:space="preserve"> from a </w:t>
      </w:r>
      <w:proofErr w:type="gramStart"/>
      <w:r w:rsidRPr="00781112">
        <w:rPr>
          <w:rFonts w:cs="Arial"/>
          <w:i/>
          <w:iCs/>
          <w:color w:val="000000" w:themeColor="text1"/>
          <w:szCs w:val="16"/>
        </w:rPr>
        <w:t>State</w:t>
      </w:r>
      <w:proofErr w:type="gramEnd"/>
      <w:r w:rsidRPr="00781112">
        <w:rPr>
          <w:rFonts w:cs="Arial"/>
          <w:i/>
          <w:iCs/>
          <w:color w:val="000000" w:themeColor="text1"/>
          <w:szCs w:val="16"/>
        </w:rPr>
        <w:t xml:space="preserve"> database, include data for the entire reporting year.</w:t>
      </w:r>
    </w:p>
    <w:p w14:paraId="12BF2230" w14:textId="77777777" w:rsidR="00B67038" w:rsidRPr="00781112" w:rsidRDefault="00B67038" w:rsidP="00286BDF">
      <w:pPr>
        <w:rPr>
          <w:rFonts w:cs="Arial"/>
          <w:color w:val="000000" w:themeColor="text1"/>
          <w:szCs w:val="16"/>
        </w:rPr>
      </w:pPr>
      <w:r w:rsidRPr="00781112">
        <w:rPr>
          <w:rFonts w:cs="Arial"/>
          <w:color w:val="000000" w:themeColor="text1"/>
          <w:szCs w:val="16"/>
        </w:rPr>
        <w:t>Describe the results of the calculations and compare the results to the target. Describe the method used to collect these data and if data are from the State’s monitoring, describe the procedures used to collect these data. Provide the actual numbers used in the calculation.</w:t>
      </w:r>
    </w:p>
    <w:p w14:paraId="498F5564" w14:textId="77777777" w:rsidR="00B67038" w:rsidRPr="00781112" w:rsidRDefault="00B67038" w:rsidP="00286BDF">
      <w:pPr>
        <w:rPr>
          <w:rFonts w:cs="Arial"/>
          <w:color w:val="000000" w:themeColor="text1"/>
          <w:szCs w:val="16"/>
        </w:rPr>
      </w:pPr>
      <w:r w:rsidRPr="00781112">
        <w:rPr>
          <w:rFonts w:cs="Arial"/>
          <w:color w:val="000000" w:themeColor="text1"/>
          <w:szCs w:val="16"/>
        </w:rPr>
        <w:t>Targets must be 100%.</w:t>
      </w:r>
    </w:p>
    <w:p w14:paraId="1ACBC1E2" w14:textId="1799E0F6" w:rsidR="00B67038" w:rsidRPr="00781112" w:rsidRDefault="00B67038" w:rsidP="00286BDF">
      <w:pPr>
        <w:rPr>
          <w:rFonts w:cs="Arial"/>
          <w:color w:val="000000" w:themeColor="text1"/>
          <w:szCs w:val="16"/>
        </w:rPr>
      </w:pPr>
      <w:r w:rsidRPr="00781112">
        <w:rPr>
          <w:rFonts w:cs="Arial"/>
          <w:color w:val="000000" w:themeColor="text1"/>
          <w:szCs w:val="16"/>
        </w:rPr>
        <w:t xml:space="preserve">Provide detailed information about the timely correction of </w:t>
      </w:r>
      <w:bookmarkStart w:id="81" w:name="_Hlk150864402"/>
      <w:r w:rsidR="00F047EF" w:rsidRPr="00F047EF">
        <w:rPr>
          <w:rFonts w:cs="Arial"/>
          <w:color w:val="000000" w:themeColor="text1"/>
          <w:szCs w:val="16"/>
        </w:rPr>
        <w:t>child-specific and regulatory/systemic</w:t>
      </w:r>
      <w:r w:rsidR="00F047EF">
        <w:rPr>
          <w:sz w:val="20"/>
        </w:rPr>
        <w:t xml:space="preserve"> </w:t>
      </w:r>
      <w:bookmarkEnd w:id="81"/>
      <w:r w:rsidRPr="00781112">
        <w:rPr>
          <w:rFonts w:cs="Arial"/>
          <w:color w:val="000000" w:themeColor="text1"/>
          <w:szCs w:val="16"/>
        </w:rPr>
        <w:t>noncompliance as noted in OSEP’s response for the previous SPP/APR. If the State did not ensure timely correction of the previous noncompliance, provide information on the extent to which noncompliance was subsequently corrected (more than one year after identification). In addition, provide information regarding the nature of any continuing noncompliance, improvement activities completed (e.g., review of policies and procedures, technical assistance, training) and any enforcement actions that were taken.</w:t>
      </w:r>
    </w:p>
    <w:p w14:paraId="15D9CBCD" w14:textId="0F1FD109" w:rsidR="00B67038" w:rsidRPr="00781112" w:rsidRDefault="003A4027" w:rsidP="00286BDF">
      <w:pPr>
        <w:rPr>
          <w:rFonts w:cs="Arial"/>
          <w:color w:val="000000" w:themeColor="text1"/>
          <w:szCs w:val="16"/>
        </w:rPr>
      </w:pPr>
      <w:r w:rsidRPr="00781112">
        <w:rPr>
          <w:rFonts w:cs="Arial"/>
          <w:color w:val="000000" w:themeColor="text1"/>
          <w:szCs w:val="16"/>
        </w:rPr>
        <w:t>If the State reported less than 100% compliance for the previous reporting period (e.g., for the FFY 2022 SPP/APR, the data for FFY 2021), and the State did not identify any findings of noncompliance, provide an explanation of why the State did not identify any findings of noncompliance.</w:t>
      </w:r>
    </w:p>
    <w:p w14:paraId="43E6D66A" w14:textId="21025B37" w:rsidR="00D04044" w:rsidRPr="00781112" w:rsidRDefault="00056350" w:rsidP="00123D76">
      <w:pPr>
        <w:pStyle w:val="Heading2"/>
      </w:pPr>
      <w:bookmarkStart w:id="82" w:name="_Toc384383364"/>
      <w:bookmarkStart w:id="83" w:name="_Toc392159332"/>
      <w:bookmarkEnd w:id="79"/>
      <w:bookmarkEnd w:id="80"/>
      <w:r w:rsidRPr="00781112">
        <w:t>13</w:t>
      </w:r>
      <w:r w:rsidR="004838A4" w:rsidRPr="00781112">
        <w:t xml:space="preserve"> </w:t>
      </w:r>
      <w:r w:rsidRPr="00781112">
        <w:t xml:space="preserve">- </w:t>
      </w:r>
      <w:r w:rsidR="00D04044" w:rsidRPr="00781112">
        <w:t>Indicator Data</w:t>
      </w:r>
    </w:p>
    <w:p w14:paraId="61C4C68D" w14:textId="294F0305" w:rsidR="009447A3" w:rsidRPr="00781112" w:rsidRDefault="009447A3" w:rsidP="004369B2">
      <w:pPr>
        <w:rPr>
          <w:b/>
          <w:color w:val="000000" w:themeColor="text1"/>
        </w:rPr>
      </w:pPr>
      <w:r w:rsidRPr="00781112">
        <w:rPr>
          <w:b/>
          <w:color w:val="000000" w:themeColor="text1"/>
        </w:rPr>
        <w:t>Historical Data</w:t>
      </w:r>
    </w:p>
    <w:tbl>
      <w:tblPr>
        <w:tblStyle w:val="TableGrid"/>
        <w:tblW w:w="0" w:type="auto"/>
        <w:tblLayout w:type="fixed"/>
        <w:tblLook w:val="04A0" w:firstRow="1" w:lastRow="0" w:firstColumn="1" w:lastColumn="0" w:noHBand="0" w:noVBand="1"/>
        <w:tblCaption w:val="B13BASELINEDATA"/>
      </w:tblPr>
      <w:tblGrid>
        <w:gridCol w:w="1797"/>
        <w:gridCol w:w="1798"/>
      </w:tblGrid>
      <w:tr w:rsidR="00694A39" w:rsidRPr="00781112" w14:paraId="03B988E1" w14:textId="77777777" w:rsidTr="00123D76">
        <w:trPr>
          <w:trHeight w:val="311"/>
          <w:tblHeader/>
        </w:trPr>
        <w:tc>
          <w:tcPr>
            <w:tcW w:w="1797" w:type="dxa"/>
          </w:tcPr>
          <w:p w14:paraId="74B6B294" w14:textId="77777777" w:rsidR="00694A39" w:rsidRPr="00781112" w:rsidRDefault="00694A39" w:rsidP="00123D76">
            <w:pPr>
              <w:jc w:val="center"/>
              <w:rPr>
                <w:b/>
                <w:color w:val="000000" w:themeColor="text1"/>
              </w:rPr>
            </w:pPr>
            <w:r w:rsidRPr="00781112">
              <w:rPr>
                <w:rFonts w:cs="Arial"/>
                <w:b/>
                <w:color w:val="000000" w:themeColor="text1"/>
                <w:szCs w:val="16"/>
              </w:rPr>
              <w:t>Baseline Year</w:t>
            </w:r>
          </w:p>
        </w:tc>
        <w:tc>
          <w:tcPr>
            <w:tcW w:w="1798" w:type="dxa"/>
          </w:tcPr>
          <w:p w14:paraId="1FEDE010" w14:textId="77777777" w:rsidR="00694A39" w:rsidRPr="00781112" w:rsidRDefault="00694A39" w:rsidP="00123D76">
            <w:pPr>
              <w:jc w:val="center"/>
              <w:rPr>
                <w:b/>
                <w:color w:val="000000" w:themeColor="text1"/>
              </w:rPr>
            </w:pPr>
            <w:r w:rsidRPr="00781112">
              <w:rPr>
                <w:b/>
                <w:color w:val="000000" w:themeColor="text1"/>
              </w:rPr>
              <w:t>Baseline Data</w:t>
            </w:r>
          </w:p>
        </w:tc>
      </w:tr>
      <w:tr w:rsidR="00694A39" w:rsidRPr="00781112" w14:paraId="6D8D944B" w14:textId="77777777" w:rsidTr="00123D76">
        <w:trPr>
          <w:trHeight w:val="311"/>
        </w:trPr>
        <w:tc>
          <w:tcPr>
            <w:tcW w:w="1797" w:type="dxa"/>
            <w:vAlign w:val="center"/>
          </w:tcPr>
          <w:p w14:paraId="7FC4C2A7" w14:textId="00CC5CF2" w:rsidR="00694A39" w:rsidRPr="00781112" w:rsidRDefault="00694A39" w:rsidP="00123D76">
            <w:pPr>
              <w:jc w:val="center"/>
              <w:rPr>
                <w:bCs/>
                <w:color w:val="000000" w:themeColor="text1"/>
              </w:rPr>
            </w:pPr>
            <w:r w:rsidRPr="00781112">
              <w:rPr>
                <w:bCs/>
                <w:color w:val="000000" w:themeColor="text1"/>
              </w:rPr>
              <w:t>2017</w:t>
            </w:r>
          </w:p>
        </w:tc>
        <w:tc>
          <w:tcPr>
            <w:tcW w:w="1798" w:type="dxa"/>
            <w:vAlign w:val="center"/>
          </w:tcPr>
          <w:p w14:paraId="3A6C733C" w14:textId="66F52DB8" w:rsidR="00694A39" w:rsidRPr="00781112" w:rsidRDefault="00694A39" w:rsidP="00123D76">
            <w:pPr>
              <w:jc w:val="center"/>
              <w:rPr>
                <w:bCs/>
                <w:color w:val="000000" w:themeColor="text1"/>
              </w:rPr>
            </w:pPr>
            <w:r w:rsidRPr="00781112">
              <w:rPr>
                <w:bCs/>
                <w:color w:val="000000" w:themeColor="text1"/>
              </w:rPr>
              <w:t>93.18%</w:t>
            </w:r>
          </w:p>
        </w:tc>
      </w:tr>
    </w:tbl>
    <w:p w14:paraId="5733AE68" w14:textId="77777777" w:rsidR="00694A39" w:rsidRPr="00781112" w:rsidRDefault="00694A39" w:rsidP="004369B2">
      <w:pPr>
        <w:rPr>
          <w:color w:val="000000" w:themeColor="text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B13HISTDATA"/>
      </w:tblPr>
      <w:tblGrid>
        <w:gridCol w:w="1798"/>
        <w:gridCol w:w="1798"/>
        <w:gridCol w:w="1798"/>
        <w:gridCol w:w="1798"/>
        <w:gridCol w:w="1798"/>
        <w:gridCol w:w="1800"/>
      </w:tblGrid>
      <w:tr w:rsidR="005C29F8" w:rsidRPr="00781112" w14:paraId="687251DC" w14:textId="77777777" w:rsidTr="00943314">
        <w:trPr>
          <w:trHeight w:val="350"/>
        </w:trPr>
        <w:tc>
          <w:tcPr>
            <w:tcW w:w="833" w:type="pct"/>
            <w:tcBorders>
              <w:bottom w:val="single" w:sz="4" w:space="0" w:color="auto"/>
            </w:tcBorders>
            <w:shd w:val="clear" w:color="auto" w:fill="auto"/>
          </w:tcPr>
          <w:p w14:paraId="14E01593" w14:textId="77777777" w:rsidR="009447A3" w:rsidRPr="00781112" w:rsidRDefault="009447A3" w:rsidP="004369B2">
            <w:pPr>
              <w:jc w:val="center"/>
              <w:rPr>
                <w:rFonts w:cs="Arial"/>
                <w:b/>
                <w:color w:val="000000" w:themeColor="text1"/>
                <w:szCs w:val="16"/>
              </w:rPr>
            </w:pPr>
            <w:r w:rsidRPr="00781112">
              <w:rPr>
                <w:rFonts w:cs="Arial"/>
                <w:b/>
                <w:color w:val="000000" w:themeColor="text1"/>
                <w:szCs w:val="16"/>
              </w:rPr>
              <w:t>FFY</w:t>
            </w:r>
          </w:p>
        </w:tc>
        <w:tc>
          <w:tcPr>
            <w:tcW w:w="833" w:type="pct"/>
            <w:shd w:val="clear" w:color="auto" w:fill="auto"/>
          </w:tcPr>
          <w:p w14:paraId="73A85907" w14:textId="1D9118C1" w:rsidR="009447A3" w:rsidRPr="00781112" w:rsidRDefault="002B7490" w:rsidP="008E31C4">
            <w:pPr>
              <w:jc w:val="center"/>
              <w:rPr>
                <w:rFonts w:cs="Arial"/>
                <w:b/>
                <w:color w:val="000000" w:themeColor="text1"/>
                <w:szCs w:val="16"/>
              </w:rPr>
            </w:pPr>
            <w:r w:rsidRPr="00781112">
              <w:rPr>
                <w:rFonts w:cs="Arial"/>
                <w:b/>
                <w:color w:val="000000" w:themeColor="text1"/>
                <w:szCs w:val="16"/>
              </w:rPr>
              <w:t>2017</w:t>
            </w:r>
          </w:p>
        </w:tc>
        <w:tc>
          <w:tcPr>
            <w:tcW w:w="833" w:type="pct"/>
            <w:shd w:val="clear" w:color="auto" w:fill="auto"/>
          </w:tcPr>
          <w:p w14:paraId="1C6C5D54" w14:textId="213C7749" w:rsidR="009447A3" w:rsidRPr="00781112" w:rsidRDefault="002B7490" w:rsidP="008E31C4">
            <w:pPr>
              <w:jc w:val="center"/>
              <w:rPr>
                <w:rFonts w:cs="Arial"/>
                <w:b/>
                <w:color w:val="000000" w:themeColor="text1"/>
                <w:szCs w:val="16"/>
              </w:rPr>
            </w:pPr>
            <w:r w:rsidRPr="00781112">
              <w:rPr>
                <w:rFonts w:cs="Arial"/>
                <w:b/>
                <w:color w:val="000000" w:themeColor="text1"/>
                <w:szCs w:val="16"/>
              </w:rPr>
              <w:t>2018</w:t>
            </w:r>
          </w:p>
        </w:tc>
        <w:tc>
          <w:tcPr>
            <w:tcW w:w="833" w:type="pct"/>
            <w:shd w:val="clear" w:color="auto" w:fill="auto"/>
          </w:tcPr>
          <w:p w14:paraId="044515B1" w14:textId="14B45245" w:rsidR="009447A3" w:rsidRPr="00781112" w:rsidRDefault="002B7490" w:rsidP="008E31C4">
            <w:pPr>
              <w:jc w:val="center"/>
              <w:rPr>
                <w:rFonts w:cs="Arial"/>
                <w:b/>
                <w:color w:val="000000" w:themeColor="text1"/>
                <w:szCs w:val="16"/>
              </w:rPr>
            </w:pPr>
            <w:r w:rsidRPr="00781112">
              <w:rPr>
                <w:rFonts w:cs="Arial"/>
                <w:b/>
                <w:color w:val="000000" w:themeColor="text1"/>
                <w:szCs w:val="16"/>
              </w:rPr>
              <w:t>2019</w:t>
            </w:r>
          </w:p>
        </w:tc>
        <w:tc>
          <w:tcPr>
            <w:tcW w:w="833" w:type="pct"/>
            <w:shd w:val="clear" w:color="auto" w:fill="auto"/>
          </w:tcPr>
          <w:p w14:paraId="695DE74A" w14:textId="50B444D4" w:rsidR="009447A3" w:rsidRPr="00781112" w:rsidRDefault="002B7490" w:rsidP="008E31C4">
            <w:pPr>
              <w:jc w:val="center"/>
              <w:rPr>
                <w:rFonts w:cs="Arial"/>
                <w:b/>
                <w:color w:val="000000" w:themeColor="text1"/>
                <w:szCs w:val="16"/>
              </w:rPr>
            </w:pPr>
            <w:r w:rsidRPr="00781112">
              <w:rPr>
                <w:rFonts w:cs="Arial"/>
                <w:b/>
                <w:color w:val="000000" w:themeColor="text1"/>
                <w:szCs w:val="16"/>
              </w:rPr>
              <w:t>2020</w:t>
            </w:r>
          </w:p>
        </w:tc>
        <w:tc>
          <w:tcPr>
            <w:tcW w:w="834" w:type="pct"/>
            <w:shd w:val="clear" w:color="auto" w:fill="auto"/>
          </w:tcPr>
          <w:p w14:paraId="527EE05E" w14:textId="3E89E5BC" w:rsidR="009447A3" w:rsidRPr="00781112" w:rsidRDefault="002B7490" w:rsidP="008E31C4">
            <w:pPr>
              <w:jc w:val="center"/>
              <w:rPr>
                <w:rFonts w:cs="Arial"/>
                <w:b/>
                <w:color w:val="000000" w:themeColor="text1"/>
                <w:szCs w:val="16"/>
              </w:rPr>
            </w:pPr>
            <w:r w:rsidRPr="00781112">
              <w:rPr>
                <w:rFonts w:cs="Arial"/>
                <w:b/>
                <w:color w:val="000000" w:themeColor="text1"/>
                <w:szCs w:val="16"/>
              </w:rPr>
              <w:t>2021</w:t>
            </w:r>
          </w:p>
        </w:tc>
      </w:tr>
      <w:tr w:rsidR="005C29F8" w:rsidRPr="00781112" w14:paraId="0A07B33E" w14:textId="77777777" w:rsidTr="00943314">
        <w:trPr>
          <w:trHeight w:val="357"/>
        </w:trPr>
        <w:tc>
          <w:tcPr>
            <w:tcW w:w="833" w:type="pct"/>
            <w:shd w:val="clear" w:color="auto" w:fill="auto"/>
          </w:tcPr>
          <w:p w14:paraId="04BB4B5A" w14:textId="7106977F" w:rsidR="009447A3" w:rsidRPr="00781112" w:rsidRDefault="009447A3" w:rsidP="00BA3DBE">
            <w:pPr>
              <w:jc w:val="center"/>
              <w:rPr>
                <w:rFonts w:cs="Arial"/>
                <w:color w:val="000000" w:themeColor="text1"/>
                <w:szCs w:val="16"/>
              </w:rPr>
            </w:pPr>
            <w:r w:rsidRPr="00781112">
              <w:rPr>
                <w:rFonts w:cs="Arial"/>
                <w:color w:val="000000" w:themeColor="text1"/>
                <w:szCs w:val="16"/>
              </w:rPr>
              <w:t>Target</w:t>
            </w:r>
          </w:p>
        </w:tc>
        <w:tc>
          <w:tcPr>
            <w:tcW w:w="833" w:type="pct"/>
            <w:shd w:val="clear" w:color="auto" w:fill="auto"/>
          </w:tcPr>
          <w:p w14:paraId="20467ACA" w14:textId="658A99BC" w:rsidR="009447A3" w:rsidRPr="00781112" w:rsidRDefault="00B16A26" w:rsidP="004369B2">
            <w:pPr>
              <w:jc w:val="center"/>
              <w:rPr>
                <w:rFonts w:cs="Arial"/>
                <w:color w:val="000000" w:themeColor="text1"/>
                <w:szCs w:val="16"/>
              </w:rPr>
            </w:pPr>
            <w:r w:rsidRPr="00781112">
              <w:rPr>
                <w:rFonts w:cs="Arial"/>
                <w:color w:val="000000" w:themeColor="text1"/>
                <w:szCs w:val="16"/>
              </w:rPr>
              <w:t>100%</w:t>
            </w:r>
          </w:p>
        </w:tc>
        <w:tc>
          <w:tcPr>
            <w:tcW w:w="833" w:type="pct"/>
            <w:shd w:val="clear" w:color="auto" w:fill="auto"/>
          </w:tcPr>
          <w:p w14:paraId="4AE1489C" w14:textId="1138B823" w:rsidR="009447A3" w:rsidRPr="00781112" w:rsidRDefault="00B16A26" w:rsidP="004369B2">
            <w:pPr>
              <w:jc w:val="center"/>
              <w:rPr>
                <w:rFonts w:cs="Arial"/>
                <w:color w:val="000000" w:themeColor="text1"/>
                <w:szCs w:val="16"/>
              </w:rPr>
            </w:pPr>
            <w:r w:rsidRPr="00781112">
              <w:rPr>
                <w:rFonts w:cs="Arial"/>
                <w:color w:val="000000" w:themeColor="text1"/>
                <w:szCs w:val="16"/>
              </w:rPr>
              <w:t>100%</w:t>
            </w:r>
          </w:p>
        </w:tc>
        <w:tc>
          <w:tcPr>
            <w:tcW w:w="833" w:type="pct"/>
            <w:shd w:val="clear" w:color="auto" w:fill="auto"/>
          </w:tcPr>
          <w:p w14:paraId="3FAB6F79" w14:textId="47FCCD56" w:rsidR="009447A3" w:rsidRPr="00781112" w:rsidRDefault="00B16A26" w:rsidP="004369B2">
            <w:pPr>
              <w:jc w:val="center"/>
              <w:rPr>
                <w:rFonts w:cs="Arial"/>
                <w:color w:val="000000" w:themeColor="text1"/>
                <w:szCs w:val="16"/>
              </w:rPr>
            </w:pPr>
            <w:r w:rsidRPr="00781112">
              <w:rPr>
                <w:rFonts w:cs="Arial"/>
                <w:color w:val="000000" w:themeColor="text1"/>
                <w:szCs w:val="16"/>
              </w:rPr>
              <w:t>100%</w:t>
            </w:r>
          </w:p>
        </w:tc>
        <w:tc>
          <w:tcPr>
            <w:tcW w:w="833" w:type="pct"/>
            <w:shd w:val="clear" w:color="auto" w:fill="auto"/>
          </w:tcPr>
          <w:p w14:paraId="2EE056E4" w14:textId="485E460A" w:rsidR="009447A3" w:rsidRPr="00781112" w:rsidRDefault="00B16A26" w:rsidP="004369B2">
            <w:pPr>
              <w:jc w:val="center"/>
              <w:rPr>
                <w:rFonts w:cs="Arial"/>
                <w:color w:val="000000" w:themeColor="text1"/>
                <w:szCs w:val="16"/>
              </w:rPr>
            </w:pPr>
            <w:r w:rsidRPr="00781112">
              <w:rPr>
                <w:rFonts w:cs="Arial"/>
                <w:color w:val="000000" w:themeColor="text1"/>
                <w:szCs w:val="16"/>
              </w:rPr>
              <w:t>100%</w:t>
            </w:r>
          </w:p>
        </w:tc>
        <w:tc>
          <w:tcPr>
            <w:tcW w:w="834" w:type="pct"/>
            <w:shd w:val="clear" w:color="auto" w:fill="auto"/>
          </w:tcPr>
          <w:p w14:paraId="6F722BD0" w14:textId="06244133" w:rsidR="009447A3" w:rsidRPr="00781112" w:rsidRDefault="00B16A26" w:rsidP="004369B2">
            <w:pPr>
              <w:jc w:val="center"/>
              <w:rPr>
                <w:rFonts w:cs="Arial"/>
                <w:color w:val="000000" w:themeColor="text1"/>
                <w:szCs w:val="16"/>
              </w:rPr>
            </w:pPr>
            <w:r w:rsidRPr="00781112">
              <w:rPr>
                <w:rFonts w:cs="Arial"/>
                <w:color w:val="000000" w:themeColor="text1"/>
                <w:szCs w:val="16"/>
              </w:rPr>
              <w:t>100%</w:t>
            </w:r>
          </w:p>
        </w:tc>
      </w:tr>
      <w:tr w:rsidR="005C29F8" w:rsidRPr="00781112" w14:paraId="4403D1A8" w14:textId="77777777" w:rsidTr="00943314">
        <w:trPr>
          <w:trHeight w:val="85"/>
        </w:trPr>
        <w:tc>
          <w:tcPr>
            <w:tcW w:w="833" w:type="pct"/>
            <w:shd w:val="clear" w:color="auto" w:fill="auto"/>
          </w:tcPr>
          <w:p w14:paraId="6473FB8E" w14:textId="77777777" w:rsidR="009447A3" w:rsidRPr="00781112" w:rsidRDefault="009447A3" w:rsidP="00BA3DBE">
            <w:pPr>
              <w:jc w:val="center"/>
              <w:rPr>
                <w:rFonts w:cs="Arial"/>
                <w:color w:val="000000" w:themeColor="text1"/>
                <w:szCs w:val="16"/>
              </w:rPr>
            </w:pPr>
            <w:r w:rsidRPr="00781112">
              <w:rPr>
                <w:rFonts w:cs="Arial"/>
                <w:color w:val="000000" w:themeColor="text1"/>
                <w:szCs w:val="16"/>
              </w:rPr>
              <w:t>Data</w:t>
            </w:r>
          </w:p>
        </w:tc>
        <w:tc>
          <w:tcPr>
            <w:tcW w:w="833" w:type="pct"/>
            <w:shd w:val="clear" w:color="auto" w:fill="auto"/>
          </w:tcPr>
          <w:p w14:paraId="508672F7" w14:textId="4FDD51CC" w:rsidR="009447A3" w:rsidRPr="00781112" w:rsidRDefault="002B7490" w:rsidP="004369B2">
            <w:pPr>
              <w:jc w:val="center"/>
              <w:rPr>
                <w:rFonts w:cs="Arial"/>
                <w:color w:val="000000" w:themeColor="text1"/>
                <w:szCs w:val="16"/>
              </w:rPr>
            </w:pPr>
            <w:r w:rsidRPr="00781112">
              <w:rPr>
                <w:rFonts w:cs="Arial"/>
                <w:color w:val="000000" w:themeColor="text1"/>
                <w:szCs w:val="16"/>
              </w:rPr>
              <w:t>93.18%</w:t>
            </w:r>
          </w:p>
        </w:tc>
        <w:tc>
          <w:tcPr>
            <w:tcW w:w="833" w:type="pct"/>
            <w:shd w:val="clear" w:color="auto" w:fill="auto"/>
          </w:tcPr>
          <w:p w14:paraId="50F55BA6" w14:textId="73CC9B0F" w:rsidR="009447A3" w:rsidRPr="00781112" w:rsidRDefault="002B7490" w:rsidP="004369B2">
            <w:pPr>
              <w:jc w:val="center"/>
              <w:rPr>
                <w:rFonts w:cs="Arial"/>
                <w:color w:val="000000" w:themeColor="text1"/>
                <w:szCs w:val="16"/>
              </w:rPr>
            </w:pPr>
            <w:r w:rsidRPr="00781112">
              <w:rPr>
                <w:rFonts w:cs="Arial"/>
                <w:color w:val="000000" w:themeColor="text1"/>
                <w:szCs w:val="16"/>
              </w:rPr>
              <w:t>89.39%</w:t>
            </w:r>
          </w:p>
        </w:tc>
        <w:tc>
          <w:tcPr>
            <w:tcW w:w="833" w:type="pct"/>
            <w:tcBorders>
              <w:bottom w:val="single" w:sz="4" w:space="0" w:color="auto"/>
            </w:tcBorders>
            <w:shd w:val="clear" w:color="auto" w:fill="auto"/>
            <w:vAlign w:val="center"/>
          </w:tcPr>
          <w:p w14:paraId="6FC9DB0D" w14:textId="5188F524" w:rsidR="009447A3" w:rsidRPr="00781112" w:rsidRDefault="002B7490" w:rsidP="004369B2">
            <w:pPr>
              <w:jc w:val="center"/>
              <w:rPr>
                <w:rFonts w:cs="Arial"/>
                <w:color w:val="000000" w:themeColor="text1"/>
                <w:szCs w:val="16"/>
              </w:rPr>
            </w:pPr>
            <w:r w:rsidRPr="00781112">
              <w:rPr>
                <w:rFonts w:cs="Arial"/>
                <w:color w:val="000000" w:themeColor="text1"/>
                <w:szCs w:val="16"/>
              </w:rPr>
              <w:t>99.77%</w:t>
            </w:r>
          </w:p>
        </w:tc>
        <w:tc>
          <w:tcPr>
            <w:tcW w:w="833" w:type="pct"/>
            <w:tcBorders>
              <w:bottom w:val="single" w:sz="4" w:space="0" w:color="auto"/>
            </w:tcBorders>
            <w:shd w:val="clear" w:color="auto" w:fill="auto"/>
            <w:vAlign w:val="center"/>
          </w:tcPr>
          <w:p w14:paraId="2DE56335" w14:textId="11069C36" w:rsidR="009447A3" w:rsidRPr="00781112" w:rsidRDefault="002B7490" w:rsidP="004369B2">
            <w:pPr>
              <w:jc w:val="center"/>
              <w:rPr>
                <w:rFonts w:cs="Arial"/>
                <w:color w:val="000000" w:themeColor="text1"/>
                <w:szCs w:val="16"/>
              </w:rPr>
            </w:pPr>
            <w:r w:rsidRPr="00781112">
              <w:rPr>
                <w:rFonts w:cs="Arial"/>
                <w:color w:val="000000" w:themeColor="text1"/>
                <w:szCs w:val="16"/>
              </w:rPr>
              <w:t>94.85%</w:t>
            </w:r>
          </w:p>
        </w:tc>
        <w:tc>
          <w:tcPr>
            <w:tcW w:w="834" w:type="pct"/>
            <w:tcBorders>
              <w:bottom w:val="single" w:sz="4" w:space="0" w:color="auto"/>
            </w:tcBorders>
            <w:shd w:val="clear" w:color="auto" w:fill="auto"/>
            <w:vAlign w:val="center"/>
          </w:tcPr>
          <w:p w14:paraId="541BA7DE" w14:textId="2D80E9D8" w:rsidR="009447A3" w:rsidRPr="00781112" w:rsidRDefault="002B7490" w:rsidP="004369B2">
            <w:pPr>
              <w:jc w:val="center"/>
              <w:rPr>
                <w:rFonts w:cs="Arial"/>
                <w:color w:val="000000" w:themeColor="text1"/>
                <w:szCs w:val="16"/>
              </w:rPr>
            </w:pPr>
            <w:r w:rsidRPr="00781112">
              <w:rPr>
                <w:rFonts w:cs="Arial"/>
                <w:color w:val="000000" w:themeColor="text1"/>
                <w:szCs w:val="16"/>
              </w:rPr>
              <w:t>98.20%</w:t>
            </w:r>
          </w:p>
        </w:tc>
      </w:tr>
    </w:tbl>
    <w:p w14:paraId="30C8D33B" w14:textId="77777777" w:rsidR="00AF12E4" w:rsidRPr="00781112" w:rsidRDefault="00AF12E4" w:rsidP="004369B2">
      <w:pPr>
        <w:rPr>
          <w:color w:val="000000" w:themeColor="text1"/>
        </w:rPr>
      </w:pPr>
    </w:p>
    <w:p w14:paraId="75465A8F" w14:textId="65C77B0F" w:rsidR="007A3964" w:rsidRPr="00781112" w:rsidRDefault="007A3964" w:rsidP="004369B2">
      <w:pPr>
        <w:rPr>
          <w:color w:val="000000" w:themeColor="text1"/>
        </w:rPr>
      </w:pPr>
      <w:r w:rsidRPr="00781112">
        <w:rPr>
          <w:b/>
          <w:color w:val="000000" w:themeColor="text1"/>
        </w:rPr>
        <w:t>Targets</w:t>
      </w:r>
    </w:p>
    <w:tbl>
      <w:tblPr>
        <w:tblW w:w="34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B13TARGETS"/>
      </w:tblPr>
      <w:tblGrid>
        <w:gridCol w:w="716"/>
        <w:gridCol w:w="1682"/>
        <w:gridCol w:w="1678"/>
        <w:gridCol w:w="1678"/>
        <w:gridCol w:w="1678"/>
      </w:tblGrid>
      <w:tr w:rsidR="00B67FCE" w:rsidRPr="00781112" w14:paraId="75609119" w14:textId="4FD44BFE" w:rsidTr="00845B9B">
        <w:trPr>
          <w:trHeight w:val="281"/>
        </w:trPr>
        <w:tc>
          <w:tcPr>
            <w:tcW w:w="481" w:type="pct"/>
            <w:tcBorders>
              <w:bottom w:val="single" w:sz="4" w:space="0" w:color="auto"/>
            </w:tcBorders>
            <w:shd w:val="clear" w:color="auto" w:fill="auto"/>
          </w:tcPr>
          <w:p w14:paraId="270D1909" w14:textId="77777777" w:rsidR="00B67FCE" w:rsidRPr="00781112" w:rsidRDefault="00B67FCE" w:rsidP="00AF574F">
            <w:pPr>
              <w:jc w:val="center"/>
              <w:rPr>
                <w:b/>
                <w:color w:val="000000" w:themeColor="text1"/>
              </w:rPr>
            </w:pPr>
            <w:r w:rsidRPr="00781112">
              <w:rPr>
                <w:b/>
                <w:color w:val="000000" w:themeColor="text1"/>
              </w:rPr>
              <w:t>FFY</w:t>
            </w:r>
          </w:p>
        </w:tc>
        <w:tc>
          <w:tcPr>
            <w:tcW w:w="1131" w:type="pct"/>
            <w:shd w:val="clear" w:color="auto" w:fill="auto"/>
            <w:vAlign w:val="center"/>
          </w:tcPr>
          <w:p w14:paraId="3C863620" w14:textId="77777777" w:rsidR="00B67FCE" w:rsidRPr="00781112" w:rsidRDefault="00B67FCE" w:rsidP="00AF574F">
            <w:pPr>
              <w:jc w:val="center"/>
              <w:rPr>
                <w:b/>
                <w:color w:val="000000" w:themeColor="text1"/>
              </w:rPr>
            </w:pPr>
            <w:r w:rsidRPr="00781112">
              <w:rPr>
                <w:b/>
                <w:color w:val="000000" w:themeColor="text1"/>
              </w:rPr>
              <w:t>2022</w:t>
            </w:r>
          </w:p>
        </w:tc>
        <w:tc>
          <w:tcPr>
            <w:tcW w:w="1129" w:type="pct"/>
          </w:tcPr>
          <w:p w14:paraId="1E742631" w14:textId="024F7853" w:rsidR="00B67FCE" w:rsidRPr="00781112" w:rsidRDefault="00B67FCE" w:rsidP="00AF574F">
            <w:pPr>
              <w:jc w:val="center"/>
              <w:rPr>
                <w:b/>
                <w:color w:val="000000" w:themeColor="text1"/>
              </w:rPr>
            </w:pPr>
            <w:r w:rsidRPr="00781112">
              <w:rPr>
                <w:rFonts w:cs="Arial"/>
                <w:b/>
                <w:color w:val="000000" w:themeColor="text1"/>
                <w:szCs w:val="16"/>
              </w:rPr>
              <w:t>2023</w:t>
            </w:r>
          </w:p>
        </w:tc>
        <w:tc>
          <w:tcPr>
            <w:tcW w:w="1129" w:type="pct"/>
          </w:tcPr>
          <w:p w14:paraId="68E9F440" w14:textId="3DC7BEDA" w:rsidR="00B67FCE" w:rsidRPr="00781112" w:rsidRDefault="00B67FCE" w:rsidP="00AF574F">
            <w:pPr>
              <w:jc w:val="center"/>
              <w:rPr>
                <w:b/>
                <w:color w:val="000000" w:themeColor="text1"/>
              </w:rPr>
            </w:pPr>
            <w:r w:rsidRPr="00781112">
              <w:rPr>
                <w:rFonts w:cs="Arial"/>
                <w:b/>
                <w:color w:val="000000" w:themeColor="text1"/>
                <w:szCs w:val="16"/>
              </w:rPr>
              <w:t>2024</w:t>
            </w:r>
          </w:p>
        </w:tc>
        <w:tc>
          <w:tcPr>
            <w:tcW w:w="1129" w:type="pct"/>
          </w:tcPr>
          <w:p w14:paraId="724C1BE8" w14:textId="32F17B9A" w:rsidR="00B67FCE" w:rsidRPr="00781112" w:rsidRDefault="00B67FCE" w:rsidP="00AF574F">
            <w:pPr>
              <w:jc w:val="center"/>
              <w:rPr>
                <w:b/>
                <w:color w:val="000000" w:themeColor="text1"/>
              </w:rPr>
            </w:pPr>
            <w:r w:rsidRPr="00781112">
              <w:rPr>
                <w:rFonts w:cs="Arial"/>
                <w:b/>
                <w:color w:val="000000" w:themeColor="text1"/>
                <w:szCs w:val="16"/>
              </w:rPr>
              <w:t>2025</w:t>
            </w:r>
          </w:p>
        </w:tc>
      </w:tr>
      <w:tr w:rsidR="00B67FCE" w:rsidRPr="00781112" w14:paraId="129EADEA" w14:textId="243BFF73" w:rsidTr="00845B9B">
        <w:trPr>
          <w:trHeight w:val="287"/>
        </w:trPr>
        <w:tc>
          <w:tcPr>
            <w:tcW w:w="481" w:type="pct"/>
            <w:shd w:val="clear" w:color="auto" w:fill="auto"/>
            <w:vAlign w:val="center"/>
          </w:tcPr>
          <w:p w14:paraId="14AB537C" w14:textId="075F2E43" w:rsidR="00B67FCE" w:rsidRPr="00781112" w:rsidRDefault="00B67FCE" w:rsidP="00BA3DBE">
            <w:pPr>
              <w:jc w:val="center"/>
              <w:rPr>
                <w:rFonts w:cs="Arial"/>
                <w:color w:val="000000" w:themeColor="text1"/>
                <w:szCs w:val="16"/>
              </w:rPr>
            </w:pPr>
            <w:r w:rsidRPr="00781112">
              <w:rPr>
                <w:rFonts w:cs="Arial"/>
                <w:color w:val="000000" w:themeColor="text1"/>
                <w:szCs w:val="16"/>
              </w:rPr>
              <w:t>Target</w:t>
            </w:r>
          </w:p>
        </w:tc>
        <w:tc>
          <w:tcPr>
            <w:tcW w:w="1131" w:type="pct"/>
            <w:shd w:val="clear" w:color="auto" w:fill="auto"/>
            <w:vAlign w:val="center"/>
          </w:tcPr>
          <w:p w14:paraId="0BAE8900" w14:textId="37E5F8C0" w:rsidR="00B67FCE" w:rsidRPr="00781112" w:rsidRDefault="00B67FCE" w:rsidP="00AF574F">
            <w:pPr>
              <w:jc w:val="center"/>
              <w:rPr>
                <w:rFonts w:cs="Arial"/>
                <w:color w:val="000000" w:themeColor="text1"/>
                <w:szCs w:val="16"/>
              </w:rPr>
            </w:pPr>
            <w:r w:rsidRPr="00781112">
              <w:rPr>
                <w:rFonts w:cs="Arial"/>
                <w:color w:val="000000" w:themeColor="text1"/>
                <w:szCs w:val="16"/>
              </w:rPr>
              <w:t>100%</w:t>
            </w:r>
          </w:p>
        </w:tc>
        <w:tc>
          <w:tcPr>
            <w:tcW w:w="1129" w:type="pct"/>
          </w:tcPr>
          <w:p w14:paraId="2CC39FD1" w14:textId="0A351FA5" w:rsidR="00B67FCE" w:rsidRPr="00781112" w:rsidRDefault="00B67FCE" w:rsidP="00AF574F">
            <w:pPr>
              <w:jc w:val="center"/>
              <w:rPr>
                <w:rFonts w:cs="Arial"/>
                <w:color w:val="000000" w:themeColor="text1"/>
                <w:szCs w:val="16"/>
              </w:rPr>
            </w:pPr>
            <w:r w:rsidRPr="00781112">
              <w:rPr>
                <w:color w:val="000000" w:themeColor="text1"/>
                <w:szCs w:val="16"/>
              </w:rPr>
              <w:t>100%</w:t>
            </w:r>
          </w:p>
        </w:tc>
        <w:tc>
          <w:tcPr>
            <w:tcW w:w="1129" w:type="pct"/>
          </w:tcPr>
          <w:p w14:paraId="67D6E1E0" w14:textId="00533F6B" w:rsidR="00B67FCE" w:rsidRPr="00781112" w:rsidRDefault="00B67FCE" w:rsidP="00AF574F">
            <w:pPr>
              <w:jc w:val="center"/>
              <w:rPr>
                <w:rFonts w:cs="Arial"/>
                <w:color w:val="000000" w:themeColor="text1"/>
                <w:szCs w:val="16"/>
              </w:rPr>
            </w:pPr>
            <w:r w:rsidRPr="00781112">
              <w:rPr>
                <w:color w:val="000000" w:themeColor="text1"/>
                <w:szCs w:val="16"/>
              </w:rPr>
              <w:t>100%</w:t>
            </w:r>
          </w:p>
        </w:tc>
        <w:tc>
          <w:tcPr>
            <w:tcW w:w="1129" w:type="pct"/>
          </w:tcPr>
          <w:p w14:paraId="39A43D1F" w14:textId="716B9E54" w:rsidR="00B67FCE" w:rsidRPr="00781112" w:rsidRDefault="00B67FCE" w:rsidP="00AF574F">
            <w:pPr>
              <w:jc w:val="center"/>
              <w:rPr>
                <w:rFonts w:cs="Arial"/>
                <w:color w:val="000000" w:themeColor="text1"/>
                <w:szCs w:val="16"/>
              </w:rPr>
            </w:pPr>
            <w:r w:rsidRPr="00781112">
              <w:rPr>
                <w:color w:val="000000" w:themeColor="text1"/>
                <w:szCs w:val="16"/>
              </w:rPr>
              <w:t>100%</w:t>
            </w:r>
          </w:p>
        </w:tc>
      </w:tr>
    </w:tbl>
    <w:p w14:paraId="2E844227" w14:textId="77777777" w:rsidR="00AF12E4" w:rsidRPr="00781112" w:rsidRDefault="00AF12E4" w:rsidP="004369B2">
      <w:pPr>
        <w:rPr>
          <w:color w:val="000000" w:themeColor="text1"/>
        </w:rPr>
      </w:pPr>
    </w:p>
    <w:bookmarkEnd w:id="82"/>
    <w:bookmarkEnd w:id="83"/>
    <w:p w14:paraId="596F7C13" w14:textId="52A2F519" w:rsidR="00D03701" w:rsidRPr="00781112" w:rsidRDefault="0047313F" w:rsidP="004369B2">
      <w:pPr>
        <w:rPr>
          <w:color w:val="000000" w:themeColor="text1"/>
        </w:rPr>
      </w:pPr>
      <w:r>
        <w:rPr>
          <w:b/>
          <w:color w:val="000000" w:themeColor="text1"/>
        </w:rPr>
        <w:t>FFY 2022 SPP/APR Data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B13CFFYAPRDATA"/>
      </w:tblPr>
      <w:tblGrid>
        <w:gridCol w:w="1533"/>
        <w:gridCol w:w="1498"/>
        <w:gridCol w:w="1372"/>
        <w:gridCol w:w="2067"/>
        <w:gridCol w:w="1232"/>
        <w:gridCol w:w="1571"/>
        <w:gridCol w:w="1517"/>
      </w:tblGrid>
      <w:tr w:rsidR="00B1652C" w:rsidRPr="00781112" w14:paraId="22208B6A" w14:textId="2EBA1D17" w:rsidTr="00A947D9">
        <w:trPr>
          <w:trHeight w:val="354"/>
          <w:tblHeader/>
        </w:trPr>
        <w:tc>
          <w:tcPr>
            <w:tcW w:w="710" w:type="pct"/>
            <w:shd w:val="clear" w:color="auto" w:fill="auto"/>
            <w:vAlign w:val="bottom"/>
          </w:tcPr>
          <w:p w14:paraId="24F7C6E9" w14:textId="77777777" w:rsidR="00B1652C" w:rsidRPr="00781112" w:rsidRDefault="00B1652C" w:rsidP="00B1652C">
            <w:pPr>
              <w:jc w:val="center"/>
              <w:rPr>
                <w:rFonts w:cs="Arial"/>
                <w:b/>
                <w:color w:val="000000" w:themeColor="text1"/>
                <w:szCs w:val="16"/>
              </w:rPr>
            </w:pPr>
            <w:r w:rsidRPr="00781112">
              <w:rPr>
                <w:rFonts w:cs="Arial"/>
                <w:b/>
                <w:color w:val="000000" w:themeColor="text1"/>
                <w:szCs w:val="16"/>
              </w:rPr>
              <w:t xml:space="preserve">Number of </w:t>
            </w:r>
            <w:proofErr w:type="gramStart"/>
            <w:r w:rsidRPr="00781112">
              <w:rPr>
                <w:rFonts w:cs="Arial"/>
                <w:b/>
                <w:color w:val="000000" w:themeColor="text1"/>
                <w:szCs w:val="16"/>
              </w:rPr>
              <w:t>youth</w:t>
            </w:r>
            <w:proofErr w:type="gramEnd"/>
            <w:r w:rsidRPr="00781112">
              <w:rPr>
                <w:rFonts w:cs="Arial"/>
                <w:b/>
                <w:color w:val="000000" w:themeColor="text1"/>
                <w:szCs w:val="16"/>
              </w:rPr>
              <w:t xml:space="preserve"> aged 16 and above with IEPs that contain each of the required components for secondary transition</w:t>
            </w:r>
          </w:p>
        </w:tc>
        <w:tc>
          <w:tcPr>
            <w:tcW w:w="694" w:type="pct"/>
            <w:shd w:val="clear" w:color="auto" w:fill="auto"/>
            <w:vAlign w:val="bottom"/>
          </w:tcPr>
          <w:p w14:paraId="5096A299" w14:textId="77777777" w:rsidR="00B1652C" w:rsidRPr="00781112" w:rsidRDefault="00B1652C" w:rsidP="00B1652C">
            <w:pPr>
              <w:jc w:val="center"/>
              <w:rPr>
                <w:rFonts w:cs="Arial"/>
                <w:b/>
                <w:color w:val="000000" w:themeColor="text1"/>
                <w:szCs w:val="16"/>
              </w:rPr>
            </w:pPr>
            <w:r w:rsidRPr="00781112">
              <w:rPr>
                <w:rFonts w:cs="Arial"/>
                <w:b/>
                <w:color w:val="000000" w:themeColor="text1"/>
                <w:szCs w:val="16"/>
              </w:rPr>
              <w:t xml:space="preserve">Number of </w:t>
            </w:r>
            <w:proofErr w:type="gramStart"/>
            <w:r w:rsidRPr="00781112">
              <w:rPr>
                <w:rFonts w:cs="Arial"/>
                <w:b/>
                <w:color w:val="000000" w:themeColor="text1"/>
                <w:szCs w:val="16"/>
              </w:rPr>
              <w:t>youth</w:t>
            </w:r>
            <w:proofErr w:type="gramEnd"/>
            <w:r w:rsidRPr="00781112">
              <w:rPr>
                <w:rFonts w:cs="Arial"/>
                <w:b/>
                <w:color w:val="000000" w:themeColor="text1"/>
                <w:szCs w:val="16"/>
              </w:rPr>
              <w:t xml:space="preserve"> with IEPs aged 16 and above</w:t>
            </w:r>
          </w:p>
        </w:tc>
        <w:tc>
          <w:tcPr>
            <w:tcW w:w="636" w:type="pct"/>
            <w:shd w:val="clear" w:color="auto" w:fill="auto"/>
            <w:vAlign w:val="bottom"/>
          </w:tcPr>
          <w:p w14:paraId="77D0CB34" w14:textId="50A1AE13" w:rsidR="00B1652C" w:rsidRPr="006D0A52" w:rsidRDefault="00B1652C" w:rsidP="00B1652C">
            <w:pPr>
              <w:jc w:val="center"/>
              <w:rPr>
                <w:rFonts w:cs="Arial"/>
                <w:b/>
                <w:bCs/>
                <w:color w:val="000000" w:themeColor="text1"/>
                <w:szCs w:val="16"/>
              </w:rPr>
            </w:pPr>
            <w:r w:rsidRPr="006D0A52">
              <w:rPr>
                <w:b/>
                <w:bCs/>
              </w:rPr>
              <w:t>FFY 2021 Data</w:t>
            </w:r>
          </w:p>
        </w:tc>
        <w:tc>
          <w:tcPr>
            <w:tcW w:w="958" w:type="pct"/>
            <w:shd w:val="clear" w:color="auto" w:fill="auto"/>
            <w:vAlign w:val="bottom"/>
          </w:tcPr>
          <w:p w14:paraId="0E375E75" w14:textId="65A0019E" w:rsidR="00B1652C" w:rsidRPr="006D0A52" w:rsidRDefault="00B1652C" w:rsidP="00B1652C">
            <w:pPr>
              <w:jc w:val="center"/>
              <w:rPr>
                <w:rFonts w:cs="Arial"/>
                <w:b/>
                <w:bCs/>
                <w:color w:val="000000" w:themeColor="text1"/>
                <w:szCs w:val="16"/>
              </w:rPr>
            </w:pPr>
            <w:r w:rsidRPr="006D0A52">
              <w:rPr>
                <w:b/>
                <w:bCs/>
              </w:rPr>
              <w:t>FFY 2022 Target</w:t>
            </w:r>
          </w:p>
        </w:tc>
        <w:tc>
          <w:tcPr>
            <w:tcW w:w="571" w:type="pct"/>
            <w:shd w:val="clear" w:color="auto" w:fill="auto"/>
            <w:vAlign w:val="bottom"/>
          </w:tcPr>
          <w:p w14:paraId="58CCB0C1" w14:textId="466AE7C2" w:rsidR="00B1652C" w:rsidRPr="006D0A52" w:rsidRDefault="00B1652C" w:rsidP="00B1652C">
            <w:pPr>
              <w:jc w:val="center"/>
              <w:rPr>
                <w:rFonts w:cs="Arial"/>
                <w:b/>
                <w:bCs/>
                <w:color w:val="000000" w:themeColor="text1"/>
                <w:szCs w:val="16"/>
              </w:rPr>
            </w:pPr>
            <w:r w:rsidRPr="006D0A52">
              <w:rPr>
                <w:b/>
                <w:bCs/>
              </w:rPr>
              <w:t>FFY 2022 Data</w:t>
            </w:r>
          </w:p>
        </w:tc>
        <w:tc>
          <w:tcPr>
            <w:tcW w:w="728" w:type="pct"/>
            <w:shd w:val="clear" w:color="auto" w:fill="auto"/>
            <w:vAlign w:val="bottom"/>
          </w:tcPr>
          <w:p w14:paraId="3A7C3260" w14:textId="5AACBA6E" w:rsidR="00B1652C" w:rsidRPr="00781112" w:rsidRDefault="00B1652C" w:rsidP="00B1652C">
            <w:pPr>
              <w:jc w:val="center"/>
              <w:rPr>
                <w:rFonts w:cs="Arial"/>
                <w:b/>
                <w:color w:val="000000" w:themeColor="text1"/>
                <w:szCs w:val="16"/>
              </w:rPr>
            </w:pPr>
            <w:r w:rsidRPr="00781112">
              <w:rPr>
                <w:rFonts w:cs="Arial"/>
                <w:b/>
                <w:color w:val="000000" w:themeColor="text1"/>
                <w:szCs w:val="16"/>
              </w:rPr>
              <w:t>Status</w:t>
            </w:r>
          </w:p>
        </w:tc>
        <w:tc>
          <w:tcPr>
            <w:tcW w:w="704" w:type="pct"/>
            <w:shd w:val="clear" w:color="auto" w:fill="auto"/>
            <w:vAlign w:val="bottom"/>
          </w:tcPr>
          <w:p w14:paraId="34FABCEB" w14:textId="119B0EB2" w:rsidR="00B1652C" w:rsidRPr="00781112" w:rsidRDefault="00B1652C" w:rsidP="00B1652C">
            <w:pPr>
              <w:jc w:val="center"/>
              <w:rPr>
                <w:rFonts w:cs="Arial"/>
                <w:b/>
                <w:color w:val="000000" w:themeColor="text1"/>
                <w:szCs w:val="16"/>
              </w:rPr>
            </w:pPr>
            <w:r w:rsidRPr="00781112">
              <w:rPr>
                <w:rFonts w:cs="Arial"/>
                <w:b/>
                <w:color w:val="000000" w:themeColor="text1"/>
                <w:szCs w:val="16"/>
              </w:rPr>
              <w:t>Slippage</w:t>
            </w:r>
          </w:p>
        </w:tc>
      </w:tr>
      <w:tr w:rsidR="005C29F8" w:rsidRPr="00781112" w14:paraId="18CC159D" w14:textId="122E5ABE" w:rsidTr="00A947D9">
        <w:trPr>
          <w:trHeight w:val="361"/>
        </w:trPr>
        <w:tc>
          <w:tcPr>
            <w:tcW w:w="710" w:type="pct"/>
            <w:shd w:val="clear" w:color="auto" w:fill="auto"/>
            <w:vAlign w:val="center"/>
          </w:tcPr>
          <w:p w14:paraId="55912D09" w14:textId="371B119A" w:rsidR="00070D9E" w:rsidRPr="00781112" w:rsidRDefault="002B7490" w:rsidP="004369B2">
            <w:pPr>
              <w:jc w:val="center"/>
              <w:rPr>
                <w:rFonts w:cs="Arial"/>
                <w:color w:val="000000" w:themeColor="text1"/>
                <w:szCs w:val="16"/>
              </w:rPr>
            </w:pPr>
            <w:r w:rsidRPr="00781112">
              <w:rPr>
                <w:rFonts w:cs="Arial"/>
                <w:color w:val="000000" w:themeColor="text1"/>
                <w:szCs w:val="16"/>
              </w:rPr>
              <w:t>435</w:t>
            </w:r>
          </w:p>
        </w:tc>
        <w:tc>
          <w:tcPr>
            <w:tcW w:w="694" w:type="pct"/>
            <w:shd w:val="clear" w:color="auto" w:fill="auto"/>
            <w:vAlign w:val="center"/>
          </w:tcPr>
          <w:p w14:paraId="3D798FB5" w14:textId="3B2AC314" w:rsidR="00070D9E" w:rsidRPr="00781112" w:rsidRDefault="002B7490" w:rsidP="004369B2">
            <w:pPr>
              <w:jc w:val="center"/>
              <w:rPr>
                <w:rFonts w:cs="Arial"/>
                <w:color w:val="000000" w:themeColor="text1"/>
                <w:szCs w:val="16"/>
              </w:rPr>
            </w:pPr>
            <w:r w:rsidRPr="00781112">
              <w:rPr>
                <w:rFonts w:cs="Arial"/>
                <w:color w:val="000000" w:themeColor="text1"/>
                <w:szCs w:val="16"/>
              </w:rPr>
              <w:t>447</w:t>
            </w:r>
          </w:p>
        </w:tc>
        <w:tc>
          <w:tcPr>
            <w:tcW w:w="636" w:type="pct"/>
            <w:shd w:val="clear" w:color="auto" w:fill="auto"/>
            <w:vAlign w:val="center"/>
          </w:tcPr>
          <w:p w14:paraId="36E1BD35" w14:textId="4F5BD8EB" w:rsidR="00070D9E" w:rsidRPr="00781112" w:rsidRDefault="002B7490" w:rsidP="004369B2">
            <w:pPr>
              <w:jc w:val="center"/>
              <w:rPr>
                <w:rFonts w:cs="Arial"/>
                <w:color w:val="000000" w:themeColor="text1"/>
                <w:szCs w:val="16"/>
              </w:rPr>
            </w:pPr>
            <w:r w:rsidRPr="00781112">
              <w:rPr>
                <w:rFonts w:cs="Arial"/>
                <w:color w:val="000000" w:themeColor="text1"/>
                <w:szCs w:val="16"/>
              </w:rPr>
              <w:t>98.20%</w:t>
            </w:r>
          </w:p>
        </w:tc>
        <w:tc>
          <w:tcPr>
            <w:tcW w:w="958" w:type="pct"/>
            <w:shd w:val="clear" w:color="auto" w:fill="auto"/>
            <w:vAlign w:val="center"/>
          </w:tcPr>
          <w:p w14:paraId="20E5284B" w14:textId="1FE0CF32" w:rsidR="00070D9E" w:rsidRPr="00781112" w:rsidRDefault="00B16A26" w:rsidP="004369B2">
            <w:pPr>
              <w:jc w:val="center"/>
              <w:rPr>
                <w:rFonts w:cs="Arial"/>
                <w:color w:val="000000" w:themeColor="text1"/>
                <w:szCs w:val="16"/>
              </w:rPr>
            </w:pPr>
            <w:r w:rsidRPr="00781112">
              <w:rPr>
                <w:rFonts w:cs="Arial"/>
                <w:color w:val="000000" w:themeColor="text1"/>
                <w:szCs w:val="16"/>
              </w:rPr>
              <w:t>100%</w:t>
            </w:r>
          </w:p>
        </w:tc>
        <w:tc>
          <w:tcPr>
            <w:tcW w:w="571" w:type="pct"/>
            <w:shd w:val="clear" w:color="auto" w:fill="auto"/>
            <w:vAlign w:val="center"/>
          </w:tcPr>
          <w:p w14:paraId="55A387E5" w14:textId="6321743C" w:rsidR="00070D9E" w:rsidRPr="00781112" w:rsidRDefault="002B7490" w:rsidP="004369B2">
            <w:pPr>
              <w:jc w:val="center"/>
              <w:rPr>
                <w:rFonts w:cs="Arial"/>
                <w:color w:val="000000" w:themeColor="text1"/>
                <w:szCs w:val="16"/>
              </w:rPr>
            </w:pPr>
            <w:r w:rsidRPr="00781112">
              <w:rPr>
                <w:rFonts w:cs="Arial"/>
                <w:color w:val="000000" w:themeColor="text1"/>
                <w:szCs w:val="16"/>
              </w:rPr>
              <w:t>97.32%</w:t>
            </w:r>
          </w:p>
        </w:tc>
        <w:tc>
          <w:tcPr>
            <w:tcW w:w="728" w:type="pct"/>
            <w:shd w:val="clear" w:color="auto" w:fill="auto"/>
            <w:vAlign w:val="center"/>
          </w:tcPr>
          <w:p w14:paraId="66968C5A" w14:textId="493EB054" w:rsidR="00070D9E" w:rsidRPr="00781112" w:rsidRDefault="002B7490" w:rsidP="004369B2">
            <w:pPr>
              <w:jc w:val="center"/>
              <w:rPr>
                <w:rFonts w:cs="Arial"/>
                <w:color w:val="000000" w:themeColor="text1"/>
                <w:szCs w:val="16"/>
              </w:rPr>
            </w:pPr>
            <w:r w:rsidRPr="00781112">
              <w:rPr>
                <w:rFonts w:cs="Arial"/>
                <w:color w:val="000000" w:themeColor="text1"/>
                <w:szCs w:val="16"/>
              </w:rPr>
              <w:t>Did not meet target</w:t>
            </w:r>
          </w:p>
        </w:tc>
        <w:tc>
          <w:tcPr>
            <w:tcW w:w="704" w:type="pct"/>
            <w:shd w:val="clear" w:color="auto" w:fill="auto"/>
            <w:vAlign w:val="center"/>
          </w:tcPr>
          <w:p w14:paraId="175BD68F" w14:textId="534B9E4D" w:rsidR="00070D9E" w:rsidRPr="00781112" w:rsidRDefault="002B7490" w:rsidP="004369B2">
            <w:pPr>
              <w:jc w:val="center"/>
              <w:rPr>
                <w:rFonts w:cs="Arial"/>
                <w:color w:val="000000" w:themeColor="text1"/>
                <w:szCs w:val="16"/>
              </w:rPr>
            </w:pPr>
            <w:r w:rsidRPr="00781112">
              <w:rPr>
                <w:rFonts w:cs="Arial"/>
                <w:color w:val="000000" w:themeColor="text1"/>
                <w:szCs w:val="16"/>
              </w:rPr>
              <w:t>No Slippage</w:t>
            </w:r>
          </w:p>
        </w:tc>
      </w:tr>
    </w:tbl>
    <w:p w14:paraId="01C32496" w14:textId="77777777" w:rsidR="00A5601C" w:rsidRPr="00781112" w:rsidRDefault="00070D9E">
      <w:pPr>
        <w:rPr>
          <w:b/>
          <w:color w:val="000000" w:themeColor="text1"/>
        </w:rPr>
      </w:pPr>
      <w:r w:rsidRPr="00781112">
        <w:rPr>
          <w:b/>
          <w:color w:val="000000" w:themeColor="text1"/>
        </w:rPr>
        <w:lastRenderedPageBreak/>
        <w:t xml:space="preserve">What is the source of the data provided for this indicator? </w:t>
      </w:r>
    </w:p>
    <w:p w14:paraId="2BFF05E7" w14:textId="7BFBE390" w:rsidR="00070D9E" w:rsidRPr="00781112" w:rsidRDefault="002B7490" w:rsidP="004369B2">
      <w:pPr>
        <w:rPr>
          <w:iCs/>
          <w:color w:val="000000" w:themeColor="text1"/>
        </w:rPr>
      </w:pPr>
      <w:r w:rsidRPr="00781112">
        <w:rPr>
          <w:iCs/>
          <w:color w:val="000000" w:themeColor="text1"/>
        </w:rPr>
        <w:t>State monitoring</w:t>
      </w:r>
    </w:p>
    <w:p w14:paraId="68493AF0" w14:textId="77777777" w:rsidR="00070D9E" w:rsidRPr="00781112" w:rsidRDefault="00070D9E" w:rsidP="004369B2">
      <w:pPr>
        <w:rPr>
          <w:b/>
          <w:color w:val="000000" w:themeColor="text1"/>
        </w:rPr>
      </w:pPr>
      <w:r w:rsidRPr="00781112">
        <w:rPr>
          <w:b/>
          <w:color w:val="000000" w:themeColor="text1"/>
        </w:rPr>
        <w:t xml:space="preserve">Describe the method used to collect these data, and if data are from the State’s monitoring, describe the procedures used to collect these data. </w:t>
      </w:r>
    </w:p>
    <w:p w14:paraId="22E8774A" w14:textId="46B4955A" w:rsidR="00326C0B" w:rsidRPr="00781112" w:rsidRDefault="002B7490" w:rsidP="008E31C4">
      <w:pPr>
        <w:rPr>
          <w:rFonts w:cs="Arial"/>
          <w:color w:val="000000" w:themeColor="text1"/>
          <w:szCs w:val="16"/>
        </w:rPr>
      </w:pPr>
      <w:r w:rsidRPr="00781112">
        <w:rPr>
          <w:rFonts w:cs="Arial"/>
          <w:color w:val="000000" w:themeColor="text1"/>
          <w:szCs w:val="16"/>
        </w:rPr>
        <w:t xml:space="preserve">Annually, CDE conducts review of transition IEPs by tasking all AUs to self-audit their transition IEPs independently and by conducting collaborative face-to-face or virtual transition IEP reviews in partnership with AUs. Prior to the school year, CDE randomly selects students of transition age for AUs to review. AUs are assigned </w:t>
      </w:r>
      <w:proofErr w:type="gramStart"/>
      <w:r w:rsidRPr="00781112">
        <w:rPr>
          <w:rFonts w:cs="Arial"/>
          <w:color w:val="000000" w:themeColor="text1"/>
          <w:szCs w:val="16"/>
        </w:rPr>
        <w:t>a number of</w:t>
      </w:r>
      <w:proofErr w:type="gramEnd"/>
      <w:r w:rsidRPr="00781112">
        <w:rPr>
          <w:rFonts w:cs="Arial"/>
          <w:color w:val="000000" w:themeColor="text1"/>
          <w:szCs w:val="16"/>
        </w:rPr>
        <w:t xml:space="preserve"> IEPs to review which range between 5 and 10, depending on the student population size in the AU. AUs are required to self-review the selected IEPs by a due date within the Data Management System (DMS).  The DMS prompts teams to review the transition IEPs using a state record review protocol designed from NTACT’s Indicator 13 review checklist. AUs are required to conduct the transition IEP reviews in partnership with CDE rather than self-reviewing when AUs are in the following circumstances:</w:t>
      </w:r>
      <w:r w:rsidRPr="00781112">
        <w:rPr>
          <w:rFonts w:cs="Arial"/>
          <w:color w:val="000000" w:themeColor="text1"/>
          <w:szCs w:val="16"/>
        </w:rPr>
        <w:br/>
        <w:t>1. New AUs are required to participate in side-by-side Indicator 13 IEP reviews in the first year they are established.</w:t>
      </w:r>
      <w:r w:rsidRPr="00781112">
        <w:rPr>
          <w:rFonts w:cs="Arial"/>
          <w:color w:val="000000" w:themeColor="text1"/>
          <w:szCs w:val="16"/>
        </w:rPr>
        <w:br/>
        <w:t xml:space="preserve">2. AUs who self-report less than 100% compliance for Indicator 13 </w:t>
      </w:r>
      <w:proofErr w:type="gramStart"/>
      <w:r w:rsidRPr="00781112">
        <w:rPr>
          <w:rFonts w:cs="Arial"/>
          <w:color w:val="000000" w:themeColor="text1"/>
          <w:szCs w:val="16"/>
        </w:rPr>
        <w:t>in a given year</w:t>
      </w:r>
      <w:proofErr w:type="gramEnd"/>
      <w:r w:rsidRPr="00781112">
        <w:rPr>
          <w:rFonts w:cs="Arial"/>
          <w:color w:val="000000" w:themeColor="text1"/>
          <w:szCs w:val="16"/>
        </w:rPr>
        <w:t xml:space="preserve"> are required to participate in side-by-side reviews the following year.</w:t>
      </w:r>
      <w:r w:rsidRPr="00781112">
        <w:rPr>
          <w:rFonts w:cs="Arial"/>
          <w:color w:val="000000" w:themeColor="text1"/>
          <w:szCs w:val="16"/>
        </w:rPr>
        <w:br/>
        <w:t>3. AUs who continue to report less than 100% compliance during a side-by-side review</w:t>
      </w:r>
      <w:r w:rsidRPr="00781112">
        <w:rPr>
          <w:rFonts w:cs="Arial"/>
          <w:color w:val="000000" w:themeColor="text1"/>
          <w:szCs w:val="16"/>
        </w:rPr>
        <w:br/>
        <w:t>4. AUs who are selected to participate in the general supervision/monitoring visits are required to participate in side-by-side reviews.</w:t>
      </w:r>
      <w:r w:rsidRPr="00781112">
        <w:rPr>
          <w:rFonts w:cs="Arial"/>
          <w:color w:val="000000" w:themeColor="text1"/>
          <w:szCs w:val="16"/>
        </w:rPr>
        <w:br/>
        <w:t>All transition IEP review results are compiled on the due date to determine the level of state and each AU compliance with Indicator 13.</w:t>
      </w:r>
    </w:p>
    <w:tbl>
      <w:tblPr>
        <w:tblStyle w:val="TableGrid"/>
        <w:tblW w:w="5000" w:type="pct"/>
        <w:tblLook w:val="04A0" w:firstRow="1" w:lastRow="0" w:firstColumn="1" w:lastColumn="0" w:noHBand="0" w:noVBand="1"/>
        <w:tblCaption w:val="B13CFFYCOLLECT"/>
      </w:tblPr>
      <w:tblGrid>
        <w:gridCol w:w="8503"/>
        <w:gridCol w:w="2287"/>
      </w:tblGrid>
      <w:tr w:rsidR="005C29F8" w:rsidRPr="00781112" w14:paraId="366D2592" w14:textId="77777777" w:rsidTr="0033429D">
        <w:trPr>
          <w:tblHeader/>
        </w:trPr>
        <w:tc>
          <w:tcPr>
            <w:tcW w:w="3940" w:type="pct"/>
          </w:tcPr>
          <w:p w14:paraId="49221B81" w14:textId="4811C153" w:rsidR="006B4D98" w:rsidRPr="00781112" w:rsidRDefault="00694A39" w:rsidP="005F442C">
            <w:pPr>
              <w:rPr>
                <w:rFonts w:cs="Arial"/>
                <w:b/>
                <w:bCs/>
                <w:color w:val="000000" w:themeColor="text1"/>
                <w:szCs w:val="16"/>
              </w:rPr>
            </w:pPr>
            <w:r w:rsidRPr="00781112">
              <w:rPr>
                <w:rFonts w:cs="Arial"/>
                <w:b/>
                <w:bCs/>
                <w:color w:val="000000" w:themeColor="text1"/>
                <w:szCs w:val="16"/>
              </w:rPr>
              <w:t>Question</w:t>
            </w:r>
          </w:p>
        </w:tc>
        <w:tc>
          <w:tcPr>
            <w:tcW w:w="1060" w:type="pct"/>
          </w:tcPr>
          <w:p w14:paraId="3C85F11D" w14:textId="67F200AD" w:rsidR="006B4D98" w:rsidRPr="00781112" w:rsidRDefault="006B4D98" w:rsidP="001011BB">
            <w:pPr>
              <w:jc w:val="center"/>
              <w:rPr>
                <w:rFonts w:cs="Arial"/>
                <w:b/>
                <w:color w:val="000000" w:themeColor="text1"/>
                <w:szCs w:val="16"/>
              </w:rPr>
            </w:pPr>
            <w:r w:rsidRPr="00781112">
              <w:rPr>
                <w:rFonts w:cs="Arial"/>
                <w:b/>
                <w:color w:val="000000" w:themeColor="text1"/>
                <w:szCs w:val="16"/>
              </w:rPr>
              <w:t>Yes / No</w:t>
            </w:r>
          </w:p>
        </w:tc>
      </w:tr>
      <w:tr w:rsidR="005C29F8" w:rsidRPr="00781112" w14:paraId="43EAB126" w14:textId="25879D68" w:rsidTr="00A947D9">
        <w:tc>
          <w:tcPr>
            <w:tcW w:w="3940" w:type="pct"/>
          </w:tcPr>
          <w:p w14:paraId="48B431E3" w14:textId="55B03061" w:rsidR="006B4D98" w:rsidRPr="00781112" w:rsidRDefault="006B4D98" w:rsidP="005F442C">
            <w:pPr>
              <w:rPr>
                <w:rFonts w:cs="Arial"/>
                <w:color w:val="000000" w:themeColor="text1"/>
                <w:szCs w:val="16"/>
              </w:rPr>
            </w:pPr>
            <w:r w:rsidRPr="00781112">
              <w:rPr>
                <w:rFonts w:cs="Arial"/>
                <w:color w:val="000000" w:themeColor="text1"/>
                <w:szCs w:val="16"/>
              </w:rPr>
              <w:t xml:space="preserve">Do the State’s policies and procedures provide that public agencies must meet these requirements at an age younger than 16? </w:t>
            </w:r>
          </w:p>
        </w:tc>
        <w:tc>
          <w:tcPr>
            <w:tcW w:w="1060" w:type="pct"/>
          </w:tcPr>
          <w:p w14:paraId="15F6D513" w14:textId="633CDBEB" w:rsidR="006B4D98" w:rsidRPr="00781112" w:rsidRDefault="002B7490" w:rsidP="00A018D4">
            <w:pPr>
              <w:jc w:val="center"/>
              <w:rPr>
                <w:rFonts w:cs="Arial"/>
                <w:color w:val="000000" w:themeColor="text1"/>
                <w:szCs w:val="16"/>
              </w:rPr>
            </w:pPr>
            <w:r w:rsidRPr="00781112">
              <w:rPr>
                <w:rFonts w:cs="Arial"/>
                <w:color w:val="000000" w:themeColor="text1"/>
                <w:szCs w:val="16"/>
              </w:rPr>
              <w:t>YES</w:t>
            </w:r>
          </w:p>
        </w:tc>
      </w:tr>
      <w:tr w:rsidR="005C29F8" w:rsidRPr="00781112" w14:paraId="5A1B7304" w14:textId="62E0E544" w:rsidTr="00A947D9">
        <w:tc>
          <w:tcPr>
            <w:tcW w:w="3940" w:type="pct"/>
          </w:tcPr>
          <w:p w14:paraId="73B3F719" w14:textId="0391FF91" w:rsidR="006B4D98" w:rsidRPr="00781112" w:rsidRDefault="00AF30E8">
            <w:pPr>
              <w:rPr>
                <w:rFonts w:cs="Arial"/>
                <w:color w:val="000000" w:themeColor="text1"/>
                <w:szCs w:val="16"/>
              </w:rPr>
            </w:pPr>
            <w:r w:rsidRPr="00781112">
              <w:rPr>
                <w:rFonts w:cs="Arial"/>
                <w:color w:val="000000" w:themeColor="text1"/>
                <w:szCs w:val="16"/>
              </w:rPr>
              <w:t>If yes, did the State choose to include youth at an age younger than 16 in its data for this indicator and ensure that its baseline data are based on youth beginning at that younger age?</w:t>
            </w:r>
          </w:p>
        </w:tc>
        <w:tc>
          <w:tcPr>
            <w:tcW w:w="1060" w:type="pct"/>
          </w:tcPr>
          <w:p w14:paraId="27A80519" w14:textId="1C51858B" w:rsidR="006B4D98" w:rsidRPr="00781112" w:rsidRDefault="002B7490" w:rsidP="00A018D4">
            <w:pPr>
              <w:jc w:val="center"/>
              <w:rPr>
                <w:rFonts w:cs="Arial"/>
                <w:color w:val="000000" w:themeColor="text1"/>
                <w:szCs w:val="16"/>
              </w:rPr>
            </w:pPr>
            <w:r w:rsidRPr="00781112">
              <w:rPr>
                <w:rFonts w:cs="Arial"/>
                <w:color w:val="000000" w:themeColor="text1"/>
                <w:szCs w:val="16"/>
              </w:rPr>
              <w:t>YES</w:t>
            </w:r>
          </w:p>
        </w:tc>
      </w:tr>
      <w:tr w:rsidR="005C29F8" w:rsidRPr="00781112" w14:paraId="5B31049E" w14:textId="650E5040" w:rsidTr="0033429D">
        <w:tc>
          <w:tcPr>
            <w:tcW w:w="3940" w:type="pct"/>
          </w:tcPr>
          <w:p w14:paraId="33799AB6" w14:textId="30C1CDE0" w:rsidR="00212954" w:rsidRPr="00781112" w:rsidRDefault="00212954">
            <w:pPr>
              <w:rPr>
                <w:rFonts w:cs="Arial"/>
                <w:color w:val="000000" w:themeColor="text1"/>
                <w:szCs w:val="16"/>
              </w:rPr>
            </w:pPr>
            <w:r w:rsidRPr="00781112">
              <w:rPr>
                <w:rFonts w:cs="Arial"/>
                <w:color w:val="000000" w:themeColor="text1"/>
                <w:szCs w:val="16"/>
              </w:rPr>
              <w:t>If yes, at what age are youth included in the data for this indicator</w:t>
            </w:r>
          </w:p>
        </w:tc>
        <w:tc>
          <w:tcPr>
            <w:tcW w:w="1060" w:type="pct"/>
          </w:tcPr>
          <w:p w14:paraId="7129A3DA" w14:textId="2111F324" w:rsidR="00212954" w:rsidRPr="00781112" w:rsidRDefault="002B7490" w:rsidP="00A018D4">
            <w:pPr>
              <w:jc w:val="center"/>
              <w:rPr>
                <w:rFonts w:cs="Arial"/>
                <w:color w:val="000000" w:themeColor="text1"/>
                <w:szCs w:val="16"/>
              </w:rPr>
            </w:pPr>
            <w:r w:rsidRPr="00781112">
              <w:rPr>
                <w:rFonts w:cs="Arial"/>
                <w:color w:val="000000" w:themeColor="text1"/>
                <w:szCs w:val="16"/>
              </w:rPr>
              <w:t>15</w:t>
            </w:r>
          </w:p>
        </w:tc>
      </w:tr>
    </w:tbl>
    <w:p w14:paraId="735DB55A" w14:textId="18C77FF1" w:rsidR="00644AC8" w:rsidRPr="00781112" w:rsidRDefault="00644AC8" w:rsidP="005F442C">
      <w:pPr>
        <w:rPr>
          <w:rFonts w:cs="Arial"/>
          <w:b/>
          <w:color w:val="000000" w:themeColor="text1"/>
          <w:szCs w:val="16"/>
        </w:rPr>
      </w:pPr>
      <w:bookmarkStart w:id="84" w:name="_Toc392159335"/>
      <w:r w:rsidRPr="00781112">
        <w:rPr>
          <w:rFonts w:cs="Arial"/>
          <w:b/>
          <w:color w:val="000000" w:themeColor="text1"/>
          <w:szCs w:val="16"/>
        </w:rPr>
        <w:t>Provide additional information about this indicator (optional)</w:t>
      </w:r>
    </w:p>
    <w:p w14:paraId="2F22AC76" w14:textId="5FF8D00A" w:rsidR="00326C0B" w:rsidRPr="00781112" w:rsidRDefault="00326C0B" w:rsidP="007D435F">
      <w:pPr>
        <w:rPr>
          <w:rFonts w:cs="Arial"/>
          <w:color w:val="000000" w:themeColor="text1"/>
          <w:szCs w:val="16"/>
        </w:rPr>
      </w:pPr>
    </w:p>
    <w:p w14:paraId="1F3D4141" w14:textId="77777777" w:rsidR="00AF12E4" w:rsidRPr="00781112" w:rsidRDefault="00AF12E4" w:rsidP="004369B2">
      <w:pPr>
        <w:rPr>
          <w:color w:val="000000" w:themeColor="text1"/>
        </w:rPr>
      </w:pPr>
    </w:p>
    <w:p w14:paraId="37C34CDA" w14:textId="0E49E3C2" w:rsidR="009A755E" w:rsidRPr="00781112" w:rsidRDefault="00450F98" w:rsidP="004369B2">
      <w:pPr>
        <w:rPr>
          <w:color w:val="000000" w:themeColor="text1"/>
        </w:rPr>
      </w:pPr>
      <w:r>
        <w:rPr>
          <w:b/>
          <w:color w:val="000000" w:themeColor="text1"/>
        </w:rPr>
        <w:t>Correction of Findings of Noncompliance Identified in FFY 2021</w:t>
      </w:r>
    </w:p>
    <w:tbl>
      <w:tblPr>
        <w:tblStyle w:val="TableGrid"/>
        <w:tblW w:w="5000" w:type="pct"/>
        <w:tblLook w:val="04A0" w:firstRow="1" w:lastRow="0" w:firstColumn="1" w:lastColumn="0" w:noHBand="0" w:noVBand="1"/>
        <w:tblCaption w:val="B13PFFYNCFINDINGS"/>
      </w:tblPr>
      <w:tblGrid>
        <w:gridCol w:w="2650"/>
        <w:gridCol w:w="2780"/>
        <w:gridCol w:w="2656"/>
        <w:gridCol w:w="2704"/>
      </w:tblGrid>
      <w:tr w:rsidR="005C29F8" w:rsidRPr="00781112" w14:paraId="6C308319" w14:textId="77777777" w:rsidTr="00A947D9">
        <w:trPr>
          <w:trHeight w:val="389"/>
          <w:tblHeader/>
        </w:trPr>
        <w:tc>
          <w:tcPr>
            <w:tcW w:w="1228" w:type="pct"/>
            <w:shd w:val="clear" w:color="auto" w:fill="auto"/>
            <w:vAlign w:val="bottom"/>
          </w:tcPr>
          <w:p w14:paraId="5A6805D6" w14:textId="77777777" w:rsidR="009A755E" w:rsidRPr="00781112" w:rsidRDefault="009A755E" w:rsidP="009A755E">
            <w:pPr>
              <w:jc w:val="center"/>
              <w:rPr>
                <w:rFonts w:cs="Arial"/>
                <w:b/>
                <w:color w:val="000000" w:themeColor="text1"/>
                <w:szCs w:val="16"/>
              </w:rPr>
            </w:pPr>
            <w:r w:rsidRPr="00781112">
              <w:rPr>
                <w:rFonts w:cs="Arial"/>
                <w:b/>
                <w:color w:val="000000" w:themeColor="text1"/>
                <w:szCs w:val="16"/>
              </w:rPr>
              <w:t>Findings of Noncompliance Identified</w:t>
            </w:r>
          </w:p>
        </w:tc>
        <w:tc>
          <w:tcPr>
            <w:tcW w:w="1288" w:type="pct"/>
            <w:shd w:val="clear" w:color="auto" w:fill="auto"/>
            <w:vAlign w:val="bottom"/>
          </w:tcPr>
          <w:p w14:paraId="63B4B6E3" w14:textId="77777777" w:rsidR="009A755E" w:rsidRPr="00781112" w:rsidRDefault="009A755E" w:rsidP="009A755E">
            <w:pPr>
              <w:jc w:val="center"/>
              <w:rPr>
                <w:rFonts w:cs="Arial"/>
                <w:b/>
                <w:color w:val="000000" w:themeColor="text1"/>
                <w:szCs w:val="16"/>
              </w:rPr>
            </w:pPr>
            <w:r w:rsidRPr="00781112">
              <w:rPr>
                <w:rFonts w:cs="Arial"/>
                <w:b/>
                <w:color w:val="000000" w:themeColor="text1"/>
                <w:szCs w:val="16"/>
              </w:rPr>
              <w:t>Findings of Noncompliance Verified as Corrected Within One Year</w:t>
            </w:r>
          </w:p>
        </w:tc>
        <w:tc>
          <w:tcPr>
            <w:tcW w:w="1231" w:type="pct"/>
            <w:shd w:val="clear" w:color="auto" w:fill="auto"/>
            <w:vAlign w:val="bottom"/>
          </w:tcPr>
          <w:p w14:paraId="26D8FBA2" w14:textId="77777777" w:rsidR="009A755E" w:rsidRPr="00781112" w:rsidRDefault="009A755E" w:rsidP="009A755E">
            <w:pPr>
              <w:jc w:val="center"/>
              <w:rPr>
                <w:rFonts w:cs="Arial"/>
                <w:b/>
                <w:color w:val="000000" w:themeColor="text1"/>
                <w:szCs w:val="16"/>
              </w:rPr>
            </w:pPr>
            <w:r w:rsidRPr="00781112">
              <w:rPr>
                <w:rFonts w:cs="Arial"/>
                <w:b/>
                <w:color w:val="000000" w:themeColor="text1"/>
                <w:szCs w:val="16"/>
              </w:rPr>
              <w:t>Findings of Noncompliance Subsequently Corrected</w:t>
            </w:r>
          </w:p>
        </w:tc>
        <w:tc>
          <w:tcPr>
            <w:tcW w:w="1254" w:type="pct"/>
            <w:shd w:val="clear" w:color="auto" w:fill="auto"/>
            <w:vAlign w:val="bottom"/>
          </w:tcPr>
          <w:p w14:paraId="6D3A2F2B" w14:textId="77777777" w:rsidR="009A755E" w:rsidRPr="00781112" w:rsidRDefault="009A755E" w:rsidP="009A755E">
            <w:pPr>
              <w:jc w:val="center"/>
              <w:rPr>
                <w:rFonts w:cs="Arial"/>
                <w:b/>
                <w:color w:val="000000" w:themeColor="text1"/>
                <w:szCs w:val="16"/>
              </w:rPr>
            </w:pPr>
            <w:r w:rsidRPr="00781112">
              <w:rPr>
                <w:rFonts w:cs="Arial"/>
                <w:b/>
                <w:color w:val="000000" w:themeColor="text1"/>
                <w:szCs w:val="16"/>
              </w:rPr>
              <w:t>Findings Not Yet Verified as Corrected</w:t>
            </w:r>
          </w:p>
        </w:tc>
      </w:tr>
      <w:tr w:rsidR="005C29F8" w:rsidRPr="00781112" w14:paraId="04582DC7" w14:textId="77777777" w:rsidTr="00A947D9">
        <w:tc>
          <w:tcPr>
            <w:tcW w:w="1228" w:type="pct"/>
            <w:shd w:val="clear" w:color="auto" w:fill="auto"/>
          </w:tcPr>
          <w:p w14:paraId="1C22474D" w14:textId="5ECD77A3" w:rsidR="009A755E" w:rsidRPr="00781112" w:rsidRDefault="002B7490" w:rsidP="004369B2">
            <w:pPr>
              <w:jc w:val="center"/>
              <w:rPr>
                <w:rFonts w:cs="Arial"/>
                <w:color w:val="000000" w:themeColor="text1"/>
                <w:szCs w:val="16"/>
              </w:rPr>
            </w:pPr>
            <w:r w:rsidRPr="00781112">
              <w:rPr>
                <w:rFonts w:cs="Arial"/>
                <w:color w:val="000000" w:themeColor="text1"/>
                <w:szCs w:val="16"/>
              </w:rPr>
              <w:t>5</w:t>
            </w:r>
          </w:p>
        </w:tc>
        <w:tc>
          <w:tcPr>
            <w:tcW w:w="1288" w:type="pct"/>
            <w:shd w:val="clear" w:color="auto" w:fill="auto"/>
          </w:tcPr>
          <w:p w14:paraId="6A161A21" w14:textId="698D820A" w:rsidR="009A755E" w:rsidRPr="00781112" w:rsidRDefault="002B7490" w:rsidP="004369B2">
            <w:pPr>
              <w:jc w:val="center"/>
              <w:rPr>
                <w:rFonts w:cs="Arial"/>
                <w:color w:val="000000" w:themeColor="text1"/>
                <w:szCs w:val="16"/>
              </w:rPr>
            </w:pPr>
            <w:r w:rsidRPr="00781112">
              <w:rPr>
                <w:rFonts w:cs="Arial"/>
                <w:color w:val="000000" w:themeColor="text1"/>
                <w:szCs w:val="16"/>
              </w:rPr>
              <w:t>3</w:t>
            </w:r>
          </w:p>
        </w:tc>
        <w:tc>
          <w:tcPr>
            <w:tcW w:w="1231" w:type="pct"/>
            <w:shd w:val="clear" w:color="auto" w:fill="auto"/>
          </w:tcPr>
          <w:p w14:paraId="6CF556ED" w14:textId="6BD64A21" w:rsidR="009A755E" w:rsidRPr="00781112" w:rsidRDefault="002B7490" w:rsidP="004369B2">
            <w:pPr>
              <w:jc w:val="center"/>
              <w:rPr>
                <w:rFonts w:cs="Arial"/>
                <w:color w:val="000000" w:themeColor="text1"/>
                <w:szCs w:val="16"/>
              </w:rPr>
            </w:pPr>
            <w:r w:rsidRPr="00781112">
              <w:rPr>
                <w:rFonts w:cs="Arial"/>
                <w:color w:val="000000" w:themeColor="text1"/>
                <w:szCs w:val="16"/>
              </w:rPr>
              <w:t>0</w:t>
            </w:r>
          </w:p>
        </w:tc>
        <w:tc>
          <w:tcPr>
            <w:tcW w:w="1254" w:type="pct"/>
            <w:shd w:val="clear" w:color="auto" w:fill="auto"/>
          </w:tcPr>
          <w:p w14:paraId="1B14B45E" w14:textId="6409289E" w:rsidR="009A755E" w:rsidRPr="00781112" w:rsidRDefault="002B7490" w:rsidP="004369B2">
            <w:pPr>
              <w:jc w:val="center"/>
              <w:rPr>
                <w:rFonts w:cs="Arial"/>
                <w:color w:val="000000" w:themeColor="text1"/>
                <w:szCs w:val="16"/>
              </w:rPr>
            </w:pPr>
            <w:r w:rsidRPr="00781112">
              <w:rPr>
                <w:rFonts w:cs="Arial"/>
                <w:color w:val="000000" w:themeColor="text1"/>
                <w:szCs w:val="16"/>
              </w:rPr>
              <w:t>2</w:t>
            </w:r>
          </w:p>
        </w:tc>
      </w:tr>
    </w:tbl>
    <w:p w14:paraId="45E0E48A" w14:textId="43B33AA1" w:rsidR="009A755E" w:rsidRPr="00781112" w:rsidRDefault="00450F98" w:rsidP="004369B2">
      <w:pPr>
        <w:rPr>
          <w:color w:val="000000" w:themeColor="text1"/>
        </w:rPr>
      </w:pPr>
      <w:r>
        <w:rPr>
          <w:b/>
          <w:color w:val="000000" w:themeColor="text1"/>
        </w:rPr>
        <w:t>FFY 2021 Findings of Noncompliance Verified as Corrected</w:t>
      </w:r>
    </w:p>
    <w:p w14:paraId="5FAC5347" w14:textId="3A1B8056" w:rsidR="009A755E" w:rsidRPr="00781112" w:rsidRDefault="009A755E" w:rsidP="009A755E">
      <w:pPr>
        <w:rPr>
          <w:rFonts w:cs="Arial"/>
          <w:b/>
          <w:color w:val="000000" w:themeColor="text1"/>
          <w:szCs w:val="16"/>
        </w:rPr>
      </w:pPr>
      <w:r w:rsidRPr="00781112">
        <w:rPr>
          <w:rFonts w:cs="Arial"/>
          <w:b/>
          <w:color w:val="000000" w:themeColor="text1"/>
          <w:szCs w:val="16"/>
        </w:rPr>
        <w:t xml:space="preserve">Describe how the State verified that the source of noncompliance is correctly implementing the </w:t>
      </w:r>
      <w:r w:rsidRPr="00781112">
        <w:rPr>
          <w:rFonts w:cs="Arial"/>
          <w:b/>
          <w:i/>
          <w:color w:val="000000" w:themeColor="text1"/>
          <w:szCs w:val="16"/>
        </w:rPr>
        <w:t>regulatory requirements</w:t>
      </w:r>
    </w:p>
    <w:p w14:paraId="7BD51D93" w14:textId="30292384" w:rsidR="00326C0B" w:rsidRPr="00781112" w:rsidRDefault="002B7490" w:rsidP="009A755E">
      <w:pPr>
        <w:rPr>
          <w:rFonts w:cs="Arial"/>
          <w:color w:val="000000" w:themeColor="text1"/>
          <w:szCs w:val="16"/>
        </w:rPr>
      </w:pPr>
      <w:r w:rsidRPr="00781112">
        <w:rPr>
          <w:rFonts w:cs="Arial"/>
          <w:color w:val="000000" w:themeColor="text1"/>
          <w:szCs w:val="16"/>
        </w:rPr>
        <w:t>To verify that the AUs who reported noncompliance for Indicator 13 were correctly implementing regulatory requirements related to Indicator 13, CDE’s Secondary Transition team in partnership with the AU special education team, conducted side-by-side compliance reviews of the required number of Transition IEPs during the 2021-2022 school year. The IEPs selected for this side-by-side compliance review were a different set of IEPs than the ones found noncompliant, in accordance with OSEP QA 23-01. These collaborative reviews were done virtually or in-person with the AU and involved reviewing and discussing each of the compliance elements of the IEP to build capacity and inter-rater reliability within the AU staff until the IEP met the compliance target of 100%. CDE verified that the IEPs reviewed were 100% compliant with the three of the five AUs where findings of noncompliance were verified as corrected within one year and recorded this data in the DMS. Two AUs had findings of noncompliance not yet verified as corrected and the actions taken are described below.</w:t>
      </w:r>
    </w:p>
    <w:p w14:paraId="580C3804" w14:textId="4C173B5C" w:rsidR="009A755E" w:rsidRPr="00781112" w:rsidRDefault="009A755E" w:rsidP="009A755E">
      <w:pPr>
        <w:rPr>
          <w:rFonts w:cs="Arial"/>
          <w:b/>
          <w:color w:val="000000" w:themeColor="text1"/>
          <w:szCs w:val="16"/>
        </w:rPr>
      </w:pPr>
      <w:r w:rsidRPr="00781112">
        <w:rPr>
          <w:rFonts w:cs="Arial"/>
          <w:b/>
          <w:color w:val="000000" w:themeColor="text1"/>
          <w:szCs w:val="16"/>
        </w:rPr>
        <w:t xml:space="preserve">Describe how the State verified that each </w:t>
      </w:r>
      <w:r w:rsidRPr="00781112">
        <w:rPr>
          <w:rFonts w:cs="Arial"/>
          <w:b/>
          <w:i/>
          <w:color w:val="000000" w:themeColor="text1"/>
          <w:szCs w:val="16"/>
        </w:rPr>
        <w:t>individual case</w:t>
      </w:r>
      <w:r w:rsidRPr="00781112">
        <w:rPr>
          <w:rFonts w:cs="Arial"/>
          <w:b/>
          <w:color w:val="000000" w:themeColor="text1"/>
          <w:szCs w:val="16"/>
        </w:rPr>
        <w:t xml:space="preserve"> of noncompliance was corrected</w:t>
      </w:r>
    </w:p>
    <w:p w14:paraId="3CC9D0C9" w14:textId="1A1AB4E7" w:rsidR="00326C0B" w:rsidRPr="00781112" w:rsidRDefault="002B7490" w:rsidP="009A755E">
      <w:pPr>
        <w:rPr>
          <w:rFonts w:cs="Arial"/>
          <w:color w:val="000000" w:themeColor="text1"/>
          <w:szCs w:val="16"/>
        </w:rPr>
      </w:pPr>
      <w:r w:rsidRPr="00781112">
        <w:rPr>
          <w:rFonts w:cs="Arial"/>
          <w:color w:val="000000" w:themeColor="text1"/>
          <w:szCs w:val="16"/>
        </w:rPr>
        <w:t>CDE ensured that each AU corrected all individual cases of noncompliance related to Indicator 13, unless the child was no longer within the jurisdiction of the AU, through the following process for each individual case of noncompliance:</w:t>
      </w:r>
      <w:r w:rsidRPr="00781112">
        <w:rPr>
          <w:rFonts w:cs="Arial"/>
          <w:color w:val="000000" w:themeColor="text1"/>
          <w:szCs w:val="16"/>
        </w:rPr>
        <w:br/>
      </w:r>
      <w:r w:rsidRPr="00781112">
        <w:rPr>
          <w:rFonts w:cs="Arial"/>
          <w:color w:val="000000" w:themeColor="text1"/>
          <w:szCs w:val="16"/>
        </w:rPr>
        <w:br/>
        <w:t xml:space="preserve">1.  AUs were provided a pre-populated indicator 13 Demonstration of Correction tracking form in the Data Management System, including the </w:t>
      </w:r>
      <w:proofErr w:type="gramStart"/>
      <w:r w:rsidRPr="00781112">
        <w:rPr>
          <w:rFonts w:cs="Arial"/>
          <w:color w:val="000000" w:themeColor="text1"/>
          <w:szCs w:val="16"/>
        </w:rPr>
        <w:t>student</w:t>
      </w:r>
      <w:proofErr w:type="gramEnd"/>
      <w:r w:rsidRPr="00781112">
        <w:rPr>
          <w:rFonts w:cs="Arial"/>
          <w:color w:val="000000" w:themeColor="text1"/>
          <w:szCs w:val="16"/>
        </w:rPr>
        <w:t xml:space="preserve"> name, IEP date, and reason for noncompliance.</w:t>
      </w:r>
      <w:r w:rsidRPr="00781112">
        <w:rPr>
          <w:rFonts w:cs="Arial"/>
          <w:color w:val="000000" w:themeColor="text1"/>
          <w:szCs w:val="16"/>
        </w:rPr>
        <w:br/>
        <w:t xml:space="preserve">2.  AUs determined the root cause of the noncompliance. </w:t>
      </w:r>
      <w:r w:rsidRPr="00781112">
        <w:rPr>
          <w:rFonts w:cs="Arial"/>
          <w:color w:val="000000" w:themeColor="text1"/>
          <w:szCs w:val="16"/>
        </w:rPr>
        <w:br/>
        <w:t xml:space="preserve">3.  AUs determined if each of the students was still in their jurisdiction: </w:t>
      </w:r>
      <w:r w:rsidRPr="00781112">
        <w:rPr>
          <w:rFonts w:cs="Arial"/>
          <w:color w:val="000000" w:themeColor="text1"/>
          <w:szCs w:val="16"/>
        </w:rPr>
        <w:br/>
        <w:t xml:space="preserve">     a.  If NO – no further correction was needed. </w:t>
      </w:r>
      <w:r w:rsidRPr="00781112">
        <w:rPr>
          <w:rFonts w:cs="Arial"/>
          <w:color w:val="000000" w:themeColor="text1"/>
          <w:szCs w:val="16"/>
        </w:rPr>
        <w:br/>
        <w:t xml:space="preserve">     b.  If YES – AUs uploaded the student’s current IEP into the DMS.</w:t>
      </w:r>
      <w:r w:rsidRPr="00781112">
        <w:rPr>
          <w:rFonts w:cs="Arial"/>
          <w:color w:val="000000" w:themeColor="text1"/>
          <w:szCs w:val="16"/>
        </w:rPr>
        <w:br/>
        <w:t xml:space="preserve">4.  AUs completed the IEP compliance record review of the student’s current IEP using the record review protocol in the DMS. </w:t>
      </w:r>
      <w:r w:rsidRPr="00781112">
        <w:rPr>
          <w:rFonts w:cs="Arial"/>
          <w:color w:val="000000" w:themeColor="text1"/>
          <w:szCs w:val="16"/>
        </w:rPr>
        <w:br/>
        <w:t xml:space="preserve">5.  AUs completed the tracking form in the DMS by recording the date the current IEP was reviewed and the reviewer’s name. </w:t>
      </w:r>
      <w:r w:rsidRPr="00781112">
        <w:rPr>
          <w:rFonts w:cs="Arial"/>
          <w:color w:val="000000" w:themeColor="text1"/>
          <w:szCs w:val="16"/>
        </w:rPr>
        <w:br/>
      </w:r>
      <w:r w:rsidRPr="00781112">
        <w:rPr>
          <w:rFonts w:cs="Arial"/>
          <w:color w:val="000000" w:themeColor="text1"/>
          <w:szCs w:val="16"/>
        </w:rPr>
        <w:br/>
        <w:t xml:space="preserve">CDE verified correction of each individual case of noncompliance via a desk audit process and confirmed the results to all five of the AUs where noncompliance was identified. </w:t>
      </w:r>
    </w:p>
    <w:p w14:paraId="00A491DA" w14:textId="4DDD1252" w:rsidR="009A755E" w:rsidRPr="00781112" w:rsidRDefault="00450F98" w:rsidP="004369B2">
      <w:pPr>
        <w:rPr>
          <w:color w:val="000000" w:themeColor="text1"/>
        </w:rPr>
      </w:pPr>
      <w:r>
        <w:rPr>
          <w:b/>
          <w:color w:val="000000" w:themeColor="text1"/>
        </w:rPr>
        <w:t>FFY 2021 Findings of Noncompliance Not Yet Verified as Corrected</w:t>
      </w:r>
    </w:p>
    <w:p w14:paraId="447C0C1F" w14:textId="77777777" w:rsidR="009A755E" w:rsidRPr="00781112" w:rsidRDefault="009A755E" w:rsidP="009A755E">
      <w:pPr>
        <w:rPr>
          <w:rFonts w:cs="Arial"/>
          <w:b/>
          <w:color w:val="000000" w:themeColor="text1"/>
          <w:szCs w:val="16"/>
        </w:rPr>
      </w:pPr>
      <w:r w:rsidRPr="00781112">
        <w:rPr>
          <w:rFonts w:cs="Arial"/>
          <w:b/>
          <w:color w:val="000000" w:themeColor="text1"/>
          <w:szCs w:val="16"/>
        </w:rPr>
        <w:t>Actions taken if noncompliance not corrected</w:t>
      </w:r>
    </w:p>
    <w:p w14:paraId="703DE59F" w14:textId="396EA4B0" w:rsidR="00326C0B" w:rsidRPr="00781112" w:rsidRDefault="002B7490" w:rsidP="009A755E">
      <w:pPr>
        <w:rPr>
          <w:rFonts w:cs="Arial"/>
          <w:color w:val="000000" w:themeColor="text1"/>
          <w:szCs w:val="16"/>
        </w:rPr>
      </w:pPr>
      <w:r w:rsidRPr="00781112">
        <w:rPr>
          <w:rFonts w:cs="Arial"/>
          <w:color w:val="000000" w:themeColor="text1"/>
          <w:szCs w:val="16"/>
        </w:rPr>
        <w:t xml:space="preserve">To verify that the two AUs who had findings not yet verified as corrected were correctly implementing regulatory requirements related to Indicator 13, each AU participated in mandatory customized professional development provided by CDE in the areas of secondary transition IEP development based on information obtained during the collaborative reviews during the 2022-2023 school year, as well as any other areas of need identified by CDE and the AU. Following the required professional development, CDE will conduct a review of updated data to ensure that the district is correctly implementing the specific regulatory requirements related to Indicator 13. For this review, CDE, in partnership with the AU team, will conduct collaborative side-by-side reviews of newly selected transition IEPs during SY 2023-2024. The State will report </w:t>
      </w:r>
      <w:proofErr w:type="gramStart"/>
      <w:r w:rsidRPr="00781112">
        <w:rPr>
          <w:rFonts w:cs="Arial"/>
          <w:color w:val="000000" w:themeColor="text1"/>
          <w:szCs w:val="16"/>
        </w:rPr>
        <w:t>results</w:t>
      </w:r>
      <w:proofErr w:type="gramEnd"/>
      <w:r w:rsidRPr="00781112">
        <w:rPr>
          <w:rFonts w:cs="Arial"/>
          <w:color w:val="000000" w:themeColor="text1"/>
          <w:szCs w:val="16"/>
        </w:rPr>
        <w:t xml:space="preserve"> of these actions in the FFY 2022 SPP/APR. If an AU continues to be noncompliant </w:t>
      </w:r>
      <w:proofErr w:type="gramStart"/>
      <w:r w:rsidRPr="00781112">
        <w:rPr>
          <w:rFonts w:cs="Arial"/>
          <w:color w:val="000000" w:themeColor="text1"/>
          <w:szCs w:val="16"/>
        </w:rPr>
        <w:t>for</w:t>
      </w:r>
      <w:proofErr w:type="gramEnd"/>
      <w:r w:rsidRPr="00781112">
        <w:rPr>
          <w:rFonts w:cs="Arial"/>
          <w:color w:val="000000" w:themeColor="text1"/>
          <w:szCs w:val="16"/>
        </w:rPr>
        <w:t xml:space="preserve"> this Indicator, additional monitoring activities, including a Corrective Action Plan, may be required. </w:t>
      </w:r>
    </w:p>
    <w:p w14:paraId="09CD9C74" w14:textId="77777777" w:rsidR="00A947D9" w:rsidRPr="00781112" w:rsidRDefault="00A947D9" w:rsidP="004369B2">
      <w:pPr>
        <w:rPr>
          <w:color w:val="000000" w:themeColor="text1"/>
        </w:rPr>
      </w:pPr>
    </w:p>
    <w:p w14:paraId="59FD8363" w14:textId="3514B9D8" w:rsidR="009A755E" w:rsidRPr="00781112" w:rsidRDefault="00450F98" w:rsidP="004369B2">
      <w:pPr>
        <w:rPr>
          <w:color w:val="000000" w:themeColor="text1"/>
        </w:rPr>
      </w:pPr>
      <w:r>
        <w:rPr>
          <w:b/>
          <w:color w:val="000000" w:themeColor="text1"/>
        </w:rPr>
        <w:t>Correction of Findings of Noncompliance Identified Prior to FFY 2021</w:t>
      </w:r>
    </w:p>
    <w:tbl>
      <w:tblPr>
        <w:tblStyle w:val="TableGrid"/>
        <w:tblW w:w="5000" w:type="pct"/>
        <w:tblLook w:val="04A0" w:firstRow="1" w:lastRow="0" w:firstColumn="1" w:lastColumn="0" w:noHBand="0" w:noVBand="1"/>
        <w:tblCaption w:val="B13PPFFYNCFINDINGS"/>
      </w:tblPr>
      <w:tblGrid>
        <w:gridCol w:w="2132"/>
        <w:gridCol w:w="3153"/>
        <w:gridCol w:w="2842"/>
        <w:gridCol w:w="2663"/>
      </w:tblGrid>
      <w:tr w:rsidR="005C29F8" w:rsidRPr="00781112" w14:paraId="1C8DDFE9" w14:textId="77777777" w:rsidTr="00A947D9">
        <w:trPr>
          <w:tblHeader/>
        </w:trPr>
        <w:tc>
          <w:tcPr>
            <w:tcW w:w="988" w:type="pct"/>
            <w:shd w:val="clear" w:color="auto" w:fill="auto"/>
            <w:vAlign w:val="bottom"/>
          </w:tcPr>
          <w:p w14:paraId="6DA65F9A" w14:textId="186CEF16" w:rsidR="009A755E" w:rsidRPr="00781112" w:rsidRDefault="003A4027" w:rsidP="009A755E">
            <w:pPr>
              <w:jc w:val="center"/>
              <w:rPr>
                <w:rFonts w:cs="Arial"/>
                <w:b/>
                <w:color w:val="000000" w:themeColor="text1"/>
                <w:szCs w:val="16"/>
              </w:rPr>
            </w:pPr>
            <w:r w:rsidRPr="00781112">
              <w:rPr>
                <w:rFonts w:cs="Arial"/>
                <w:b/>
                <w:color w:val="000000" w:themeColor="text1"/>
                <w:szCs w:val="16"/>
              </w:rPr>
              <w:lastRenderedPageBreak/>
              <w:t>Year Findings of Noncompliance Were Identified</w:t>
            </w:r>
          </w:p>
        </w:tc>
        <w:tc>
          <w:tcPr>
            <w:tcW w:w="1461" w:type="pct"/>
            <w:shd w:val="clear" w:color="auto" w:fill="auto"/>
            <w:vAlign w:val="bottom"/>
          </w:tcPr>
          <w:p w14:paraId="22AE93B4" w14:textId="772A5614" w:rsidR="009A755E" w:rsidRPr="00781112" w:rsidRDefault="00450F98" w:rsidP="009A755E">
            <w:pPr>
              <w:jc w:val="center"/>
              <w:rPr>
                <w:rFonts w:cs="Arial"/>
                <w:b/>
                <w:color w:val="000000" w:themeColor="text1"/>
                <w:szCs w:val="16"/>
              </w:rPr>
            </w:pPr>
            <w:r>
              <w:rPr>
                <w:rFonts w:cs="Arial"/>
                <w:b/>
                <w:color w:val="000000" w:themeColor="text1"/>
                <w:szCs w:val="16"/>
              </w:rPr>
              <w:t>Findings of Noncompliance Not Yet Verified as Corrected as of FFY 2021 APR</w:t>
            </w:r>
          </w:p>
        </w:tc>
        <w:tc>
          <w:tcPr>
            <w:tcW w:w="1317" w:type="pct"/>
            <w:shd w:val="clear" w:color="auto" w:fill="auto"/>
            <w:vAlign w:val="bottom"/>
          </w:tcPr>
          <w:p w14:paraId="1E652481" w14:textId="77777777" w:rsidR="009A755E" w:rsidRPr="00781112" w:rsidRDefault="009A755E" w:rsidP="009A755E">
            <w:pPr>
              <w:jc w:val="center"/>
              <w:rPr>
                <w:rFonts w:cs="Arial"/>
                <w:b/>
                <w:color w:val="000000" w:themeColor="text1"/>
                <w:szCs w:val="16"/>
              </w:rPr>
            </w:pPr>
            <w:r w:rsidRPr="00781112">
              <w:rPr>
                <w:rFonts w:cs="Arial"/>
                <w:b/>
                <w:color w:val="000000" w:themeColor="text1"/>
                <w:szCs w:val="16"/>
              </w:rPr>
              <w:t>Findings of Noncompliance Verified as Corrected</w:t>
            </w:r>
          </w:p>
        </w:tc>
        <w:tc>
          <w:tcPr>
            <w:tcW w:w="1234" w:type="pct"/>
            <w:shd w:val="clear" w:color="auto" w:fill="auto"/>
            <w:vAlign w:val="bottom"/>
          </w:tcPr>
          <w:p w14:paraId="2936209D" w14:textId="77777777" w:rsidR="009A755E" w:rsidRPr="00781112" w:rsidRDefault="009A755E" w:rsidP="009A755E">
            <w:pPr>
              <w:jc w:val="center"/>
              <w:rPr>
                <w:rFonts w:cs="Arial"/>
                <w:b/>
                <w:color w:val="000000" w:themeColor="text1"/>
                <w:szCs w:val="16"/>
              </w:rPr>
            </w:pPr>
            <w:r w:rsidRPr="00781112">
              <w:rPr>
                <w:rFonts w:cs="Arial"/>
                <w:b/>
                <w:color w:val="000000" w:themeColor="text1"/>
                <w:szCs w:val="16"/>
              </w:rPr>
              <w:t>Findings Not Yet Verified as Corrected</w:t>
            </w:r>
          </w:p>
        </w:tc>
      </w:tr>
      <w:tr w:rsidR="005C29F8" w:rsidRPr="00781112" w14:paraId="1DF4458C" w14:textId="77777777" w:rsidTr="00A947D9">
        <w:tc>
          <w:tcPr>
            <w:tcW w:w="988" w:type="pct"/>
            <w:shd w:val="clear" w:color="auto" w:fill="auto"/>
          </w:tcPr>
          <w:p w14:paraId="09D39BF4" w14:textId="12080EC7" w:rsidR="009A755E" w:rsidRPr="00781112" w:rsidRDefault="002B7490" w:rsidP="00A018D4">
            <w:pPr>
              <w:jc w:val="center"/>
              <w:rPr>
                <w:rFonts w:cs="Arial"/>
                <w:color w:val="000000" w:themeColor="text1"/>
                <w:szCs w:val="16"/>
              </w:rPr>
            </w:pPr>
            <w:r w:rsidRPr="00781112">
              <w:rPr>
                <w:rFonts w:cs="Arial"/>
                <w:color w:val="000000" w:themeColor="text1"/>
                <w:szCs w:val="16"/>
              </w:rPr>
              <w:t>FFY 2020</w:t>
            </w:r>
          </w:p>
        </w:tc>
        <w:tc>
          <w:tcPr>
            <w:tcW w:w="1461" w:type="pct"/>
            <w:shd w:val="clear" w:color="auto" w:fill="auto"/>
          </w:tcPr>
          <w:p w14:paraId="16129CDC" w14:textId="4ECB3EAC" w:rsidR="009A755E" w:rsidRPr="00781112" w:rsidRDefault="002B7490">
            <w:pPr>
              <w:jc w:val="center"/>
              <w:rPr>
                <w:rFonts w:cs="Arial"/>
                <w:noProof/>
                <w:color w:val="000000" w:themeColor="text1"/>
                <w:szCs w:val="16"/>
              </w:rPr>
            </w:pPr>
            <w:r w:rsidRPr="00781112">
              <w:rPr>
                <w:rFonts w:cs="Arial"/>
                <w:color w:val="000000" w:themeColor="text1"/>
                <w:szCs w:val="16"/>
              </w:rPr>
              <w:t>5</w:t>
            </w:r>
          </w:p>
        </w:tc>
        <w:tc>
          <w:tcPr>
            <w:tcW w:w="1317" w:type="pct"/>
            <w:shd w:val="clear" w:color="auto" w:fill="auto"/>
          </w:tcPr>
          <w:p w14:paraId="631866C2" w14:textId="7A733589" w:rsidR="009A755E" w:rsidRPr="00781112" w:rsidRDefault="002B7490">
            <w:pPr>
              <w:jc w:val="center"/>
              <w:rPr>
                <w:rFonts w:cs="Arial"/>
                <w:noProof/>
                <w:color w:val="000000" w:themeColor="text1"/>
                <w:szCs w:val="16"/>
              </w:rPr>
            </w:pPr>
            <w:r w:rsidRPr="00781112">
              <w:rPr>
                <w:rFonts w:cs="Arial"/>
                <w:color w:val="000000" w:themeColor="text1"/>
                <w:szCs w:val="16"/>
              </w:rPr>
              <w:t>3</w:t>
            </w:r>
          </w:p>
        </w:tc>
        <w:tc>
          <w:tcPr>
            <w:tcW w:w="1234" w:type="pct"/>
            <w:shd w:val="clear" w:color="auto" w:fill="auto"/>
          </w:tcPr>
          <w:p w14:paraId="3A2AFB37" w14:textId="4D254CD3" w:rsidR="009A755E" w:rsidRPr="00781112" w:rsidRDefault="002B7490">
            <w:pPr>
              <w:jc w:val="center"/>
              <w:rPr>
                <w:rFonts w:cs="Arial"/>
                <w:noProof/>
                <w:color w:val="000000" w:themeColor="text1"/>
                <w:szCs w:val="16"/>
              </w:rPr>
            </w:pPr>
            <w:r w:rsidRPr="00781112">
              <w:rPr>
                <w:rFonts w:cs="Arial"/>
                <w:color w:val="000000" w:themeColor="text1"/>
                <w:szCs w:val="16"/>
              </w:rPr>
              <w:t>2</w:t>
            </w:r>
          </w:p>
        </w:tc>
      </w:tr>
      <w:tr w:rsidR="005C29F8" w:rsidRPr="00781112" w14:paraId="22754C03" w14:textId="77777777" w:rsidTr="00A947D9">
        <w:tc>
          <w:tcPr>
            <w:tcW w:w="988" w:type="pct"/>
            <w:shd w:val="clear" w:color="auto" w:fill="auto"/>
          </w:tcPr>
          <w:p w14:paraId="3F1CDA29" w14:textId="16C6A591" w:rsidR="009A755E" w:rsidRPr="00781112" w:rsidRDefault="009A755E" w:rsidP="00A018D4">
            <w:pPr>
              <w:jc w:val="center"/>
              <w:rPr>
                <w:rFonts w:cs="Arial"/>
                <w:color w:val="000000" w:themeColor="text1"/>
                <w:szCs w:val="16"/>
              </w:rPr>
            </w:pPr>
          </w:p>
        </w:tc>
        <w:tc>
          <w:tcPr>
            <w:tcW w:w="1461" w:type="pct"/>
            <w:shd w:val="clear" w:color="auto" w:fill="auto"/>
          </w:tcPr>
          <w:p w14:paraId="50EA299D" w14:textId="70FCF876" w:rsidR="009A755E" w:rsidRPr="00781112" w:rsidRDefault="009A755E">
            <w:pPr>
              <w:jc w:val="center"/>
              <w:rPr>
                <w:rFonts w:cs="Arial"/>
                <w:noProof/>
                <w:color w:val="000000" w:themeColor="text1"/>
                <w:szCs w:val="16"/>
              </w:rPr>
            </w:pPr>
          </w:p>
        </w:tc>
        <w:tc>
          <w:tcPr>
            <w:tcW w:w="1317" w:type="pct"/>
            <w:shd w:val="clear" w:color="auto" w:fill="auto"/>
          </w:tcPr>
          <w:p w14:paraId="424B5A41" w14:textId="57F0D24B" w:rsidR="009A755E" w:rsidRPr="00781112" w:rsidRDefault="009A755E">
            <w:pPr>
              <w:jc w:val="center"/>
              <w:rPr>
                <w:rFonts w:cs="Arial"/>
                <w:noProof/>
                <w:color w:val="000000" w:themeColor="text1"/>
                <w:szCs w:val="16"/>
              </w:rPr>
            </w:pPr>
          </w:p>
        </w:tc>
        <w:tc>
          <w:tcPr>
            <w:tcW w:w="1234" w:type="pct"/>
            <w:shd w:val="clear" w:color="auto" w:fill="auto"/>
          </w:tcPr>
          <w:p w14:paraId="5FD250DE" w14:textId="1F07D8E0" w:rsidR="009A755E" w:rsidRPr="00781112" w:rsidRDefault="009A755E">
            <w:pPr>
              <w:jc w:val="center"/>
              <w:rPr>
                <w:rFonts w:cs="Arial"/>
                <w:noProof/>
                <w:color w:val="000000" w:themeColor="text1"/>
                <w:szCs w:val="16"/>
              </w:rPr>
            </w:pPr>
          </w:p>
        </w:tc>
      </w:tr>
      <w:tr w:rsidR="005C29F8" w:rsidRPr="00781112" w14:paraId="1554C3DE" w14:textId="77777777" w:rsidTr="00A947D9">
        <w:tc>
          <w:tcPr>
            <w:tcW w:w="988" w:type="pct"/>
            <w:shd w:val="clear" w:color="auto" w:fill="auto"/>
          </w:tcPr>
          <w:p w14:paraId="08F1D022" w14:textId="2DEB05AF" w:rsidR="009A755E" w:rsidRPr="00781112" w:rsidRDefault="009A755E" w:rsidP="00A018D4">
            <w:pPr>
              <w:jc w:val="center"/>
              <w:rPr>
                <w:rFonts w:cs="Arial"/>
                <w:color w:val="000000" w:themeColor="text1"/>
                <w:szCs w:val="16"/>
              </w:rPr>
            </w:pPr>
          </w:p>
        </w:tc>
        <w:tc>
          <w:tcPr>
            <w:tcW w:w="1461" w:type="pct"/>
            <w:shd w:val="clear" w:color="auto" w:fill="auto"/>
          </w:tcPr>
          <w:p w14:paraId="3FCA4EF1" w14:textId="25DC21F7" w:rsidR="009A755E" w:rsidRPr="00781112" w:rsidRDefault="009A755E">
            <w:pPr>
              <w:jc w:val="center"/>
              <w:rPr>
                <w:rFonts w:cs="Arial"/>
                <w:noProof/>
                <w:color w:val="000000" w:themeColor="text1"/>
                <w:szCs w:val="16"/>
              </w:rPr>
            </w:pPr>
          </w:p>
        </w:tc>
        <w:tc>
          <w:tcPr>
            <w:tcW w:w="1317" w:type="pct"/>
            <w:shd w:val="clear" w:color="auto" w:fill="auto"/>
          </w:tcPr>
          <w:p w14:paraId="4F433BEE" w14:textId="401E2469" w:rsidR="009A755E" w:rsidRPr="00781112" w:rsidRDefault="009A755E">
            <w:pPr>
              <w:jc w:val="center"/>
              <w:rPr>
                <w:rFonts w:cs="Arial"/>
                <w:noProof/>
                <w:color w:val="000000" w:themeColor="text1"/>
                <w:szCs w:val="16"/>
              </w:rPr>
            </w:pPr>
          </w:p>
        </w:tc>
        <w:tc>
          <w:tcPr>
            <w:tcW w:w="1234" w:type="pct"/>
            <w:shd w:val="clear" w:color="auto" w:fill="auto"/>
          </w:tcPr>
          <w:p w14:paraId="615F0522" w14:textId="27A5AF36" w:rsidR="009A755E" w:rsidRPr="00781112" w:rsidRDefault="009A755E">
            <w:pPr>
              <w:jc w:val="center"/>
              <w:rPr>
                <w:rFonts w:cs="Arial"/>
                <w:noProof/>
                <w:color w:val="000000" w:themeColor="text1"/>
                <w:szCs w:val="16"/>
              </w:rPr>
            </w:pPr>
          </w:p>
        </w:tc>
      </w:tr>
      <w:tr w:rsidR="00427654" w:rsidRPr="00781112" w14:paraId="2815F59D" w14:textId="77777777" w:rsidTr="00A947D9">
        <w:tc>
          <w:tcPr>
            <w:tcW w:w="988" w:type="pct"/>
            <w:shd w:val="clear" w:color="auto" w:fill="auto"/>
          </w:tcPr>
          <w:p w14:paraId="57C99F36" w14:textId="381DB30A" w:rsidR="00427654" w:rsidRPr="00781112" w:rsidRDefault="00427654" w:rsidP="00427654">
            <w:pPr>
              <w:jc w:val="center"/>
              <w:rPr>
                <w:rFonts w:cs="Arial"/>
                <w:color w:val="000000" w:themeColor="text1"/>
                <w:szCs w:val="16"/>
              </w:rPr>
            </w:pPr>
          </w:p>
        </w:tc>
        <w:tc>
          <w:tcPr>
            <w:tcW w:w="1461" w:type="pct"/>
            <w:shd w:val="clear" w:color="auto" w:fill="auto"/>
          </w:tcPr>
          <w:p w14:paraId="6CEDBEB8" w14:textId="18FB85C6" w:rsidR="00427654" w:rsidRPr="00781112" w:rsidRDefault="00427654" w:rsidP="00427654">
            <w:pPr>
              <w:jc w:val="center"/>
              <w:rPr>
                <w:rFonts w:cs="Arial"/>
                <w:color w:val="000000" w:themeColor="text1"/>
                <w:szCs w:val="16"/>
              </w:rPr>
            </w:pPr>
          </w:p>
        </w:tc>
        <w:tc>
          <w:tcPr>
            <w:tcW w:w="1317" w:type="pct"/>
            <w:shd w:val="clear" w:color="auto" w:fill="auto"/>
          </w:tcPr>
          <w:p w14:paraId="77BA8C74" w14:textId="6DF7328B" w:rsidR="00427654" w:rsidRPr="00781112" w:rsidRDefault="00427654" w:rsidP="00427654">
            <w:pPr>
              <w:jc w:val="center"/>
              <w:rPr>
                <w:rFonts w:cs="Arial"/>
                <w:color w:val="000000" w:themeColor="text1"/>
                <w:szCs w:val="16"/>
              </w:rPr>
            </w:pPr>
          </w:p>
        </w:tc>
        <w:tc>
          <w:tcPr>
            <w:tcW w:w="1234" w:type="pct"/>
            <w:shd w:val="clear" w:color="auto" w:fill="auto"/>
          </w:tcPr>
          <w:p w14:paraId="4AAB48D5" w14:textId="1920D04D" w:rsidR="00427654" w:rsidRPr="00781112" w:rsidRDefault="00427654" w:rsidP="00427654">
            <w:pPr>
              <w:jc w:val="center"/>
              <w:rPr>
                <w:rFonts w:cs="Arial"/>
                <w:color w:val="000000" w:themeColor="text1"/>
                <w:szCs w:val="16"/>
              </w:rPr>
            </w:pPr>
          </w:p>
        </w:tc>
      </w:tr>
      <w:tr w:rsidR="00427654" w:rsidRPr="00781112" w14:paraId="3A826F76" w14:textId="77777777" w:rsidTr="00A947D9">
        <w:tc>
          <w:tcPr>
            <w:tcW w:w="988" w:type="pct"/>
            <w:shd w:val="clear" w:color="auto" w:fill="auto"/>
          </w:tcPr>
          <w:p w14:paraId="07376903" w14:textId="6D4FE71F" w:rsidR="00427654" w:rsidRPr="00781112" w:rsidRDefault="00427654" w:rsidP="00427654">
            <w:pPr>
              <w:jc w:val="center"/>
              <w:rPr>
                <w:rFonts w:cs="Arial"/>
                <w:color w:val="000000" w:themeColor="text1"/>
                <w:szCs w:val="16"/>
              </w:rPr>
            </w:pPr>
          </w:p>
        </w:tc>
        <w:tc>
          <w:tcPr>
            <w:tcW w:w="1461" w:type="pct"/>
            <w:shd w:val="clear" w:color="auto" w:fill="auto"/>
          </w:tcPr>
          <w:p w14:paraId="73C45E25" w14:textId="62ECBB51" w:rsidR="00427654" w:rsidRPr="00781112" w:rsidRDefault="00427654" w:rsidP="00427654">
            <w:pPr>
              <w:jc w:val="center"/>
              <w:rPr>
                <w:rFonts w:cs="Arial"/>
                <w:color w:val="000000" w:themeColor="text1"/>
                <w:szCs w:val="16"/>
              </w:rPr>
            </w:pPr>
          </w:p>
        </w:tc>
        <w:tc>
          <w:tcPr>
            <w:tcW w:w="1317" w:type="pct"/>
            <w:shd w:val="clear" w:color="auto" w:fill="auto"/>
          </w:tcPr>
          <w:p w14:paraId="4F5CAB46" w14:textId="2A047DAD" w:rsidR="00427654" w:rsidRPr="00781112" w:rsidRDefault="00427654" w:rsidP="00427654">
            <w:pPr>
              <w:jc w:val="center"/>
              <w:rPr>
                <w:rFonts w:cs="Arial"/>
                <w:color w:val="000000" w:themeColor="text1"/>
                <w:szCs w:val="16"/>
              </w:rPr>
            </w:pPr>
          </w:p>
        </w:tc>
        <w:tc>
          <w:tcPr>
            <w:tcW w:w="1234" w:type="pct"/>
            <w:shd w:val="clear" w:color="auto" w:fill="auto"/>
          </w:tcPr>
          <w:p w14:paraId="312383C2" w14:textId="57A8F1A1" w:rsidR="00427654" w:rsidRPr="00781112" w:rsidRDefault="00427654" w:rsidP="00427654">
            <w:pPr>
              <w:jc w:val="center"/>
              <w:rPr>
                <w:rFonts w:cs="Arial"/>
                <w:color w:val="000000" w:themeColor="text1"/>
                <w:szCs w:val="16"/>
              </w:rPr>
            </w:pPr>
          </w:p>
        </w:tc>
      </w:tr>
    </w:tbl>
    <w:p w14:paraId="34C4ECD4" w14:textId="2FF7BB06" w:rsidR="009A221D" w:rsidRPr="00781112" w:rsidRDefault="009A221D" w:rsidP="004369B2">
      <w:pPr>
        <w:rPr>
          <w:rFonts w:cs="Arial"/>
          <w:b/>
          <w:bCs/>
          <w:color w:val="000000" w:themeColor="text1"/>
          <w:szCs w:val="16"/>
        </w:rPr>
      </w:pPr>
      <w:r w:rsidRPr="00781112">
        <w:rPr>
          <w:rFonts w:cs="Arial"/>
          <w:b/>
          <w:bCs/>
          <w:color w:val="000000" w:themeColor="text1"/>
          <w:szCs w:val="16"/>
        </w:rPr>
        <w:t>FFY 2020</w:t>
      </w:r>
    </w:p>
    <w:p w14:paraId="6FEADF4E" w14:textId="1A3F6E48" w:rsidR="009A755E" w:rsidRPr="00781112" w:rsidRDefault="009A755E" w:rsidP="004369B2">
      <w:pPr>
        <w:rPr>
          <w:color w:val="000000" w:themeColor="text1"/>
        </w:rPr>
      </w:pPr>
      <w:r w:rsidRPr="00781112">
        <w:rPr>
          <w:b/>
          <w:color w:val="000000" w:themeColor="text1"/>
        </w:rPr>
        <w:t>Findings of Noncompliance Verified as Corrected</w:t>
      </w:r>
    </w:p>
    <w:p w14:paraId="2085B45D" w14:textId="324D0347" w:rsidR="009A755E" w:rsidRPr="00781112" w:rsidRDefault="009A755E" w:rsidP="009A755E">
      <w:pPr>
        <w:rPr>
          <w:rFonts w:cs="Arial"/>
          <w:b/>
          <w:color w:val="000000" w:themeColor="text1"/>
          <w:szCs w:val="16"/>
        </w:rPr>
      </w:pPr>
      <w:r w:rsidRPr="00781112">
        <w:rPr>
          <w:rFonts w:cs="Arial"/>
          <w:b/>
          <w:color w:val="000000" w:themeColor="text1"/>
          <w:szCs w:val="16"/>
        </w:rPr>
        <w:t xml:space="preserve">Describe how the State verified that the source of noncompliance is correctly implementing the </w:t>
      </w:r>
      <w:r w:rsidRPr="00781112">
        <w:rPr>
          <w:rFonts w:cs="Arial"/>
          <w:b/>
          <w:i/>
          <w:color w:val="000000" w:themeColor="text1"/>
          <w:szCs w:val="16"/>
        </w:rPr>
        <w:t>regulatory requirements</w:t>
      </w:r>
    </w:p>
    <w:p w14:paraId="41D79F1F" w14:textId="0E767476" w:rsidR="00293C7E" w:rsidRPr="00781112" w:rsidRDefault="002B7490" w:rsidP="009A755E">
      <w:pPr>
        <w:rPr>
          <w:rFonts w:cs="Arial"/>
          <w:color w:val="000000" w:themeColor="text1"/>
          <w:szCs w:val="16"/>
        </w:rPr>
      </w:pPr>
      <w:r w:rsidRPr="00781112">
        <w:rPr>
          <w:rFonts w:cs="Arial"/>
          <w:color w:val="000000" w:themeColor="text1"/>
          <w:szCs w:val="16"/>
        </w:rPr>
        <w:t xml:space="preserve">To verify that the AUs who reported noncompliance for Indicator 13 were correctly implementing regulatory requirements related to Indicator 13, CDE’s Secondary Transition team in partnership with the AU special education team, conducted side-by-side compliance reviews of the required number of Transition IEPs during the 2021-2022 school year. The IEPs selected for this side-by-side compliance review were a different set of IEPs than the ones found noncompliant, in accordance with OSEP QA 23-01. These collaborative reviews were done virtually or in-person with the AU and involved reviewing and discussing each of the compliance elements of the IEP to build capacity and inter-rater reliability within the AU staff until the IEP met the compliance target of 100%. CDE verified that the IEPs reviewed were 100% compliant with </w:t>
      </w:r>
      <w:proofErr w:type="gramStart"/>
      <w:r w:rsidRPr="00781112">
        <w:rPr>
          <w:rFonts w:cs="Arial"/>
          <w:color w:val="000000" w:themeColor="text1"/>
          <w:szCs w:val="16"/>
        </w:rPr>
        <w:t>the three</w:t>
      </w:r>
      <w:proofErr w:type="gramEnd"/>
      <w:r w:rsidRPr="00781112">
        <w:rPr>
          <w:rFonts w:cs="Arial"/>
          <w:color w:val="000000" w:themeColor="text1"/>
          <w:szCs w:val="16"/>
        </w:rPr>
        <w:t xml:space="preserve"> of the five AUs where findings of noncompliance were verified as corrected and recorded this data in the DMS. Two AUs had findings of noncompliance not yet verified as corrected and the actions taken are described below.</w:t>
      </w:r>
    </w:p>
    <w:p w14:paraId="609FD34E" w14:textId="4F837FE0" w:rsidR="009A755E" w:rsidRPr="00781112" w:rsidRDefault="009A755E" w:rsidP="009A755E">
      <w:pPr>
        <w:rPr>
          <w:rFonts w:cs="Arial"/>
          <w:b/>
          <w:color w:val="000000" w:themeColor="text1"/>
          <w:szCs w:val="16"/>
        </w:rPr>
      </w:pPr>
      <w:r w:rsidRPr="00781112">
        <w:rPr>
          <w:rFonts w:cs="Arial"/>
          <w:b/>
          <w:color w:val="000000" w:themeColor="text1"/>
          <w:szCs w:val="16"/>
        </w:rPr>
        <w:t xml:space="preserve">Describe how the State verified that each </w:t>
      </w:r>
      <w:r w:rsidRPr="00781112">
        <w:rPr>
          <w:rFonts w:cs="Arial"/>
          <w:b/>
          <w:i/>
          <w:color w:val="000000" w:themeColor="text1"/>
          <w:szCs w:val="16"/>
        </w:rPr>
        <w:t xml:space="preserve">individual case </w:t>
      </w:r>
      <w:r w:rsidRPr="00781112">
        <w:rPr>
          <w:rFonts w:cs="Arial"/>
          <w:b/>
          <w:color w:val="000000" w:themeColor="text1"/>
          <w:szCs w:val="16"/>
        </w:rPr>
        <w:t>of noncompliance was corrected</w:t>
      </w:r>
    </w:p>
    <w:p w14:paraId="00792EB5" w14:textId="0C273C84" w:rsidR="00293C7E" w:rsidRPr="00781112" w:rsidRDefault="002B7490" w:rsidP="009A755E">
      <w:pPr>
        <w:rPr>
          <w:rFonts w:cs="Arial"/>
          <w:color w:val="000000" w:themeColor="text1"/>
          <w:szCs w:val="16"/>
        </w:rPr>
      </w:pPr>
      <w:r w:rsidRPr="00781112">
        <w:rPr>
          <w:rFonts w:cs="Arial"/>
          <w:color w:val="000000" w:themeColor="text1"/>
          <w:szCs w:val="16"/>
        </w:rPr>
        <w:t>CDE ensured that each AU corrected all individual cases of noncompliance related to Indicator 13, unless the child was no longer within the jurisdiction of the AU, through the following process for each individual case of noncompliance:</w:t>
      </w:r>
      <w:r w:rsidRPr="00781112">
        <w:rPr>
          <w:rFonts w:cs="Arial"/>
          <w:color w:val="000000" w:themeColor="text1"/>
          <w:szCs w:val="16"/>
        </w:rPr>
        <w:br/>
      </w:r>
      <w:r w:rsidRPr="00781112">
        <w:rPr>
          <w:rFonts w:cs="Arial"/>
          <w:color w:val="000000" w:themeColor="text1"/>
          <w:szCs w:val="16"/>
        </w:rPr>
        <w:br/>
        <w:t xml:space="preserve">1. AUs were provided a pre-populated indicator 13 Demonstration of Correction tracking form in the Data Management System, including the </w:t>
      </w:r>
      <w:proofErr w:type="gramStart"/>
      <w:r w:rsidRPr="00781112">
        <w:rPr>
          <w:rFonts w:cs="Arial"/>
          <w:color w:val="000000" w:themeColor="text1"/>
          <w:szCs w:val="16"/>
        </w:rPr>
        <w:t>student</w:t>
      </w:r>
      <w:proofErr w:type="gramEnd"/>
      <w:r w:rsidRPr="00781112">
        <w:rPr>
          <w:rFonts w:cs="Arial"/>
          <w:color w:val="000000" w:themeColor="text1"/>
          <w:szCs w:val="16"/>
        </w:rPr>
        <w:t xml:space="preserve"> name, IEP date, and reason for noncompliance.</w:t>
      </w:r>
      <w:r w:rsidRPr="00781112">
        <w:rPr>
          <w:rFonts w:cs="Arial"/>
          <w:color w:val="000000" w:themeColor="text1"/>
          <w:szCs w:val="16"/>
        </w:rPr>
        <w:br/>
        <w:t xml:space="preserve">2. AUs determined the root cause of the noncompliance. </w:t>
      </w:r>
      <w:r w:rsidRPr="00781112">
        <w:rPr>
          <w:rFonts w:cs="Arial"/>
          <w:color w:val="000000" w:themeColor="text1"/>
          <w:szCs w:val="16"/>
        </w:rPr>
        <w:br/>
        <w:t xml:space="preserve">3. AUs determined if each of the students was still in their jurisdiction: </w:t>
      </w:r>
      <w:r w:rsidRPr="00781112">
        <w:rPr>
          <w:rFonts w:cs="Arial"/>
          <w:color w:val="000000" w:themeColor="text1"/>
          <w:szCs w:val="16"/>
        </w:rPr>
        <w:br/>
        <w:t xml:space="preserve"> a. If NO – no further correction was needed. </w:t>
      </w:r>
      <w:r w:rsidRPr="00781112">
        <w:rPr>
          <w:rFonts w:cs="Arial"/>
          <w:color w:val="000000" w:themeColor="text1"/>
          <w:szCs w:val="16"/>
        </w:rPr>
        <w:br/>
        <w:t xml:space="preserve"> b. If YES – AUs uploaded the student’s current IEP into the DMS.</w:t>
      </w:r>
      <w:r w:rsidRPr="00781112">
        <w:rPr>
          <w:rFonts w:cs="Arial"/>
          <w:color w:val="000000" w:themeColor="text1"/>
          <w:szCs w:val="16"/>
        </w:rPr>
        <w:br/>
        <w:t xml:space="preserve">4. AUs completed the IEP compliance record review of the student’s current IEP using the record review protocol in the DMS. </w:t>
      </w:r>
      <w:r w:rsidRPr="00781112">
        <w:rPr>
          <w:rFonts w:cs="Arial"/>
          <w:color w:val="000000" w:themeColor="text1"/>
          <w:szCs w:val="16"/>
        </w:rPr>
        <w:br/>
        <w:t xml:space="preserve">5. AUs completed the tracking form in the DMS by recording the date the current IEP was reviewed and the reviewer’s name. </w:t>
      </w:r>
      <w:r w:rsidRPr="00781112">
        <w:rPr>
          <w:rFonts w:cs="Arial"/>
          <w:color w:val="000000" w:themeColor="text1"/>
          <w:szCs w:val="16"/>
        </w:rPr>
        <w:br/>
      </w:r>
      <w:r w:rsidRPr="00781112">
        <w:rPr>
          <w:rFonts w:cs="Arial"/>
          <w:color w:val="000000" w:themeColor="text1"/>
          <w:szCs w:val="16"/>
        </w:rPr>
        <w:br/>
        <w:t xml:space="preserve">CDE verified correction of each individual case of noncompliance via a desk audit process and confirmed the results to all five of the AUs where noncompliance was identified. </w:t>
      </w:r>
    </w:p>
    <w:p w14:paraId="348820A9" w14:textId="77777777" w:rsidR="009A221D" w:rsidRPr="00781112" w:rsidRDefault="009A221D" w:rsidP="009A221D">
      <w:pPr>
        <w:rPr>
          <w:rFonts w:cs="Arial"/>
          <w:b/>
          <w:bCs/>
          <w:color w:val="000000" w:themeColor="text1"/>
          <w:szCs w:val="16"/>
        </w:rPr>
      </w:pPr>
      <w:r w:rsidRPr="00781112">
        <w:rPr>
          <w:rFonts w:cs="Arial"/>
          <w:b/>
          <w:bCs/>
          <w:color w:val="000000" w:themeColor="text1"/>
          <w:szCs w:val="16"/>
        </w:rPr>
        <w:t>FFY 2020</w:t>
      </w:r>
    </w:p>
    <w:p w14:paraId="026AE221" w14:textId="51187DDE" w:rsidR="009A755E" w:rsidRPr="00781112" w:rsidRDefault="009A755E" w:rsidP="004369B2">
      <w:pPr>
        <w:rPr>
          <w:color w:val="000000" w:themeColor="text1"/>
        </w:rPr>
      </w:pPr>
      <w:r w:rsidRPr="00781112">
        <w:rPr>
          <w:b/>
          <w:color w:val="000000" w:themeColor="text1"/>
        </w:rPr>
        <w:t>Findings of Noncompliance Not Yet Verified as Corrected</w:t>
      </w:r>
    </w:p>
    <w:p w14:paraId="5971BC64" w14:textId="77777777" w:rsidR="009A755E" w:rsidRPr="00781112" w:rsidRDefault="009A755E" w:rsidP="009A755E">
      <w:pPr>
        <w:rPr>
          <w:rFonts w:cs="Arial"/>
          <w:b/>
          <w:color w:val="000000" w:themeColor="text1"/>
          <w:szCs w:val="16"/>
        </w:rPr>
      </w:pPr>
      <w:r w:rsidRPr="00781112">
        <w:rPr>
          <w:rFonts w:cs="Arial"/>
          <w:b/>
          <w:color w:val="000000" w:themeColor="text1"/>
          <w:szCs w:val="16"/>
        </w:rPr>
        <w:t>Actions taken if noncompliance not corrected</w:t>
      </w:r>
    </w:p>
    <w:p w14:paraId="7F193F4B" w14:textId="77777777" w:rsidR="001E7916" w:rsidRPr="00781112" w:rsidRDefault="001E7916" w:rsidP="001E7916">
      <w:pPr>
        <w:rPr>
          <w:rFonts w:cs="Arial"/>
          <w:color w:val="000000" w:themeColor="text1"/>
          <w:szCs w:val="16"/>
        </w:rPr>
      </w:pPr>
      <w:r w:rsidRPr="00781112">
        <w:rPr>
          <w:rFonts w:cs="Arial"/>
          <w:color w:val="000000" w:themeColor="text1"/>
          <w:szCs w:val="16"/>
        </w:rPr>
        <w:t xml:space="preserve">To verify that the two AUs who had findings not yet verified as corrected were correctly implementing regulatory requirements related to Indicator 13, each AU participated in mandatory customized professional development provided by CDE in the areas of secondary transition IEP development based on information obtained during the collaborative reviews during the 2022-2023 school year, as well as any other areas of need identified by CDE and the AU. Following the required professional development, CDE will conduct a review of updated data to ensure that the district is correctly implementing the specific regulatory requirements related to Indicator 13. For this review, CDE, in partnership with the AU team, will conduct collaborative side-by-side reviews of newly selected transition IEPs during SY 2023-2024. The State will report </w:t>
      </w:r>
      <w:proofErr w:type="gramStart"/>
      <w:r w:rsidRPr="00781112">
        <w:rPr>
          <w:rFonts w:cs="Arial"/>
          <w:color w:val="000000" w:themeColor="text1"/>
          <w:szCs w:val="16"/>
        </w:rPr>
        <w:t>results</w:t>
      </w:r>
      <w:proofErr w:type="gramEnd"/>
      <w:r w:rsidRPr="00781112">
        <w:rPr>
          <w:rFonts w:cs="Arial"/>
          <w:color w:val="000000" w:themeColor="text1"/>
          <w:szCs w:val="16"/>
        </w:rPr>
        <w:t xml:space="preserve"> of these actions in the FFY 2022 SPP/APR. If an AU continues to be noncompliant </w:t>
      </w:r>
      <w:proofErr w:type="gramStart"/>
      <w:r w:rsidRPr="00781112">
        <w:rPr>
          <w:rFonts w:cs="Arial"/>
          <w:color w:val="000000" w:themeColor="text1"/>
          <w:szCs w:val="16"/>
        </w:rPr>
        <w:t>for</w:t>
      </w:r>
      <w:proofErr w:type="gramEnd"/>
      <w:r w:rsidRPr="00781112">
        <w:rPr>
          <w:rFonts w:cs="Arial"/>
          <w:color w:val="000000" w:themeColor="text1"/>
          <w:szCs w:val="16"/>
        </w:rPr>
        <w:t xml:space="preserve"> this Indicator, additional monitoring activities, including a Corrective Action Plan, may be required.</w:t>
      </w:r>
    </w:p>
    <w:p w14:paraId="0764B6D1" w14:textId="7BF666C6" w:rsidR="004E2151" w:rsidRPr="00781112" w:rsidRDefault="00056350" w:rsidP="00123D76">
      <w:pPr>
        <w:pStyle w:val="Heading2"/>
      </w:pPr>
      <w:r w:rsidRPr="00781112">
        <w:t>13</w:t>
      </w:r>
      <w:r w:rsidR="001D508D" w:rsidRPr="00781112">
        <w:t xml:space="preserve"> </w:t>
      </w:r>
      <w:r w:rsidRPr="00781112">
        <w:t xml:space="preserve">- </w:t>
      </w:r>
      <w:r w:rsidR="004E2151" w:rsidRPr="00781112">
        <w:t>Prior FFY Required Actions</w:t>
      </w:r>
    </w:p>
    <w:p w14:paraId="3DC62C2B" w14:textId="341FD615" w:rsidR="004E2151" w:rsidRPr="00781112" w:rsidRDefault="002B7490" w:rsidP="004E2151">
      <w:pPr>
        <w:rPr>
          <w:rFonts w:cs="Arial"/>
          <w:color w:val="000000" w:themeColor="text1"/>
          <w:szCs w:val="16"/>
        </w:rPr>
      </w:pPr>
      <w:r w:rsidRPr="00781112">
        <w:rPr>
          <w:rFonts w:cs="Arial"/>
          <w:color w:val="000000" w:themeColor="text1"/>
          <w:szCs w:val="16"/>
        </w:rPr>
        <w:t xml:space="preserve">Because the State reported less than 100% compliance for FFY 2021, the State must report on the status of correction of noncompliance identified in FFY 2021 for this indicator. In addition, the State must demonstrate, in the FFY 2022 SPP/APR, that the remaining five (5) uncorrected findings of noncompliance identified in FFY 2020 were corrected. When reporting on the correction of noncompliance, the State must report, in the FFY 2022 SPP/APR, that it has verified that each LEA with findings of noncompliance identified in FFY 2021 and each LEA with remaining noncompliance identified in FFY 2020: (1) is correctly implementing the specific regulatory requirements (i.e., achieved 100% compliance) based on a review of updated data such as data subsequently collected through on-site monitoring or a State data system; and (2) has corrected each individual case of noncompliance, unless the child is no longer within the jurisdiction of the LEA, consistent with OSEP Memo 09-02. In the FFY 2022 SPP/APR, the State must describe the specific actions that were taken to verify the correction.    </w:t>
      </w:r>
      <w:r w:rsidRPr="00781112">
        <w:rPr>
          <w:rFonts w:cs="Arial"/>
          <w:color w:val="000000" w:themeColor="text1"/>
          <w:szCs w:val="16"/>
        </w:rPr>
        <w:br/>
      </w:r>
      <w:r w:rsidRPr="00781112">
        <w:rPr>
          <w:rFonts w:cs="Arial"/>
          <w:color w:val="000000" w:themeColor="text1"/>
          <w:szCs w:val="16"/>
        </w:rPr>
        <w:br/>
        <w:t>If the State did not identify any findings of noncompliance in FFY 2021, although its FFY 2021 data reflect less than 100% compliance, provide an explanation of why the State did not identify any findings of noncompliance in FFY 2021.</w:t>
      </w:r>
    </w:p>
    <w:p w14:paraId="6FDC964C" w14:textId="7C7EE16F" w:rsidR="009F69E7" w:rsidRPr="00781112" w:rsidRDefault="009F69E7" w:rsidP="004E2151">
      <w:pPr>
        <w:rPr>
          <w:rFonts w:cs="Arial"/>
          <w:color w:val="000000" w:themeColor="text1"/>
          <w:szCs w:val="16"/>
        </w:rPr>
      </w:pPr>
    </w:p>
    <w:p w14:paraId="769948F5" w14:textId="2E352977" w:rsidR="004E2151" w:rsidRPr="00781112" w:rsidRDefault="007639D7" w:rsidP="004369B2">
      <w:pPr>
        <w:rPr>
          <w:b/>
          <w:color w:val="000000" w:themeColor="text1"/>
        </w:rPr>
      </w:pPr>
      <w:r>
        <w:rPr>
          <w:b/>
          <w:color w:val="000000" w:themeColor="text1"/>
        </w:rPr>
        <w:t>Response to actions required in FFY 2021 SPP/APR</w:t>
      </w:r>
    </w:p>
    <w:p w14:paraId="18FDD3C1" w14:textId="77777777" w:rsidR="009F69E7" w:rsidRPr="00781112" w:rsidRDefault="002B7490" w:rsidP="004E2151">
      <w:pPr>
        <w:rPr>
          <w:rFonts w:cs="Arial"/>
          <w:color w:val="000000" w:themeColor="text1"/>
          <w:szCs w:val="16"/>
        </w:rPr>
      </w:pPr>
      <w:r w:rsidRPr="00781112">
        <w:rPr>
          <w:rFonts w:cs="Arial"/>
          <w:color w:val="000000" w:themeColor="text1"/>
          <w:szCs w:val="16"/>
        </w:rPr>
        <w:t>In the FFY 2022 SPP/APR, Colorado described the specific actions taken to verify that each LEA with noncompliance identified in FFY 2021 for this indicator is: (1) is correctly implementing the specific regulatory requirements (i.e., achieved 100% compliance) based on a review of updated data such as data subsequently collected through on-site monitoring or a State data system; and (2) has corrected each individual case of noncompliance, unless the child is no longer within the jurisdiction of the LEA, consistent with OSEP QA 23-01.</w:t>
      </w:r>
      <w:r w:rsidRPr="00781112">
        <w:rPr>
          <w:rFonts w:cs="Arial"/>
          <w:color w:val="000000" w:themeColor="text1"/>
          <w:szCs w:val="16"/>
        </w:rPr>
        <w:br/>
      </w:r>
      <w:r w:rsidRPr="00781112">
        <w:rPr>
          <w:rFonts w:cs="Arial"/>
          <w:color w:val="000000" w:themeColor="text1"/>
          <w:szCs w:val="16"/>
        </w:rPr>
        <w:br/>
        <w:t xml:space="preserve">In addition, Colorado reported that 3 of the remaining five (5) uncorrected fundings of noncompliance identified in FFY 2020 were corrected and described the specific actions taken to determine correction of noncompliance for this indicator consistent with OSEP QA 23-01. For the two (2) AUs who continue to be noncompliant, Colorado described the specific actions taken.  </w:t>
      </w:r>
    </w:p>
    <w:p w14:paraId="310A49DA" w14:textId="36D1B81C" w:rsidR="007F5071" w:rsidRPr="00781112" w:rsidRDefault="00056350" w:rsidP="00123D76">
      <w:pPr>
        <w:pStyle w:val="Heading2"/>
      </w:pPr>
      <w:r w:rsidRPr="00781112">
        <w:lastRenderedPageBreak/>
        <w:t>13 - OSEP Response</w:t>
      </w:r>
    </w:p>
    <w:p w14:paraId="55757593" w14:textId="79413C8B" w:rsidR="00293C7E" w:rsidRPr="00781112" w:rsidRDefault="00293C7E" w:rsidP="00212954">
      <w:pPr>
        <w:rPr>
          <w:rFonts w:cs="Arial"/>
          <w:color w:val="000000" w:themeColor="text1"/>
          <w:szCs w:val="16"/>
        </w:rPr>
      </w:pPr>
    </w:p>
    <w:p w14:paraId="139D82E4" w14:textId="2690DF84" w:rsidR="007F5071" w:rsidRPr="00781112" w:rsidRDefault="00056350" w:rsidP="00123D76">
      <w:pPr>
        <w:pStyle w:val="Heading2"/>
      </w:pPr>
      <w:r w:rsidRPr="00781112">
        <w:t>13 - Required Actions</w:t>
      </w:r>
    </w:p>
    <w:p w14:paraId="3AC05AE9" w14:textId="66211D68" w:rsidR="00293C7E" w:rsidRPr="00781112" w:rsidRDefault="002B7490" w:rsidP="00212954">
      <w:pPr>
        <w:rPr>
          <w:rFonts w:cs="Arial"/>
          <w:color w:val="000000" w:themeColor="text1"/>
          <w:szCs w:val="16"/>
        </w:rPr>
      </w:pPr>
      <w:r w:rsidRPr="00781112">
        <w:rPr>
          <w:rFonts w:cs="Arial"/>
          <w:color w:val="000000" w:themeColor="text1"/>
          <w:szCs w:val="16"/>
        </w:rPr>
        <w:t xml:space="preserve">Because the State reported less than 100% compliance for FFY 2022, the State must report on the status of correction of noncompliance identified in FFY 2022 for this indicator. In addition, the State must demonstrate, in the FFY 2023 SPP/APR, that the two remaining uncorrected findings of noncompliance identified in FFY </w:t>
      </w:r>
      <w:proofErr w:type="gramStart"/>
      <w:r w:rsidRPr="00781112">
        <w:rPr>
          <w:rFonts w:cs="Arial"/>
          <w:color w:val="000000" w:themeColor="text1"/>
          <w:szCs w:val="16"/>
        </w:rPr>
        <w:t>2021</w:t>
      </w:r>
      <w:proofErr w:type="gramEnd"/>
      <w:r w:rsidRPr="00781112">
        <w:rPr>
          <w:rFonts w:cs="Arial"/>
          <w:color w:val="000000" w:themeColor="text1"/>
          <w:szCs w:val="16"/>
        </w:rPr>
        <w:t xml:space="preserve"> and the two remaining uncorrected findings of noncompliance identified in FFY 2020 were corrected.  When reporting on the correction of noncompliance, the State must report, in the FFY 2023 SPP/APR, that it has verified that each LEA with findings of noncompliance identified in FFY 2022 and each LEA with remaining noncompliance identified in FFY 2021 and FFY 2020 is correctly implementing the specific regulatory requirements (i.e., achieved 100% compliance) based on a review of updated data such as data subsequently collected through on-site monitoring or a State data system; and has corrected each individual case of noncompliance, unless the child is no longer within the jurisdiction of the LEA, consistent with OSEP QA 23-01. In the FFY 2023 SPP/APR, the State must describe the specific actions that were taken to verify the correction.  If the State did not identify any findings of noncompliance in FFY 2022, although its FFY 2022 data reflect less than 100% compliance, provide an explanation of why the State did not identify any findings of noncompliance in FFY 2022.</w:t>
      </w:r>
    </w:p>
    <w:p w14:paraId="2D88F5D3" w14:textId="77777777" w:rsidR="00102FA3" w:rsidRPr="00781112" w:rsidRDefault="00102FA3">
      <w:pPr>
        <w:spacing w:before="0" w:after="200" w:line="276" w:lineRule="auto"/>
        <w:rPr>
          <w:rFonts w:eastAsiaTheme="majorEastAsia" w:cs="Arial"/>
          <w:b/>
          <w:bCs/>
          <w:color w:val="000000" w:themeColor="text1"/>
          <w:szCs w:val="16"/>
        </w:rPr>
      </w:pPr>
      <w:r w:rsidRPr="00781112">
        <w:rPr>
          <w:rFonts w:cs="Arial"/>
          <w:color w:val="000000" w:themeColor="text1"/>
          <w:szCs w:val="16"/>
        </w:rPr>
        <w:br w:type="page"/>
      </w:r>
    </w:p>
    <w:p w14:paraId="6BE48297" w14:textId="049A8FC3" w:rsidR="00B3462E" w:rsidRPr="00781112" w:rsidRDefault="00B3462E" w:rsidP="000444E2">
      <w:pPr>
        <w:pStyle w:val="Heading1"/>
        <w:rPr>
          <w:color w:val="000000" w:themeColor="text1"/>
          <w:sz w:val="22"/>
        </w:rPr>
      </w:pPr>
      <w:r w:rsidRPr="00781112">
        <w:rPr>
          <w:color w:val="000000" w:themeColor="text1"/>
          <w:sz w:val="22"/>
        </w:rPr>
        <w:lastRenderedPageBreak/>
        <w:t>Indicator 14: Post-School Outcomes</w:t>
      </w:r>
      <w:bookmarkEnd w:id="84"/>
    </w:p>
    <w:p w14:paraId="22761492" w14:textId="77777777" w:rsidR="005C50DB" w:rsidRPr="00781112" w:rsidRDefault="005C50DB" w:rsidP="00A018D4">
      <w:pPr>
        <w:rPr>
          <w:szCs w:val="20"/>
        </w:rPr>
      </w:pPr>
      <w:bookmarkStart w:id="85" w:name="_Toc392159336"/>
      <w:r w:rsidRPr="00781112">
        <w:rPr>
          <w:b/>
          <w:sz w:val="20"/>
          <w:szCs w:val="20"/>
        </w:rPr>
        <w:t>Instructions and Measurement</w:t>
      </w:r>
    </w:p>
    <w:p w14:paraId="3872DE81" w14:textId="173DF04F" w:rsidR="001F3A65" w:rsidRPr="00781112" w:rsidRDefault="001F3A65" w:rsidP="005F442C">
      <w:pPr>
        <w:rPr>
          <w:rFonts w:cs="Arial"/>
          <w:szCs w:val="16"/>
        </w:rPr>
      </w:pPr>
      <w:r w:rsidRPr="00781112">
        <w:rPr>
          <w:rFonts w:cs="Arial"/>
          <w:b/>
          <w:szCs w:val="16"/>
        </w:rPr>
        <w:t>Monitoring Priority</w:t>
      </w:r>
      <w:r w:rsidRPr="00781112">
        <w:rPr>
          <w:rFonts w:cs="Arial"/>
          <w:szCs w:val="16"/>
        </w:rPr>
        <w:t>: Effective General Supervision Part B / Effective Transition</w:t>
      </w:r>
    </w:p>
    <w:p w14:paraId="29CEDA40" w14:textId="10BE3AE6" w:rsidR="001F3A65" w:rsidRPr="00781112" w:rsidRDefault="001F3A65" w:rsidP="005F442C">
      <w:pPr>
        <w:rPr>
          <w:rFonts w:cs="Arial"/>
          <w:szCs w:val="16"/>
        </w:rPr>
      </w:pPr>
      <w:r w:rsidRPr="00781112">
        <w:rPr>
          <w:rFonts w:cs="Arial"/>
          <w:b/>
          <w:szCs w:val="16"/>
        </w:rPr>
        <w:t>Results indicator:</w:t>
      </w:r>
      <w:r w:rsidR="00131842" w:rsidRPr="00781112">
        <w:rPr>
          <w:rFonts w:cs="Arial"/>
          <w:szCs w:val="16"/>
        </w:rPr>
        <w:t xml:space="preserve"> </w:t>
      </w:r>
      <w:r w:rsidRPr="00781112">
        <w:rPr>
          <w:rFonts w:cs="Arial"/>
          <w:szCs w:val="16"/>
        </w:rPr>
        <w:t>Percent of youth who are no longer in secondary school, had IEPs in effect at the time they left school, and were:</w:t>
      </w:r>
    </w:p>
    <w:p w14:paraId="7F97857D" w14:textId="783928AC" w:rsidR="001F3A65" w:rsidRPr="00781112" w:rsidRDefault="00F52ED5" w:rsidP="005F442C">
      <w:pPr>
        <w:rPr>
          <w:rFonts w:cs="Arial"/>
          <w:szCs w:val="16"/>
        </w:rPr>
      </w:pPr>
      <w:r w:rsidRPr="00781112">
        <w:rPr>
          <w:rFonts w:cs="Arial"/>
          <w:szCs w:val="16"/>
        </w:rPr>
        <w:tab/>
      </w:r>
      <w:r w:rsidRPr="00781112">
        <w:rPr>
          <w:rFonts w:cs="Arial"/>
          <w:szCs w:val="16"/>
        </w:rPr>
        <w:tab/>
        <w:t>A. Enrolled in higher education within one year of leaving high school.</w:t>
      </w:r>
    </w:p>
    <w:p w14:paraId="72E90E1C" w14:textId="0FC21DC4" w:rsidR="001F3A65" w:rsidRPr="00781112" w:rsidRDefault="00F52ED5" w:rsidP="005F442C">
      <w:pPr>
        <w:rPr>
          <w:rFonts w:cs="Arial"/>
          <w:szCs w:val="16"/>
        </w:rPr>
      </w:pPr>
      <w:r w:rsidRPr="00781112">
        <w:rPr>
          <w:rFonts w:cs="Arial"/>
          <w:szCs w:val="16"/>
        </w:rPr>
        <w:tab/>
      </w:r>
      <w:r w:rsidRPr="00781112">
        <w:rPr>
          <w:rFonts w:cs="Arial"/>
          <w:szCs w:val="16"/>
        </w:rPr>
        <w:tab/>
        <w:t>B. Enrolled in higher education or competitively employed within one year of leaving high school.</w:t>
      </w:r>
    </w:p>
    <w:p w14:paraId="71CF3231" w14:textId="0CA0669B" w:rsidR="001F3A65" w:rsidRPr="00781112" w:rsidRDefault="00F52ED5" w:rsidP="00856B0E">
      <w:pPr>
        <w:tabs>
          <w:tab w:val="left" w:pos="1440"/>
        </w:tabs>
        <w:ind w:left="1440"/>
        <w:rPr>
          <w:rFonts w:cs="Arial"/>
          <w:szCs w:val="16"/>
        </w:rPr>
      </w:pPr>
      <w:r w:rsidRPr="00781112">
        <w:rPr>
          <w:rFonts w:cs="Arial"/>
          <w:szCs w:val="16"/>
        </w:rPr>
        <w:t>C. Enrolled in higher education or in some other postsecondary education or training program; or competitively employed or in some other employment within one year of leaving high school.</w:t>
      </w:r>
    </w:p>
    <w:p w14:paraId="34C582E7" w14:textId="77777777" w:rsidR="001F3A65" w:rsidRPr="00781112" w:rsidRDefault="001F3A65" w:rsidP="005F442C">
      <w:pPr>
        <w:rPr>
          <w:rFonts w:cs="Arial"/>
          <w:szCs w:val="16"/>
        </w:rPr>
      </w:pPr>
      <w:r w:rsidRPr="00781112">
        <w:rPr>
          <w:rFonts w:cs="Arial"/>
          <w:szCs w:val="16"/>
        </w:rPr>
        <w:t>(20 U.S.C. 1416(a)(3)(B))</w:t>
      </w:r>
    </w:p>
    <w:p w14:paraId="48D4CA91" w14:textId="77777777" w:rsidR="00B67038" w:rsidRPr="00781112" w:rsidRDefault="00B67038" w:rsidP="004369B2">
      <w:r w:rsidRPr="00781112">
        <w:rPr>
          <w:b/>
        </w:rPr>
        <w:t>Data Source</w:t>
      </w:r>
    </w:p>
    <w:p w14:paraId="266BF2FF" w14:textId="7EC5F0A3" w:rsidR="00B67038" w:rsidRPr="00781112" w:rsidRDefault="00B67038" w:rsidP="005F442C">
      <w:pPr>
        <w:rPr>
          <w:rFonts w:cs="Arial"/>
          <w:szCs w:val="16"/>
        </w:rPr>
      </w:pPr>
      <w:r w:rsidRPr="00781112">
        <w:rPr>
          <w:rFonts w:cs="Arial"/>
          <w:szCs w:val="16"/>
        </w:rPr>
        <w:t>State selected data source.</w:t>
      </w:r>
    </w:p>
    <w:p w14:paraId="1655DDB5" w14:textId="4F072B5B" w:rsidR="00B67038" w:rsidRPr="00781112" w:rsidRDefault="00B67038" w:rsidP="004369B2">
      <w:r w:rsidRPr="00781112">
        <w:rPr>
          <w:b/>
        </w:rPr>
        <w:t>Measurement</w:t>
      </w:r>
    </w:p>
    <w:p w14:paraId="0B074DD3" w14:textId="77777777" w:rsidR="00B67038" w:rsidRPr="00781112" w:rsidRDefault="009B2B72" w:rsidP="006A01BD">
      <w:pPr>
        <w:pStyle w:val="Numbering"/>
        <w:ind w:left="360"/>
        <w:rPr>
          <w:color w:val="auto"/>
        </w:rPr>
      </w:pPr>
      <w:r w:rsidRPr="00781112">
        <w:rPr>
          <w:color w:val="auto"/>
        </w:rPr>
        <w:t>A. Percent enrolled in higher education = [(# of youth who are no longer in secondary school, had IEPs in effect at the time they left school and were enrolled in higher education within one year of leaving high school) divided by the (# of respondent youth who are no longer in secondary school and had IEPs in effect at the time they left school)] times 100.</w:t>
      </w:r>
    </w:p>
    <w:p w14:paraId="32414D87" w14:textId="01962ED5" w:rsidR="00B67038" w:rsidRPr="00781112" w:rsidRDefault="009B2B72" w:rsidP="006A01BD">
      <w:pPr>
        <w:pStyle w:val="Numbering"/>
        <w:ind w:left="360"/>
        <w:rPr>
          <w:color w:val="auto"/>
        </w:rPr>
      </w:pPr>
      <w:r w:rsidRPr="00781112">
        <w:rPr>
          <w:color w:val="auto"/>
        </w:rPr>
        <w:t>B. Percent enrolled in higher education or competitively employed within one year of leaving high school = [(# of youth who are no longer in secondary school, had IEPs in effect at the time they left school and were enrolled in higher education or competitively employed within one year of leaving high school) divided by the (# of respondent youth who are no longer in secondary school and had IEPs in effect at the time they left school)] times 100.</w:t>
      </w:r>
    </w:p>
    <w:p w14:paraId="0E47FE86" w14:textId="3EAC7580" w:rsidR="00B67038" w:rsidRPr="00781112" w:rsidRDefault="009B2B72" w:rsidP="006A01BD">
      <w:pPr>
        <w:pStyle w:val="Numbering"/>
        <w:ind w:left="360"/>
        <w:rPr>
          <w:color w:val="auto"/>
        </w:rPr>
      </w:pPr>
      <w:r w:rsidRPr="00781112">
        <w:rPr>
          <w:color w:val="auto"/>
        </w:rPr>
        <w:t>C. Percent enrolled in higher education, or in some other postsecondary education or training program; or competitively employed or in some other employment = [(# of youth who are no longer in secondary school, had IEPs in effect at the time they left school and were enrolled in higher education, or in some other postsecondary education or training program; or competitively employed or in some other employment) divided by the (# of respondent youth who are no longer in secondary school and had IEPs in effect at the time they left school)] times 100.</w:t>
      </w:r>
    </w:p>
    <w:p w14:paraId="20442BDD" w14:textId="77777777" w:rsidR="00B67038" w:rsidRPr="00781112" w:rsidRDefault="00B67038" w:rsidP="004369B2">
      <w:r w:rsidRPr="00781112">
        <w:rPr>
          <w:b/>
        </w:rPr>
        <w:t>Instructions</w:t>
      </w:r>
    </w:p>
    <w:p w14:paraId="4987E862" w14:textId="6885D117" w:rsidR="00B67038" w:rsidRPr="00781112" w:rsidRDefault="00B67038" w:rsidP="003A4027">
      <w:pPr>
        <w:spacing w:before="0" w:after="210"/>
        <w:rPr>
          <w:rFonts w:eastAsia="Times New Roman" w:cs="Arial"/>
          <w:i/>
          <w:iCs/>
          <w:szCs w:val="16"/>
        </w:rPr>
      </w:pPr>
      <w:r w:rsidRPr="00781112">
        <w:rPr>
          <w:rFonts w:eastAsia="Times New Roman" w:cs="Arial"/>
          <w:i/>
          <w:iCs/>
          <w:szCs w:val="16"/>
        </w:rPr>
        <w:t>Sampling </w:t>
      </w:r>
      <w:r w:rsidRPr="00781112">
        <w:rPr>
          <w:rFonts w:eastAsia="Times New Roman" w:cs="Arial"/>
          <w:b/>
          <w:bCs/>
          <w:i/>
          <w:iCs/>
          <w:szCs w:val="16"/>
        </w:rPr>
        <w:t>of youth who had IEPs and are no longer in secondary school</w:t>
      </w:r>
      <w:r w:rsidRPr="00781112">
        <w:rPr>
          <w:rFonts w:eastAsia="Times New Roman" w:cs="Arial"/>
          <w:i/>
          <w:iCs/>
          <w:szCs w:val="16"/>
        </w:rPr>
        <w:t> is allowed. When sampling is used, submit a description of the sampling methodology outlining how the design will yield valid and reliable estimates of the target population. (See </w:t>
      </w:r>
      <w:r w:rsidRPr="00781112">
        <w:rPr>
          <w:rFonts w:eastAsia="Times New Roman" w:cs="Arial"/>
          <w:i/>
          <w:iCs/>
          <w:szCs w:val="16"/>
          <w:u w:val="single"/>
        </w:rPr>
        <w:t>General Instructions</w:t>
      </w:r>
      <w:r w:rsidRPr="00781112">
        <w:rPr>
          <w:rFonts w:eastAsia="Times New Roman" w:cs="Arial"/>
          <w:i/>
          <w:iCs/>
          <w:szCs w:val="16"/>
        </w:rPr>
        <w:t xml:space="preserve"> on page </w:t>
      </w:r>
      <w:r w:rsidR="0042509A">
        <w:rPr>
          <w:rFonts w:eastAsia="Times New Roman" w:cs="Arial"/>
          <w:i/>
          <w:iCs/>
          <w:szCs w:val="16"/>
        </w:rPr>
        <w:t>3</w:t>
      </w:r>
      <w:r w:rsidRPr="00781112">
        <w:rPr>
          <w:rFonts w:eastAsia="Times New Roman" w:cs="Arial"/>
          <w:i/>
          <w:iCs/>
          <w:szCs w:val="16"/>
        </w:rPr>
        <w:t xml:space="preserve"> for additional instructions on sampling.)</w:t>
      </w:r>
    </w:p>
    <w:p w14:paraId="7DEAD51C" w14:textId="3CECE5EE" w:rsidR="00B67038" w:rsidRPr="00781112" w:rsidRDefault="003A4027" w:rsidP="003A4027">
      <w:pPr>
        <w:spacing w:before="0" w:after="210"/>
        <w:rPr>
          <w:rFonts w:eastAsia="Times New Roman" w:cs="Arial"/>
          <w:szCs w:val="16"/>
        </w:rPr>
      </w:pPr>
      <w:r w:rsidRPr="00781112">
        <w:rPr>
          <w:rFonts w:eastAsia="Times New Roman" w:cs="Arial"/>
          <w:szCs w:val="16"/>
        </w:rPr>
        <w:t xml:space="preserve">Collect data by September 2023 on students who left school during 2021-2022, timing the data collection so that at least one year has passed since the students left school. </w:t>
      </w:r>
      <w:proofErr w:type="gramStart"/>
      <w:r w:rsidRPr="00781112">
        <w:rPr>
          <w:rFonts w:eastAsia="Times New Roman" w:cs="Arial"/>
          <w:szCs w:val="16"/>
        </w:rPr>
        <w:t>Include</w:t>
      </w:r>
      <w:proofErr w:type="gramEnd"/>
      <w:r w:rsidRPr="00781112">
        <w:rPr>
          <w:rFonts w:eastAsia="Times New Roman" w:cs="Arial"/>
          <w:szCs w:val="16"/>
        </w:rPr>
        <w:t xml:space="preserve"> students who dropped out during 2021-2022 or who were expected to return but did not return for the current school year. This includes all youth who had an IEP in effect at the time they left school, including those who graduated with a regular diploma or some other credential, dropped out, or aged out.</w:t>
      </w:r>
    </w:p>
    <w:p w14:paraId="34FE8763" w14:textId="77777777" w:rsidR="00B67038" w:rsidRPr="00781112" w:rsidRDefault="00B67038" w:rsidP="003A4027">
      <w:pPr>
        <w:spacing w:before="0" w:after="0"/>
        <w:rPr>
          <w:rFonts w:eastAsia="Times New Roman" w:cs="Arial"/>
          <w:b/>
          <w:bCs/>
          <w:szCs w:val="16"/>
        </w:rPr>
      </w:pPr>
      <w:r w:rsidRPr="00781112">
        <w:rPr>
          <w:rFonts w:eastAsia="Times New Roman" w:cs="Arial"/>
          <w:b/>
          <w:bCs/>
          <w:szCs w:val="16"/>
        </w:rPr>
        <w:t>I. </w:t>
      </w:r>
      <w:r w:rsidRPr="00781112">
        <w:rPr>
          <w:rFonts w:eastAsia="Times New Roman" w:cs="Arial"/>
          <w:b/>
          <w:bCs/>
          <w:i/>
          <w:iCs/>
          <w:szCs w:val="16"/>
        </w:rPr>
        <w:t>Definitions</w:t>
      </w:r>
    </w:p>
    <w:p w14:paraId="239CB051" w14:textId="357D0921" w:rsidR="00B67038" w:rsidRPr="00781112" w:rsidRDefault="00B67038" w:rsidP="003A4027">
      <w:pPr>
        <w:spacing w:before="0" w:after="210"/>
        <w:rPr>
          <w:rFonts w:eastAsia="Times New Roman" w:cs="Arial"/>
          <w:szCs w:val="16"/>
        </w:rPr>
      </w:pPr>
      <w:r w:rsidRPr="00781112">
        <w:rPr>
          <w:rFonts w:eastAsia="Times New Roman" w:cs="Arial"/>
          <w:i/>
          <w:iCs/>
          <w:szCs w:val="16"/>
        </w:rPr>
        <w:t>Enrolled in higher education</w:t>
      </w:r>
      <w:r w:rsidRPr="00781112">
        <w:rPr>
          <w:rFonts w:eastAsia="Times New Roman" w:cs="Arial"/>
          <w:szCs w:val="16"/>
        </w:rPr>
        <w:t> as used in measures A, B, and C means youth have been enrolled on a full- or part-time basis in a community college (</w:t>
      </w:r>
      <w:r w:rsidR="00DB1150" w:rsidRPr="00781112">
        <w:rPr>
          <w:rFonts w:eastAsia="Times New Roman" w:cs="Arial"/>
          <w:szCs w:val="16"/>
        </w:rPr>
        <w:t>two-year</w:t>
      </w:r>
      <w:r w:rsidRPr="00781112">
        <w:rPr>
          <w:rFonts w:eastAsia="Times New Roman" w:cs="Arial"/>
          <w:szCs w:val="16"/>
        </w:rPr>
        <w:t xml:space="preserve"> program) or college/university (</w:t>
      </w:r>
      <w:proofErr w:type="gramStart"/>
      <w:r w:rsidRPr="00781112">
        <w:rPr>
          <w:rFonts w:eastAsia="Times New Roman" w:cs="Arial"/>
          <w:szCs w:val="16"/>
        </w:rPr>
        <w:t>four or more year</w:t>
      </w:r>
      <w:proofErr w:type="gramEnd"/>
      <w:r w:rsidRPr="00781112">
        <w:rPr>
          <w:rFonts w:eastAsia="Times New Roman" w:cs="Arial"/>
          <w:szCs w:val="16"/>
        </w:rPr>
        <w:t xml:space="preserve"> program) for at least one complete term, at any time in the year since leaving high school.</w:t>
      </w:r>
    </w:p>
    <w:p w14:paraId="4D24D49D" w14:textId="70217398" w:rsidR="00B67038" w:rsidRPr="00781112" w:rsidRDefault="003A4027" w:rsidP="003A4027">
      <w:pPr>
        <w:spacing w:before="0" w:after="210"/>
        <w:rPr>
          <w:rFonts w:eastAsia="Times New Roman" w:cs="Arial"/>
          <w:szCs w:val="16"/>
        </w:rPr>
      </w:pPr>
      <w:r w:rsidRPr="00781112">
        <w:rPr>
          <w:rFonts w:eastAsia="Times New Roman" w:cs="Arial"/>
          <w:i/>
          <w:iCs/>
          <w:szCs w:val="16"/>
        </w:rPr>
        <w:t xml:space="preserve">Competitive employment </w:t>
      </w:r>
      <w:r w:rsidRPr="00781112">
        <w:rPr>
          <w:rFonts w:eastAsia="Times New Roman" w:cs="Arial"/>
          <w:iCs/>
          <w:szCs w:val="16"/>
        </w:rPr>
        <w:t>as used in measures B and C: States have two options to report data under “competitive employment”:</w:t>
      </w:r>
    </w:p>
    <w:p w14:paraId="18FD65ED" w14:textId="77777777" w:rsidR="00B67038" w:rsidRPr="00781112" w:rsidRDefault="00B67038" w:rsidP="002D597B">
      <w:pPr>
        <w:spacing w:before="0" w:after="210"/>
        <w:rPr>
          <w:rFonts w:eastAsia="Times New Roman" w:cs="Arial"/>
          <w:szCs w:val="16"/>
        </w:rPr>
      </w:pPr>
      <w:r w:rsidRPr="00781112">
        <w:rPr>
          <w:rFonts w:eastAsia="Times New Roman" w:cs="Arial"/>
          <w:szCs w:val="16"/>
        </w:rPr>
        <w:t>Option 1: Use the same definition as used to report in the FFY 2015 SPP/APR, i.e., competitive employment means that youth have worked for pay at or above the minimum wage in a setting with others who are nondisabled for a period of 20 hours a week for at least 90 days at any time in the year since leaving high school. This includes military employment.</w:t>
      </w:r>
    </w:p>
    <w:p w14:paraId="4C3BF53C" w14:textId="4E5C90D1" w:rsidR="00B67038" w:rsidRPr="00781112" w:rsidRDefault="00B67038" w:rsidP="002D597B">
      <w:pPr>
        <w:spacing w:before="0"/>
        <w:rPr>
          <w:rFonts w:eastAsia="Times New Roman" w:cs="Arial"/>
          <w:szCs w:val="16"/>
        </w:rPr>
      </w:pPr>
      <w:r w:rsidRPr="00781112">
        <w:rPr>
          <w:rFonts w:eastAsia="Times New Roman" w:cs="Arial"/>
          <w:szCs w:val="16"/>
        </w:rPr>
        <w:t xml:space="preserve">Option 2: States report in alignment with the term “competitive integrated employment” and its definition, in section 7(5) of the Rehabilitation Act of 1973, as amended by Workforce Innovation and Opportunity Act (WIOA). </w:t>
      </w:r>
      <w:proofErr w:type="gramStart"/>
      <w:r w:rsidRPr="00781112">
        <w:rPr>
          <w:rFonts w:eastAsia="Times New Roman" w:cs="Arial"/>
          <w:szCs w:val="16"/>
        </w:rPr>
        <w:t>For the purpose of</w:t>
      </w:r>
      <w:proofErr w:type="gramEnd"/>
      <w:r w:rsidRPr="00781112">
        <w:rPr>
          <w:rFonts w:eastAsia="Times New Roman" w:cs="Arial"/>
          <w:szCs w:val="16"/>
        </w:rPr>
        <w:t xml:space="preserve"> defining the rate of compensation for students working on a “part-time basis” under this category, OSEP maintains the standard of 20 hours a week for at least 90 days at any time in the year since leaving high school. This definition applies to military employment.</w:t>
      </w:r>
    </w:p>
    <w:p w14:paraId="333BEB38" w14:textId="039F8C06" w:rsidR="00B67038" w:rsidRPr="00781112" w:rsidRDefault="00B67038" w:rsidP="003A4027">
      <w:pPr>
        <w:spacing w:before="0" w:after="0"/>
        <w:rPr>
          <w:rFonts w:eastAsia="Times New Roman" w:cs="Arial"/>
          <w:b/>
          <w:bCs/>
          <w:szCs w:val="16"/>
        </w:rPr>
      </w:pPr>
    </w:p>
    <w:p w14:paraId="1CBB96D1" w14:textId="18D4158D" w:rsidR="00B67038" w:rsidRPr="00781112" w:rsidRDefault="00B67038" w:rsidP="003A4027">
      <w:pPr>
        <w:spacing w:before="0" w:after="210"/>
        <w:rPr>
          <w:rFonts w:eastAsia="Times New Roman" w:cs="Arial"/>
          <w:szCs w:val="16"/>
        </w:rPr>
      </w:pPr>
      <w:r w:rsidRPr="00781112">
        <w:rPr>
          <w:rFonts w:eastAsia="Times New Roman" w:cs="Arial"/>
          <w:i/>
          <w:iCs/>
          <w:szCs w:val="16"/>
        </w:rPr>
        <w:t>Enrolled in other postsecondary education or training</w:t>
      </w:r>
      <w:r w:rsidRPr="00781112">
        <w:rPr>
          <w:rFonts w:eastAsia="Times New Roman" w:cs="Arial"/>
          <w:szCs w:val="16"/>
        </w:rPr>
        <w:t xml:space="preserve"> as used in measure C, means youth have been enrolled on a full- or part-time basis for at least 1 complete term at any time in the year since leaving high school in an education or training program (e.g., Job Corps, adult education, workforce development program, vocational technical school which is less than a </w:t>
      </w:r>
      <w:r w:rsidR="00DB1150" w:rsidRPr="00781112">
        <w:rPr>
          <w:rFonts w:eastAsia="Times New Roman" w:cs="Arial"/>
          <w:szCs w:val="16"/>
        </w:rPr>
        <w:t>two-year</w:t>
      </w:r>
      <w:r w:rsidRPr="00781112">
        <w:rPr>
          <w:rFonts w:eastAsia="Times New Roman" w:cs="Arial"/>
          <w:szCs w:val="16"/>
        </w:rPr>
        <w:t xml:space="preserve"> program).</w:t>
      </w:r>
    </w:p>
    <w:p w14:paraId="639590BD" w14:textId="70B345B4" w:rsidR="00B67038" w:rsidRPr="00781112" w:rsidRDefault="00B67038" w:rsidP="003A4027">
      <w:pPr>
        <w:spacing w:before="0"/>
        <w:rPr>
          <w:rFonts w:eastAsia="Times New Roman" w:cs="Arial"/>
          <w:szCs w:val="16"/>
        </w:rPr>
      </w:pPr>
      <w:r w:rsidRPr="00781112">
        <w:rPr>
          <w:rFonts w:eastAsia="Times New Roman" w:cs="Arial"/>
          <w:i/>
          <w:iCs/>
          <w:szCs w:val="16"/>
        </w:rPr>
        <w:t>Some other employment</w:t>
      </w:r>
      <w:r w:rsidRPr="00781112">
        <w:rPr>
          <w:rFonts w:eastAsia="Times New Roman" w:cs="Arial"/>
          <w:szCs w:val="16"/>
        </w:rPr>
        <w:t> as used in measure C means youth have worked for pay or been self-employed for a period of at least 90 days at any time in the year since leaving high school. This includes working in a family business (e.g., farm, store, fishing, ranching, catering services).</w:t>
      </w:r>
    </w:p>
    <w:p w14:paraId="6F699AAF" w14:textId="77777777" w:rsidR="00A45E9F" w:rsidRPr="00781112" w:rsidRDefault="00A45E9F" w:rsidP="003A4027">
      <w:pPr>
        <w:spacing w:before="0"/>
        <w:rPr>
          <w:rFonts w:eastAsia="Times New Roman" w:cs="Arial"/>
          <w:szCs w:val="16"/>
        </w:rPr>
      </w:pPr>
    </w:p>
    <w:p w14:paraId="7BDE8111" w14:textId="77777777" w:rsidR="00B67038" w:rsidRPr="00781112" w:rsidRDefault="00B67038" w:rsidP="003A4027">
      <w:pPr>
        <w:spacing w:before="0" w:after="0"/>
        <w:rPr>
          <w:rFonts w:eastAsia="Times New Roman" w:cs="Arial"/>
          <w:b/>
          <w:bCs/>
          <w:szCs w:val="16"/>
        </w:rPr>
      </w:pPr>
      <w:r w:rsidRPr="00781112">
        <w:rPr>
          <w:rFonts w:eastAsia="Times New Roman" w:cs="Arial"/>
          <w:b/>
          <w:bCs/>
          <w:szCs w:val="16"/>
        </w:rPr>
        <w:t>II. </w:t>
      </w:r>
      <w:r w:rsidRPr="00781112">
        <w:rPr>
          <w:rFonts w:eastAsia="Times New Roman" w:cs="Arial"/>
          <w:b/>
          <w:bCs/>
          <w:i/>
          <w:iCs/>
          <w:szCs w:val="16"/>
        </w:rPr>
        <w:t>Data Reporting</w:t>
      </w:r>
    </w:p>
    <w:p w14:paraId="46BA4A98" w14:textId="77777777" w:rsidR="003B692F" w:rsidRPr="00781112" w:rsidRDefault="003B692F" w:rsidP="003B692F">
      <w:pPr>
        <w:spacing w:before="0" w:after="0"/>
        <w:rPr>
          <w:rFonts w:eastAsia="Times New Roman" w:cs="Arial"/>
          <w:szCs w:val="16"/>
        </w:rPr>
      </w:pPr>
      <w:r w:rsidRPr="00781112">
        <w:rPr>
          <w:rFonts w:eastAsia="Times New Roman" w:cs="Arial"/>
          <w:szCs w:val="16"/>
        </w:rPr>
        <w:t>States must describe the metric used to determine representativeness (e.g., +/- 3% discrepancy in the proportion of responders compared to target group).</w:t>
      </w:r>
    </w:p>
    <w:p w14:paraId="73CC7B43" w14:textId="77777777" w:rsidR="003B692F" w:rsidRPr="00781112" w:rsidRDefault="003B692F" w:rsidP="003B692F">
      <w:pPr>
        <w:spacing w:before="0" w:after="0"/>
        <w:rPr>
          <w:rFonts w:eastAsia="Times New Roman" w:cs="Arial"/>
          <w:szCs w:val="16"/>
        </w:rPr>
      </w:pPr>
      <w:r w:rsidRPr="00781112">
        <w:rPr>
          <w:rFonts w:eastAsia="Times New Roman" w:cs="Arial"/>
          <w:szCs w:val="16"/>
        </w:rPr>
        <w:t xml:space="preserve">Provide the total number of targeted </w:t>
      </w:r>
      <w:proofErr w:type="gramStart"/>
      <w:r w:rsidRPr="00781112">
        <w:rPr>
          <w:rFonts w:eastAsia="Times New Roman" w:cs="Arial"/>
          <w:szCs w:val="16"/>
        </w:rPr>
        <w:t>youth</w:t>
      </w:r>
      <w:proofErr w:type="gramEnd"/>
      <w:r w:rsidRPr="00781112">
        <w:rPr>
          <w:rFonts w:eastAsia="Times New Roman" w:cs="Arial"/>
          <w:szCs w:val="16"/>
        </w:rPr>
        <w:t xml:space="preserve"> in the sample or census.</w:t>
      </w:r>
    </w:p>
    <w:p w14:paraId="220A6449" w14:textId="50017A86" w:rsidR="00B67038" w:rsidRPr="00781112" w:rsidRDefault="00B67038" w:rsidP="003A4027">
      <w:pPr>
        <w:spacing w:before="0" w:after="210"/>
        <w:rPr>
          <w:rFonts w:eastAsia="Times New Roman" w:cs="Arial"/>
          <w:szCs w:val="16"/>
        </w:rPr>
      </w:pPr>
      <w:r w:rsidRPr="00781112">
        <w:rPr>
          <w:rFonts w:eastAsia="Times New Roman" w:cs="Arial"/>
          <w:szCs w:val="16"/>
        </w:rPr>
        <w:t>Provide the actual numbers for each of the following mutually exclusive categories. The actual number of “leavers” who are:</w:t>
      </w:r>
    </w:p>
    <w:p w14:paraId="03B608C9" w14:textId="51223E67" w:rsidR="00B67038" w:rsidRPr="00781112" w:rsidRDefault="006C58FD" w:rsidP="006A01BD">
      <w:pPr>
        <w:spacing w:before="0" w:after="0"/>
        <w:ind w:left="432"/>
        <w:rPr>
          <w:rFonts w:eastAsia="Times New Roman" w:cs="Arial"/>
          <w:szCs w:val="16"/>
        </w:rPr>
      </w:pPr>
      <w:r w:rsidRPr="00781112">
        <w:rPr>
          <w:rFonts w:eastAsia="Times New Roman" w:cs="Arial"/>
          <w:szCs w:val="16"/>
        </w:rPr>
        <w:tab/>
        <w:t xml:space="preserve">1. Enrolled in higher education within one year of leaving high </w:t>
      </w:r>
      <w:proofErr w:type="gramStart"/>
      <w:r w:rsidRPr="00781112">
        <w:rPr>
          <w:rFonts w:eastAsia="Times New Roman" w:cs="Arial"/>
          <w:szCs w:val="16"/>
        </w:rPr>
        <w:t>school;</w:t>
      </w:r>
      <w:proofErr w:type="gramEnd"/>
    </w:p>
    <w:p w14:paraId="797BA656" w14:textId="599F8145" w:rsidR="00B67038" w:rsidRPr="00781112" w:rsidRDefault="006C58FD" w:rsidP="006A01BD">
      <w:pPr>
        <w:spacing w:before="0" w:after="0"/>
        <w:ind w:left="432"/>
        <w:rPr>
          <w:rFonts w:eastAsia="Times New Roman" w:cs="Arial"/>
          <w:szCs w:val="16"/>
        </w:rPr>
      </w:pPr>
      <w:r w:rsidRPr="00781112">
        <w:rPr>
          <w:rFonts w:eastAsia="Times New Roman" w:cs="Arial"/>
          <w:szCs w:val="16"/>
        </w:rPr>
        <w:tab/>
        <w:t>2. Competitively employed within one year of leaving high school (but not enrolled in higher education</w:t>
      </w:r>
      <w:proofErr w:type="gramStart"/>
      <w:r w:rsidRPr="00781112">
        <w:rPr>
          <w:rFonts w:eastAsia="Times New Roman" w:cs="Arial"/>
          <w:szCs w:val="16"/>
        </w:rPr>
        <w:t>);</w:t>
      </w:r>
      <w:proofErr w:type="gramEnd"/>
    </w:p>
    <w:p w14:paraId="17A92E9A" w14:textId="38C95AA9" w:rsidR="00B67038" w:rsidRPr="00781112" w:rsidRDefault="006C58FD" w:rsidP="00856B0E">
      <w:pPr>
        <w:spacing w:before="0" w:after="0"/>
        <w:ind w:left="720"/>
        <w:rPr>
          <w:rFonts w:eastAsia="Times New Roman" w:cs="Arial"/>
          <w:szCs w:val="16"/>
        </w:rPr>
      </w:pPr>
      <w:r w:rsidRPr="00781112">
        <w:rPr>
          <w:rFonts w:eastAsia="Times New Roman" w:cs="Arial"/>
          <w:szCs w:val="16"/>
        </w:rPr>
        <w:t>3. Enrolled in some other postsecondary education or training program within one year of leaving high school (but not enrolled in higher education or competitively employed</w:t>
      </w:r>
      <w:proofErr w:type="gramStart"/>
      <w:r w:rsidRPr="00781112">
        <w:rPr>
          <w:rFonts w:eastAsia="Times New Roman" w:cs="Arial"/>
          <w:szCs w:val="16"/>
        </w:rPr>
        <w:t>);</w:t>
      </w:r>
      <w:proofErr w:type="gramEnd"/>
    </w:p>
    <w:p w14:paraId="506D7913" w14:textId="6D55FB4B" w:rsidR="00B67038" w:rsidRPr="00781112" w:rsidRDefault="006C58FD" w:rsidP="00856B0E">
      <w:pPr>
        <w:spacing w:before="0" w:after="0"/>
        <w:ind w:left="720"/>
        <w:rPr>
          <w:rFonts w:eastAsia="Times New Roman" w:cs="Arial"/>
          <w:szCs w:val="16"/>
        </w:rPr>
      </w:pPr>
      <w:r w:rsidRPr="00781112">
        <w:rPr>
          <w:rFonts w:eastAsia="Times New Roman" w:cs="Arial"/>
          <w:szCs w:val="16"/>
        </w:rPr>
        <w:t>4. In some other employment within one year of leaving high school (but not enrolled in higher education, some other postsecondary education or training program, or competitively employed).</w:t>
      </w:r>
    </w:p>
    <w:p w14:paraId="32C672D4" w14:textId="77777777" w:rsidR="006C58FD" w:rsidRPr="00781112" w:rsidRDefault="006C58FD" w:rsidP="00B67038">
      <w:pPr>
        <w:spacing w:before="0"/>
        <w:ind w:left="432"/>
        <w:rPr>
          <w:rFonts w:eastAsia="Times New Roman" w:cs="Arial"/>
          <w:szCs w:val="16"/>
        </w:rPr>
      </w:pPr>
    </w:p>
    <w:p w14:paraId="12CAB169" w14:textId="34F2A4F0" w:rsidR="00B67038" w:rsidRPr="00781112" w:rsidRDefault="00B67038" w:rsidP="00B67038">
      <w:pPr>
        <w:spacing w:before="0"/>
        <w:ind w:left="432"/>
        <w:rPr>
          <w:rFonts w:eastAsia="Times New Roman" w:cs="Arial"/>
          <w:color w:val="000000" w:themeColor="text1"/>
          <w:szCs w:val="16"/>
        </w:rPr>
      </w:pPr>
      <w:r w:rsidRPr="00781112">
        <w:rPr>
          <w:rFonts w:eastAsia="Times New Roman" w:cs="Arial"/>
          <w:szCs w:val="16"/>
        </w:rPr>
        <w:t xml:space="preserve">“Leavers” should only be counted in one of the above categories, and the categories are organized hierarchically. So, for example, “leavers” who are enrolled in full- or part-time higher education within one year of leaving high school should only be reported in category 1, even if they also </w:t>
      </w:r>
      <w:r w:rsidRPr="00781112">
        <w:rPr>
          <w:rFonts w:eastAsia="Times New Roman" w:cs="Arial"/>
          <w:szCs w:val="16"/>
        </w:rPr>
        <w:lastRenderedPageBreak/>
        <w:t>happen to be employed. Likewise, “leavers” who are not enrolled in either part- or full-time higher education</w:t>
      </w:r>
      <w:r w:rsidRPr="00781112">
        <w:rPr>
          <w:rFonts w:eastAsia="Times New Roman" w:cs="Arial"/>
          <w:color w:val="000000" w:themeColor="text1"/>
          <w:szCs w:val="16"/>
        </w:rPr>
        <w:t>, but who are competitively employed, should only be reported under category 2, even if they happen to be enrolled in some other postsecondary education or training program.</w:t>
      </w:r>
    </w:p>
    <w:p w14:paraId="4A3EA80C" w14:textId="451D34D2" w:rsidR="00A45E9F" w:rsidRPr="00781112" w:rsidRDefault="00A45E9F" w:rsidP="00A45E9F">
      <w:pPr>
        <w:spacing w:before="0"/>
        <w:rPr>
          <w:rFonts w:eastAsia="Times New Roman" w:cs="Arial"/>
          <w:szCs w:val="16"/>
        </w:rPr>
      </w:pPr>
      <w:r w:rsidRPr="00781112">
        <w:rPr>
          <w:rFonts w:eastAsia="Times New Roman" w:cs="Arial"/>
          <w:szCs w:val="16"/>
        </w:rPr>
        <w:t>States must compare the response rate for the reporting year to the response rate for the previous year (e.g., in the FFY 2022 SPP/APR, compare the FFY 2022 response rate to the FFY 2021 response rate), and describe strategies that will be implemented which are expected to increase the response rate year over year, particularly for those groups that are underrepresented.</w:t>
      </w:r>
    </w:p>
    <w:p w14:paraId="5BAE56A4" w14:textId="0E46D158" w:rsidR="00A45E9F" w:rsidRPr="00781112" w:rsidRDefault="00A45E9F" w:rsidP="00A45E9F">
      <w:pPr>
        <w:spacing w:before="0"/>
        <w:rPr>
          <w:rFonts w:eastAsia="Times New Roman" w:cs="Arial"/>
          <w:szCs w:val="16"/>
        </w:rPr>
      </w:pPr>
      <w:r w:rsidRPr="00781112">
        <w:rPr>
          <w:rFonts w:eastAsia="Times New Roman" w:cs="Arial"/>
          <w:szCs w:val="16"/>
        </w:rPr>
        <w:t>The State must also analyze the response rate to identify potential nonresponse bias and take steps to reduce any identified bias and promote response from a broad cross section of youth who are no longer in secondary school and had IEPs in effect at the time they left school.</w:t>
      </w:r>
    </w:p>
    <w:p w14:paraId="1B5E439E" w14:textId="77777777" w:rsidR="00A45E9F" w:rsidRPr="00781112" w:rsidRDefault="00A45E9F" w:rsidP="00360DD6">
      <w:pPr>
        <w:spacing w:before="0"/>
        <w:rPr>
          <w:rFonts w:eastAsia="Times New Roman" w:cs="Arial"/>
          <w:szCs w:val="16"/>
        </w:rPr>
      </w:pPr>
    </w:p>
    <w:p w14:paraId="0504C504" w14:textId="1B4B7E8B" w:rsidR="00B67038" w:rsidRPr="00781112" w:rsidRDefault="00B67038" w:rsidP="003A4027">
      <w:pPr>
        <w:spacing w:before="0" w:after="0"/>
        <w:rPr>
          <w:rFonts w:eastAsia="Times New Roman" w:cs="Arial"/>
          <w:b/>
          <w:bCs/>
          <w:color w:val="000000" w:themeColor="text1"/>
          <w:szCs w:val="16"/>
        </w:rPr>
      </w:pPr>
      <w:r w:rsidRPr="00781112">
        <w:rPr>
          <w:rFonts w:eastAsia="Times New Roman" w:cs="Arial"/>
          <w:b/>
          <w:bCs/>
          <w:color w:val="000000" w:themeColor="text1"/>
          <w:szCs w:val="16"/>
        </w:rPr>
        <w:t>III. </w:t>
      </w:r>
      <w:r w:rsidRPr="00781112">
        <w:rPr>
          <w:rFonts w:eastAsia="Times New Roman" w:cs="Arial"/>
          <w:b/>
          <w:bCs/>
          <w:i/>
          <w:iCs/>
          <w:color w:val="000000" w:themeColor="text1"/>
          <w:szCs w:val="16"/>
        </w:rPr>
        <w:t xml:space="preserve">Reporting </w:t>
      </w:r>
      <w:r w:rsidR="00DB1150" w:rsidRPr="00781112">
        <w:rPr>
          <w:rFonts w:eastAsia="Times New Roman" w:cs="Arial"/>
          <w:b/>
          <w:bCs/>
          <w:i/>
          <w:iCs/>
          <w:color w:val="000000" w:themeColor="text1"/>
          <w:szCs w:val="16"/>
        </w:rPr>
        <w:t>on</w:t>
      </w:r>
      <w:r w:rsidRPr="00781112">
        <w:rPr>
          <w:rFonts w:eastAsia="Times New Roman" w:cs="Arial"/>
          <w:b/>
          <w:bCs/>
          <w:i/>
          <w:iCs/>
          <w:color w:val="000000" w:themeColor="text1"/>
          <w:szCs w:val="16"/>
        </w:rPr>
        <w:t xml:space="preserve"> the Measures/Indicators</w:t>
      </w:r>
    </w:p>
    <w:p w14:paraId="2306E2F3" w14:textId="77777777" w:rsidR="00B67038" w:rsidRPr="00781112" w:rsidRDefault="00B67038" w:rsidP="003A4027">
      <w:pPr>
        <w:spacing w:before="0" w:after="210"/>
        <w:rPr>
          <w:rFonts w:eastAsia="Times New Roman" w:cs="Arial"/>
          <w:color w:val="000000" w:themeColor="text1"/>
          <w:szCs w:val="16"/>
        </w:rPr>
      </w:pPr>
      <w:r w:rsidRPr="00781112">
        <w:rPr>
          <w:rFonts w:eastAsia="Times New Roman" w:cs="Arial"/>
          <w:color w:val="000000" w:themeColor="text1"/>
          <w:szCs w:val="16"/>
        </w:rPr>
        <w:t>Targets must be established for measures A, B, and C.</w:t>
      </w:r>
    </w:p>
    <w:p w14:paraId="5A3D5C77" w14:textId="77777777" w:rsidR="00B67038" w:rsidRPr="00781112" w:rsidRDefault="00B67038" w:rsidP="003A4027">
      <w:pPr>
        <w:spacing w:before="0" w:after="210"/>
        <w:rPr>
          <w:rFonts w:eastAsia="Times New Roman" w:cs="Arial"/>
          <w:color w:val="000000" w:themeColor="text1"/>
          <w:szCs w:val="16"/>
        </w:rPr>
      </w:pPr>
      <w:r w:rsidRPr="00781112">
        <w:rPr>
          <w:rFonts w:eastAsia="Times New Roman" w:cs="Arial"/>
          <w:color w:val="000000" w:themeColor="text1"/>
          <w:szCs w:val="16"/>
        </w:rPr>
        <w:t xml:space="preserve">Measure A: For purposes of reporting on the measures/indicators, please note that any youth enrolled in an institution of higher education (that meets any definition of this term in the Higher Education Act (HEA)) within one year of leaving high school </w:t>
      </w:r>
      <w:r w:rsidRPr="00BA3DBE">
        <w:rPr>
          <w:rFonts w:eastAsia="Times New Roman" w:cs="Arial"/>
          <w:i/>
          <w:iCs/>
          <w:color w:val="000000" w:themeColor="text1"/>
          <w:szCs w:val="16"/>
        </w:rPr>
        <w:t>must</w:t>
      </w:r>
      <w:r w:rsidRPr="00781112">
        <w:rPr>
          <w:rFonts w:eastAsia="Times New Roman" w:cs="Arial"/>
          <w:color w:val="000000" w:themeColor="text1"/>
          <w:szCs w:val="16"/>
        </w:rPr>
        <w:t xml:space="preserve"> be reported under measure A. This could include youth who also happen to be competitively employed, or in some other training program; however, the key outcome we are interested in here is enrollment in higher education.</w:t>
      </w:r>
    </w:p>
    <w:p w14:paraId="7F113969" w14:textId="77777777" w:rsidR="00B67038" w:rsidRPr="00781112" w:rsidRDefault="00B67038" w:rsidP="003A4027">
      <w:pPr>
        <w:spacing w:before="0" w:after="210"/>
        <w:rPr>
          <w:rFonts w:eastAsia="Times New Roman" w:cs="Arial"/>
          <w:color w:val="000000" w:themeColor="text1"/>
          <w:szCs w:val="16"/>
        </w:rPr>
      </w:pPr>
      <w:r w:rsidRPr="00781112">
        <w:rPr>
          <w:rFonts w:eastAsia="Times New Roman" w:cs="Arial"/>
          <w:color w:val="000000" w:themeColor="text1"/>
          <w:szCs w:val="16"/>
        </w:rPr>
        <w:t>Measure B: All youth reported under measure A should also be reported under measure B, in addition to all youth that obtain competitive employment within one year of leaving high school.</w:t>
      </w:r>
    </w:p>
    <w:p w14:paraId="52D47ED5" w14:textId="76A8EB3A" w:rsidR="00B67038" w:rsidRDefault="00B67038" w:rsidP="003A4027">
      <w:pPr>
        <w:spacing w:before="0" w:after="210"/>
        <w:rPr>
          <w:rFonts w:eastAsia="Times New Roman" w:cs="Arial"/>
          <w:color w:val="000000" w:themeColor="text1"/>
          <w:szCs w:val="16"/>
        </w:rPr>
      </w:pPr>
      <w:r w:rsidRPr="00781112">
        <w:rPr>
          <w:rFonts w:eastAsia="Times New Roman" w:cs="Arial"/>
          <w:color w:val="000000" w:themeColor="text1"/>
          <w:szCs w:val="16"/>
        </w:rPr>
        <w:t>Measure C: All youth reported under measures A and B should also be reported under measure C, in addition to youth that are enrolled in some other postsecondary education or training program, or in some other employment.</w:t>
      </w:r>
    </w:p>
    <w:p w14:paraId="738C97A7" w14:textId="28860F3E" w:rsidR="004D1797" w:rsidRDefault="004D1797" w:rsidP="003A4027">
      <w:pPr>
        <w:spacing w:before="0" w:after="210"/>
      </w:pPr>
      <w:bookmarkStart w:id="86" w:name="_Hlk116647998"/>
      <w:r>
        <w:t>I</w:t>
      </w:r>
      <w:r w:rsidR="00DF5951">
        <w:t>nclude the State’s analysis of the extent to which the response data are representative of the demographics of youth who are no longer in secondary school and had IEPs in effect at the time they left school. States must include race/ethnicity in their analysis. In addition, the State’s analysis must include at least one of the following demographics:</w:t>
      </w:r>
      <w:r w:rsidR="00F24C95">
        <w:t xml:space="preserve"> disability category, gender, geographic location, and/or another demographic category approved through the stakeholder input process. </w:t>
      </w:r>
    </w:p>
    <w:p w14:paraId="5D1C94BB" w14:textId="13CB2664" w:rsidR="00DF5951" w:rsidRPr="006D5DC4" w:rsidRDefault="00F24C95" w:rsidP="003A4027">
      <w:pPr>
        <w:spacing w:before="0" w:after="210"/>
      </w:pPr>
      <w:r>
        <w:t>If the analysis shows that the response data are not representative of the demographics of youth who are no longer in secondary school and had IEPs in effect at the time they left school, describe the strategies that the State will use to ensure that in the future the response data are representative of those demographics. In identifying such strategies, the State should consider factors such as how the State collected the data.</w:t>
      </w:r>
    </w:p>
    <w:bookmarkEnd w:id="86"/>
    <w:p w14:paraId="3FE9961A" w14:textId="1EDBA086" w:rsidR="000301BA" w:rsidRPr="00781112" w:rsidRDefault="00172058" w:rsidP="00123D76">
      <w:pPr>
        <w:pStyle w:val="Heading2"/>
      </w:pPr>
      <w:r w:rsidRPr="00781112">
        <w:t>14 - Indicator Data</w:t>
      </w:r>
    </w:p>
    <w:bookmarkEnd w:id="85"/>
    <w:p w14:paraId="373EDCC8" w14:textId="77777777" w:rsidR="005F442C" w:rsidRPr="00781112" w:rsidRDefault="005F442C" w:rsidP="004369B2">
      <w:pPr>
        <w:rPr>
          <w:color w:val="000000" w:themeColor="text1"/>
        </w:rPr>
      </w:pPr>
      <w:r w:rsidRPr="00781112">
        <w:rPr>
          <w:b/>
          <w:color w:val="000000" w:themeColor="text1"/>
        </w:rPr>
        <w:t>Historical Data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B14HISTDATA"/>
      </w:tblPr>
      <w:tblGrid>
        <w:gridCol w:w="866"/>
        <w:gridCol w:w="1693"/>
        <w:gridCol w:w="833"/>
        <w:gridCol w:w="1480"/>
        <w:gridCol w:w="1480"/>
        <w:gridCol w:w="1480"/>
        <w:gridCol w:w="1480"/>
        <w:gridCol w:w="1478"/>
      </w:tblGrid>
      <w:tr w:rsidR="005C29F8" w:rsidRPr="00781112" w14:paraId="23017209" w14:textId="77777777" w:rsidTr="00C37CAE">
        <w:trPr>
          <w:trHeight w:val="350"/>
        </w:trPr>
        <w:tc>
          <w:tcPr>
            <w:tcW w:w="190" w:type="pct"/>
            <w:tcBorders>
              <w:top w:val="single" w:sz="4" w:space="0" w:color="auto"/>
              <w:left w:val="single" w:sz="4" w:space="0" w:color="auto"/>
              <w:bottom w:val="single" w:sz="4" w:space="0" w:color="auto"/>
              <w:right w:val="single" w:sz="4" w:space="0" w:color="auto"/>
            </w:tcBorders>
            <w:shd w:val="clear" w:color="auto" w:fill="auto"/>
          </w:tcPr>
          <w:p w14:paraId="01A8BBA7" w14:textId="09A1D650" w:rsidR="005F442C" w:rsidRPr="00781112" w:rsidRDefault="004E1996" w:rsidP="008E31C4">
            <w:pPr>
              <w:spacing w:line="276" w:lineRule="auto"/>
              <w:jc w:val="center"/>
              <w:rPr>
                <w:rFonts w:cs="Arial"/>
                <w:b/>
                <w:color w:val="000000" w:themeColor="text1"/>
                <w:szCs w:val="16"/>
              </w:rPr>
            </w:pPr>
            <w:r w:rsidRPr="00781112">
              <w:rPr>
                <w:rFonts w:cs="Arial"/>
                <w:b/>
                <w:color w:val="000000" w:themeColor="text1"/>
                <w:szCs w:val="16"/>
              </w:rPr>
              <w:t>Measure</w:t>
            </w:r>
          </w:p>
        </w:tc>
        <w:tc>
          <w:tcPr>
            <w:tcW w:w="815" w:type="pct"/>
            <w:tcBorders>
              <w:top w:val="single" w:sz="4" w:space="0" w:color="auto"/>
              <w:left w:val="single" w:sz="4" w:space="0" w:color="auto"/>
              <w:bottom w:val="single" w:sz="4" w:space="0" w:color="auto"/>
              <w:right w:val="single" w:sz="4" w:space="0" w:color="auto"/>
            </w:tcBorders>
            <w:shd w:val="clear" w:color="auto" w:fill="auto"/>
          </w:tcPr>
          <w:p w14:paraId="4133A4B9" w14:textId="6C60B813" w:rsidR="005F442C" w:rsidRPr="00781112" w:rsidRDefault="005F442C" w:rsidP="008E31C4">
            <w:pPr>
              <w:spacing w:line="276" w:lineRule="auto"/>
              <w:jc w:val="center"/>
              <w:rPr>
                <w:rFonts w:cs="Arial"/>
                <w:b/>
                <w:color w:val="000000" w:themeColor="text1"/>
                <w:szCs w:val="16"/>
              </w:rPr>
            </w:pPr>
            <w:r w:rsidRPr="00781112">
              <w:rPr>
                <w:rFonts w:cs="Arial"/>
                <w:b/>
                <w:color w:val="000000" w:themeColor="text1"/>
                <w:szCs w:val="16"/>
              </w:rPr>
              <w:t xml:space="preserve">Baseline </w:t>
            </w:r>
          </w:p>
        </w:tc>
        <w:tc>
          <w:tcPr>
            <w:tcW w:w="416" w:type="pct"/>
            <w:tcBorders>
              <w:top w:val="single" w:sz="4" w:space="0" w:color="auto"/>
              <w:left w:val="single" w:sz="4" w:space="0" w:color="auto"/>
              <w:bottom w:val="single" w:sz="4" w:space="0" w:color="auto"/>
              <w:right w:val="single" w:sz="4" w:space="0" w:color="auto"/>
            </w:tcBorders>
            <w:shd w:val="clear" w:color="auto" w:fill="auto"/>
          </w:tcPr>
          <w:p w14:paraId="754329BE" w14:textId="77777777" w:rsidR="005F442C" w:rsidRPr="00781112" w:rsidRDefault="005F442C" w:rsidP="008E31C4">
            <w:pPr>
              <w:spacing w:line="276" w:lineRule="auto"/>
              <w:jc w:val="center"/>
              <w:rPr>
                <w:rFonts w:cs="Arial"/>
                <w:b/>
                <w:color w:val="000000" w:themeColor="text1"/>
                <w:szCs w:val="16"/>
              </w:rPr>
            </w:pPr>
            <w:r w:rsidRPr="00781112">
              <w:rPr>
                <w:rFonts w:cs="Arial"/>
                <w:b/>
                <w:color w:val="000000" w:themeColor="text1"/>
                <w:szCs w:val="16"/>
              </w:rPr>
              <w:t>FFY</w:t>
            </w:r>
          </w:p>
        </w:tc>
        <w:tc>
          <w:tcPr>
            <w:tcW w:w="716" w:type="pct"/>
            <w:tcBorders>
              <w:top w:val="single" w:sz="4" w:space="0" w:color="auto"/>
              <w:left w:val="single" w:sz="4" w:space="0" w:color="auto"/>
              <w:bottom w:val="single" w:sz="4" w:space="0" w:color="auto"/>
              <w:right w:val="single" w:sz="4" w:space="0" w:color="auto"/>
            </w:tcBorders>
            <w:shd w:val="clear" w:color="auto" w:fill="auto"/>
            <w:hideMark/>
          </w:tcPr>
          <w:p w14:paraId="2CA54FD7" w14:textId="7E2CC703" w:rsidR="005F442C" w:rsidRPr="00781112" w:rsidRDefault="002B7490" w:rsidP="001111BE">
            <w:pPr>
              <w:spacing w:line="276" w:lineRule="auto"/>
              <w:jc w:val="center"/>
              <w:rPr>
                <w:rFonts w:cs="Arial"/>
                <w:b/>
                <w:color w:val="000000" w:themeColor="text1"/>
                <w:szCs w:val="16"/>
              </w:rPr>
            </w:pPr>
            <w:r w:rsidRPr="00781112">
              <w:rPr>
                <w:rFonts w:cs="Arial"/>
                <w:b/>
                <w:color w:val="000000" w:themeColor="text1"/>
                <w:szCs w:val="16"/>
              </w:rPr>
              <w:t>2017</w:t>
            </w:r>
          </w:p>
        </w:tc>
        <w:tc>
          <w:tcPr>
            <w:tcW w:w="716" w:type="pct"/>
            <w:tcBorders>
              <w:top w:val="single" w:sz="4" w:space="0" w:color="auto"/>
              <w:left w:val="single" w:sz="4" w:space="0" w:color="auto"/>
              <w:bottom w:val="single" w:sz="4" w:space="0" w:color="auto"/>
              <w:right w:val="single" w:sz="4" w:space="0" w:color="auto"/>
            </w:tcBorders>
            <w:shd w:val="clear" w:color="auto" w:fill="auto"/>
            <w:hideMark/>
          </w:tcPr>
          <w:p w14:paraId="5CF4C1A5" w14:textId="184560DA" w:rsidR="005F442C" w:rsidRPr="00781112" w:rsidRDefault="002B7490" w:rsidP="001111BE">
            <w:pPr>
              <w:spacing w:line="276" w:lineRule="auto"/>
              <w:jc w:val="center"/>
              <w:rPr>
                <w:rFonts w:cs="Arial"/>
                <w:b/>
                <w:color w:val="000000" w:themeColor="text1"/>
                <w:szCs w:val="16"/>
              </w:rPr>
            </w:pPr>
            <w:r w:rsidRPr="00781112">
              <w:rPr>
                <w:rFonts w:cs="Arial"/>
                <w:b/>
                <w:color w:val="000000" w:themeColor="text1"/>
                <w:szCs w:val="16"/>
              </w:rPr>
              <w:t>2018</w:t>
            </w:r>
          </w:p>
        </w:tc>
        <w:tc>
          <w:tcPr>
            <w:tcW w:w="716" w:type="pct"/>
            <w:tcBorders>
              <w:top w:val="single" w:sz="4" w:space="0" w:color="auto"/>
              <w:left w:val="single" w:sz="4" w:space="0" w:color="auto"/>
              <w:bottom w:val="single" w:sz="4" w:space="0" w:color="auto"/>
              <w:right w:val="single" w:sz="4" w:space="0" w:color="auto"/>
            </w:tcBorders>
            <w:shd w:val="clear" w:color="auto" w:fill="auto"/>
          </w:tcPr>
          <w:p w14:paraId="34B5CF47" w14:textId="3E5885FF" w:rsidR="005F442C" w:rsidRPr="00781112" w:rsidRDefault="002B7490" w:rsidP="001111BE">
            <w:pPr>
              <w:spacing w:line="276" w:lineRule="auto"/>
              <w:jc w:val="center"/>
              <w:rPr>
                <w:rFonts w:cs="Arial"/>
                <w:b/>
                <w:color w:val="000000" w:themeColor="text1"/>
                <w:szCs w:val="16"/>
              </w:rPr>
            </w:pPr>
            <w:r w:rsidRPr="00781112">
              <w:rPr>
                <w:rFonts w:cs="Arial"/>
                <w:b/>
                <w:color w:val="000000" w:themeColor="text1"/>
                <w:szCs w:val="16"/>
              </w:rPr>
              <w:t>2019</w:t>
            </w:r>
          </w:p>
        </w:tc>
        <w:tc>
          <w:tcPr>
            <w:tcW w:w="716" w:type="pct"/>
            <w:tcBorders>
              <w:top w:val="single" w:sz="4" w:space="0" w:color="auto"/>
              <w:left w:val="single" w:sz="4" w:space="0" w:color="auto"/>
              <w:bottom w:val="single" w:sz="4" w:space="0" w:color="auto"/>
              <w:right w:val="single" w:sz="4" w:space="0" w:color="auto"/>
            </w:tcBorders>
            <w:shd w:val="clear" w:color="auto" w:fill="auto"/>
            <w:hideMark/>
          </w:tcPr>
          <w:p w14:paraId="3DDDA5B1" w14:textId="0E359AEC" w:rsidR="005F442C" w:rsidRPr="00781112" w:rsidRDefault="002B7490" w:rsidP="001111BE">
            <w:pPr>
              <w:spacing w:line="276" w:lineRule="auto"/>
              <w:jc w:val="center"/>
              <w:rPr>
                <w:rFonts w:cs="Arial"/>
                <w:b/>
                <w:color w:val="000000" w:themeColor="text1"/>
                <w:szCs w:val="16"/>
              </w:rPr>
            </w:pPr>
            <w:r w:rsidRPr="00781112">
              <w:rPr>
                <w:rFonts w:cs="Arial"/>
                <w:b/>
                <w:color w:val="000000" w:themeColor="text1"/>
                <w:szCs w:val="16"/>
              </w:rPr>
              <w:t>2020</w:t>
            </w:r>
          </w:p>
        </w:tc>
        <w:tc>
          <w:tcPr>
            <w:tcW w:w="715" w:type="pct"/>
            <w:tcBorders>
              <w:top w:val="single" w:sz="4" w:space="0" w:color="auto"/>
              <w:left w:val="single" w:sz="4" w:space="0" w:color="auto"/>
              <w:bottom w:val="single" w:sz="4" w:space="0" w:color="auto"/>
              <w:right w:val="single" w:sz="4" w:space="0" w:color="auto"/>
            </w:tcBorders>
            <w:shd w:val="clear" w:color="auto" w:fill="auto"/>
            <w:hideMark/>
          </w:tcPr>
          <w:p w14:paraId="7B2A5B67" w14:textId="00166B91" w:rsidR="005F442C" w:rsidRPr="00781112" w:rsidRDefault="002B7490" w:rsidP="001111BE">
            <w:pPr>
              <w:spacing w:line="276" w:lineRule="auto"/>
              <w:jc w:val="center"/>
              <w:rPr>
                <w:rFonts w:cs="Arial"/>
                <w:b/>
                <w:color w:val="000000" w:themeColor="text1"/>
                <w:szCs w:val="16"/>
              </w:rPr>
            </w:pPr>
            <w:r w:rsidRPr="00781112">
              <w:rPr>
                <w:rFonts w:cs="Arial"/>
                <w:b/>
                <w:color w:val="000000" w:themeColor="text1"/>
                <w:szCs w:val="16"/>
              </w:rPr>
              <w:t>2021</w:t>
            </w:r>
          </w:p>
        </w:tc>
      </w:tr>
      <w:tr w:rsidR="005C29F8" w:rsidRPr="00781112" w14:paraId="083B463F" w14:textId="77777777" w:rsidTr="00C37CAE">
        <w:trPr>
          <w:trHeight w:val="70"/>
        </w:trPr>
        <w:tc>
          <w:tcPr>
            <w:tcW w:w="190" w:type="pct"/>
            <w:tcBorders>
              <w:top w:val="single" w:sz="4" w:space="0" w:color="auto"/>
              <w:left w:val="single" w:sz="4" w:space="0" w:color="auto"/>
              <w:right w:val="single" w:sz="4" w:space="0" w:color="auto"/>
            </w:tcBorders>
            <w:shd w:val="clear" w:color="auto" w:fill="auto"/>
            <w:vAlign w:val="center"/>
          </w:tcPr>
          <w:p w14:paraId="0980813D" w14:textId="77777777" w:rsidR="005F442C" w:rsidRPr="00781112" w:rsidRDefault="005F442C">
            <w:pPr>
              <w:spacing w:line="276" w:lineRule="auto"/>
              <w:jc w:val="center"/>
              <w:rPr>
                <w:rFonts w:cs="Arial"/>
                <w:color w:val="000000" w:themeColor="text1"/>
                <w:szCs w:val="16"/>
              </w:rPr>
            </w:pPr>
            <w:r w:rsidRPr="00781112">
              <w:rPr>
                <w:rFonts w:cs="Arial"/>
                <w:color w:val="000000" w:themeColor="text1"/>
                <w:szCs w:val="16"/>
              </w:rPr>
              <w:t>A</w:t>
            </w:r>
          </w:p>
        </w:tc>
        <w:tc>
          <w:tcPr>
            <w:tcW w:w="815" w:type="pct"/>
            <w:tcBorders>
              <w:top w:val="single" w:sz="4" w:space="0" w:color="auto"/>
              <w:left w:val="single" w:sz="4" w:space="0" w:color="auto"/>
              <w:right w:val="single" w:sz="4" w:space="0" w:color="auto"/>
            </w:tcBorders>
            <w:shd w:val="clear" w:color="auto" w:fill="auto"/>
          </w:tcPr>
          <w:p w14:paraId="21EABCF5" w14:textId="1AD6B491" w:rsidR="005F442C" w:rsidRPr="00781112" w:rsidRDefault="002B7490" w:rsidP="00A018D4">
            <w:pPr>
              <w:jc w:val="center"/>
              <w:rPr>
                <w:rFonts w:cs="Arial"/>
                <w:color w:val="000000" w:themeColor="text1"/>
                <w:szCs w:val="16"/>
              </w:rPr>
            </w:pPr>
            <w:r w:rsidRPr="00781112">
              <w:rPr>
                <w:rFonts w:cs="Arial"/>
                <w:color w:val="000000" w:themeColor="text1"/>
                <w:szCs w:val="16"/>
              </w:rPr>
              <w:t>2014</w:t>
            </w:r>
          </w:p>
        </w:tc>
        <w:tc>
          <w:tcPr>
            <w:tcW w:w="41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55FB488" w14:textId="55829AC6" w:rsidR="005F442C" w:rsidRPr="00781112" w:rsidRDefault="005F442C" w:rsidP="00BA3DBE">
            <w:pPr>
              <w:spacing w:line="276" w:lineRule="auto"/>
              <w:jc w:val="center"/>
              <w:rPr>
                <w:rFonts w:cs="Arial"/>
                <w:color w:val="000000" w:themeColor="text1"/>
                <w:szCs w:val="16"/>
              </w:rPr>
            </w:pPr>
            <w:r w:rsidRPr="00781112">
              <w:rPr>
                <w:rFonts w:cs="Arial"/>
                <w:color w:val="000000" w:themeColor="text1"/>
                <w:szCs w:val="16"/>
              </w:rPr>
              <w:t>Target &gt;=</w:t>
            </w:r>
          </w:p>
        </w:tc>
        <w:tc>
          <w:tcPr>
            <w:tcW w:w="716" w:type="pct"/>
            <w:tcBorders>
              <w:top w:val="single" w:sz="4" w:space="0" w:color="auto"/>
              <w:left w:val="single" w:sz="4" w:space="0" w:color="auto"/>
              <w:bottom w:val="single" w:sz="4" w:space="0" w:color="auto"/>
              <w:right w:val="single" w:sz="4" w:space="0" w:color="auto"/>
            </w:tcBorders>
            <w:shd w:val="clear" w:color="auto" w:fill="auto"/>
          </w:tcPr>
          <w:p w14:paraId="039DA1B9" w14:textId="441A6795" w:rsidR="005F442C" w:rsidRPr="00781112" w:rsidRDefault="002B7490" w:rsidP="00A018D4">
            <w:pPr>
              <w:jc w:val="center"/>
              <w:rPr>
                <w:rFonts w:cs="Arial"/>
                <w:color w:val="000000" w:themeColor="text1"/>
                <w:szCs w:val="16"/>
              </w:rPr>
            </w:pPr>
            <w:r w:rsidRPr="00781112">
              <w:rPr>
                <w:rFonts w:cs="Arial"/>
                <w:color w:val="000000" w:themeColor="text1"/>
                <w:szCs w:val="16"/>
              </w:rPr>
              <w:t>32.75%</w:t>
            </w:r>
          </w:p>
        </w:tc>
        <w:tc>
          <w:tcPr>
            <w:tcW w:w="716" w:type="pct"/>
            <w:tcBorders>
              <w:top w:val="single" w:sz="4" w:space="0" w:color="auto"/>
              <w:left w:val="single" w:sz="4" w:space="0" w:color="auto"/>
              <w:bottom w:val="single" w:sz="4" w:space="0" w:color="auto"/>
              <w:right w:val="single" w:sz="4" w:space="0" w:color="auto"/>
            </w:tcBorders>
            <w:shd w:val="clear" w:color="auto" w:fill="auto"/>
          </w:tcPr>
          <w:p w14:paraId="5151E14A" w14:textId="4DA0C6F7" w:rsidR="005F442C" w:rsidRPr="00781112" w:rsidRDefault="002B7490" w:rsidP="00A018D4">
            <w:pPr>
              <w:jc w:val="center"/>
              <w:rPr>
                <w:rFonts w:cs="Arial"/>
                <w:color w:val="000000" w:themeColor="text1"/>
                <w:szCs w:val="16"/>
              </w:rPr>
            </w:pPr>
            <w:r w:rsidRPr="00781112">
              <w:rPr>
                <w:rFonts w:cs="Arial"/>
                <w:color w:val="000000" w:themeColor="text1"/>
                <w:szCs w:val="16"/>
              </w:rPr>
              <w:t>33.00%</w:t>
            </w:r>
          </w:p>
        </w:tc>
        <w:tc>
          <w:tcPr>
            <w:tcW w:w="716" w:type="pct"/>
            <w:tcBorders>
              <w:top w:val="single" w:sz="4" w:space="0" w:color="auto"/>
              <w:left w:val="single" w:sz="4" w:space="0" w:color="auto"/>
              <w:bottom w:val="single" w:sz="4" w:space="0" w:color="auto"/>
              <w:right w:val="single" w:sz="4" w:space="0" w:color="auto"/>
            </w:tcBorders>
            <w:shd w:val="clear" w:color="auto" w:fill="auto"/>
            <w:vAlign w:val="center"/>
          </w:tcPr>
          <w:p w14:paraId="4D3CBEBB" w14:textId="1729C879" w:rsidR="005F442C" w:rsidRPr="00781112" w:rsidRDefault="002B7490" w:rsidP="00A018D4">
            <w:pPr>
              <w:jc w:val="center"/>
              <w:rPr>
                <w:rFonts w:cs="Arial"/>
                <w:color w:val="000000" w:themeColor="text1"/>
                <w:szCs w:val="16"/>
              </w:rPr>
            </w:pPr>
            <w:r w:rsidRPr="00781112">
              <w:rPr>
                <w:rFonts w:cs="Arial"/>
                <w:color w:val="000000" w:themeColor="text1"/>
                <w:szCs w:val="16"/>
              </w:rPr>
              <w:t>27.70%</w:t>
            </w:r>
          </w:p>
        </w:tc>
        <w:tc>
          <w:tcPr>
            <w:tcW w:w="716" w:type="pct"/>
            <w:tcBorders>
              <w:top w:val="single" w:sz="4" w:space="0" w:color="auto"/>
              <w:left w:val="single" w:sz="4" w:space="0" w:color="auto"/>
              <w:bottom w:val="single" w:sz="4" w:space="0" w:color="auto"/>
              <w:right w:val="single" w:sz="4" w:space="0" w:color="auto"/>
            </w:tcBorders>
            <w:shd w:val="clear" w:color="auto" w:fill="auto"/>
            <w:vAlign w:val="center"/>
          </w:tcPr>
          <w:p w14:paraId="2E6DE686" w14:textId="15B31522" w:rsidR="005F442C" w:rsidRPr="00781112" w:rsidRDefault="002B7490" w:rsidP="00A018D4">
            <w:pPr>
              <w:jc w:val="center"/>
              <w:rPr>
                <w:rFonts w:cs="Arial"/>
                <w:color w:val="000000" w:themeColor="text1"/>
                <w:szCs w:val="16"/>
              </w:rPr>
            </w:pPr>
            <w:r w:rsidRPr="00781112">
              <w:rPr>
                <w:rFonts w:cs="Arial"/>
                <w:color w:val="000000" w:themeColor="text1"/>
                <w:szCs w:val="16"/>
              </w:rPr>
              <w:t>24.20%</w:t>
            </w:r>
          </w:p>
        </w:tc>
        <w:tc>
          <w:tcPr>
            <w:tcW w:w="715" w:type="pct"/>
            <w:tcBorders>
              <w:top w:val="single" w:sz="4" w:space="0" w:color="auto"/>
              <w:left w:val="single" w:sz="4" w:space="0" w:color="auto"/>
              <w:bottom w:val="single" w:sz="4" w:space="0" w:color="auto"/>
              <w:right w:val="single" w:sz="4" w:space="0" w:color="auto"/>
            </w:tcBorders>
            <w:shd w:val="clear" w:color="auto" w:fill="auto"/>
            <w:vAlign w:val="center"/>
          </w:tcPr>
          <w:p w14:paraId="49316D4F" w14:textId="0095C778" w:rsidR="005F442C" w:rsidRPr="00781112" w:rsidRDefault="002B7490" w:rsidP="00A018D4">
            <w:pPr>
              <w:jc w:val="center"/>
              <w:rPr>
                <w:rFonts w:cs="Arial"/>
                <w:color w:val="000000" w:themeColor="text1"/>
                <w:szCs w:val="16"/>
              </w:rPr>
            </w:pPr>
            <w:r w:rsidRPr="00781112">
              <w:rPr>
                <w:rFonts w:cs="Arial"/>
                <w:color w:val="000000" w:themeColor="text1"/>
                <w:szCs w:val="16"/>
              </w:rPr>
              <w:t>24.30%</w:t>
            </w:r>
          </w:p>
        </w:tc>
      </w:tr>
      <w:tr w:rsidR="005C29F8" w:rsidRPr="00781112" w14:paraId="4DFAA88C" w14:textId="77777777" w:rsidTr="00C37CAE">
        <w:trPr>
          <w:trHeight w:val="85"/>
        </w:trPr>
        <w:tc>
          <w:tcPr>
            <w:tcW w:w="190" w:type="pct"/>
            <w:tcBorders>
              <w:left w:val="single" w:sz="4" w:space="0" w:color="auto"/>
              <w:right w:val="single" w:sz="4" w:space="0" w:color="auto"/>
            </w:tcBorders>
            <w:shd w:val="clear" w:color="auto" w:fill="auto"/>
          </w:tcPr>
          <w:p w14:paraId="65028A7E" w14:textId="6CD117ED" w:rsidR="005F442C" w:rsidRPr="00781112" w:rsidRDefault="00676431" w:rsidP="00A018D4">
            <w:pPr>
              <w:spacing w:line="276" w:lineRule="auto"/>
              <w:jc w:val="center"/>
              <w:rPr>
                <w:rFonts w:cs="Arial"/>
                <w:color w:val="000000" w:themeColor="text1"/>
                <w:szCs w:val="16"/>
              </w:rPr>
            </w:pPr>
            <w:r w:rsidRPr="00781112">
              <w:rPr>
                <w:rFonts w:cs="Arial"/>
                <w:color w:val="000000" w:themeColor="text1"/>
                <w:szCs w:val="16"/>
              </w:rPr>
              <w:t>A</w:t>
            </w:r>
          </w:p>
        </w:tc>
        <w:tc>
          <w:tcPr>
            <w:tcW w:w="815" w:type="pct"/>
            <w:tcBorders>
              <w:left w:val="single" w:sz="4" w:space="0" w:color="auto"/>
              <w:right w:val="single" w:sz="4" w:space="0" w:color="auto"/>
            </w:tcBorders>
            <w:shd w:val="clear" w:color="auto" w:fill="auto"/>
          </w:tcPr>
          <w:p w14:paraId="2D87F90A" w14:textId="5AE78B73" w:rsidR="005F442C" w:rsidRPr="00781112" w:rsidRDefault="002B7490" w:rsidP="00A018D4">
            <w:pPr>
              <w:jc w:val="center"/>
              <w:rPr>
                <w:rFonts w:cs="Arial"/>
                <w:color w:val="000000" w:themeColor="text1"/>
                <w:szCs w:val="16"/>
              </w:rPr>
            </w:pPr>
            <w:r w:rsidRPr="00781112">
              <w:rPr>
                <w:rFonts w:cs="Arial"/>
                <w:color w:val="000000" w:themeColor="text1"/>
                <w:szCs w:val="16"/>
              </w:rPr>
              <w:t>24.62%</w:t>
            </w:r>
          </w:p>
        </w:tc>
        <w:tc>
          <w:tcPr>
            <w:tcW w:w="41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469B25F" w14:textId="77777777" w:rsidR="005F442C" w:rsidRPr="00781112" w:rsidRDefault="005F442C" w:rsidP="00BA3DBE">
            <w:pPr>
              <w:spacing w:line="276" w:lineRule="auto"/>
              <w:jc w:val="center"/>
              <w:rPr>
                <w:rFonts w:cs="Arial"/>
                <w:color w:val="000000" w:themeColor="text1"/>
                <w:szCs w:val="16"/>
              </w:rPr>
            </w:pPr>
            <w:r w:rsidRPr="00781112">
              <w:rPr>
                <w:rFonts w:cs="Arial"/>
                <w:color w:val="000000" w:themeColor="text1"/>
                <w:szCs w:val="16"/>
              </w:rPr>
              <w:t>Data</w:t>
            </w:r>
          </w:p>
        </w:tc>
        <w:tc>
          <w:tcPr>
            <w:tcW w:w="716" w:type="pct"/>
            <w:tcBorders>
              <w:top w:val="single" w:sz="4" w:space="0" w:color="auto"/>
              <w:left w:val="single" w:sz="4" w:space="0" w:color="auto"/>
              <w:bottom w:val="single" w:sz="4" w:space="0" w:color="auto"/>
              <w:right w:val="single" w:sz="4" w:space="0" w:color="auto"/>
            </w:tcBorders>
            <w:shd w:val="clear" w:color="auto" w:fill="auto"/>
          </w:tcPr>
          <w:p w14:paraId="75ECDA20" w14:textId="748C8CB2" w:rsidR="005F442C" w:rsidRPr="00781112" w:rsidRDefault="002B7490" w:rsidP="00A018D4">
            <w:pPr>
              <w:jc w:val="center"/>
              <w:rPr>
                <w:rFonts w:cs="Arial"/>
                <w:color w:val="000000" w:themeColor="text1"/>
                <w:szCs w:val="16"/>
              </w:rPr>
            </w:pPr>
            <w:r w:rsidRPr="00781112">
              <w:rPr>
                <w:rFonts w:cs="Arial"/>
                <w:color w:val="000000" w:themeColor="text1"/>
                <w:szCs w:val="16"/>
              </w:rPr>
              <w:t>27.10%</w:t>
            </w:r>
          </w:p>
        </w:tc>
        <w:tc>
          <w:tcPr>
            <w:tcW w:w="716" w:type="pct"/>
            <w:tcBorders>
              <w:top w:val="single" w:sz="4" w:space="0" w:color="auto"/>
              <w:left w:val="single" w:sz="4" w:space="0" w:color="auto"/>
              <w:bottom w:val="single" w:sz="4" w:space="0" w:color="auto"/>
              <w:right w:val="single" w:sz="4" w:space="0" w:color="auto"/>
            </w:tcBorders>
            <w:shd w:val="clear" w:color="auto" w:fill="auto"/>
          </w:tcPr>
          <w:p w14:paraId="1A78E1E2" w14:textId="126BA5B7" w:rsidR="005F442C" w:rsidRPr="00781112" w:rsidRDefault="002B7490" w:rsidP="00A018D4">
            <w:pPr>
              <w:jc w:val="center"/>
              <w:rPr>
                <w:rFonts w:cs="Arial"/>
                <w:color w:val="000000" w:themeColor="text1"/>
                <w:szCs w:val="16"/>
              </w:rPr>
            </w:pPr>
            <w:r w:rsidRPr="00781112">
              <w:rPr>
                <w:rFonts w:cs="Arial"/>
                <w:color w:val="000000" w:themeColor="text1"/>
                <w:szCs w:val="16"/>
              </w:rPr>
              <w:t>26.49%</w:t>
            </w:r>
          </w:p>
        </w:tc>
        <w:tc>
          <w:tcPr>
            <w:tcW w:w="716" w:type="pct"/>
            <w:tcBorders>
              <w:top w:val="single" w:sz="4" w:space="0" w:color="auto"/>
              <w:left w:val="single" w:sz="4" w:space="0" w:color="auto"/>
              <w:bottom w:val="single" w:sz="4" w:space="0" w:color="auto"/>
              <w:right w:val="single" w:sz="4" w:space="0" w:color="auto"/>
            </w:tcBorders>
            <w:shd w:val="clear" w:color="auto" w:fill="auto"/>
            <w:vAlign w:val="center"/>
          </w:tcPr>
          <w:p w14:paraId="2A7E5014" w14:textId="76B4842F" w:rsidR="005F442C" w:rsidRPr="00781112" w:rsidRDefault="002B7490" w:rsidP="00A018D4">
            <w:pPr>
              <w:jc w:val="center"/>
              <w:rPr>
                <w:rFonts w:cs="Arial"/>
                <w:color w:val="000000" w:themeColor="text1"/>
                <w:szCs w:val="16"/>
              </w:rPr>
            </w:pPr>
            <w:r w:rsidRPr="00781112">
              <w:rPr>
                <w:rFonts w:cs="Arial"/>
                <w:color w:val="000000" w:themeColor="text1"/>
                <w:szCs w:val="16"/>
              </w:rPr>
              <w:t>24.05%</w:t>
            </w:r>
          </w:p>
        </w:tc>
        <w:tc>
          <w:tcPr>
            <w:tcW w:w="716" w:type="pct"/>
            <w:tcBorders>
              <w:top w:val="single" w:sz="4" w:space="0" w:color="auto"/>
              <w:left w:val="single" w:sz="4" w:space="0" w:color="auto"/>
              <w:bottom w:val="single" w:sz="4" w:space="0" w:color="auto"/>
              <w:right w:val="single" w:sz="4" w:space="0" w:color="auto"/>
            </w:tcBorders>
            <w:shd w:val="clear" w:color="auto" w:fill="auto"/>
            <w:vAlign w:val="center"/>
          </w:tcPr>
          <w:p w14:paraId="4AD2D2DA" w14:textId="5D991656" w:rsidR="005F442C" w:rsidRPr="00781112" w:rsidRDefault="002B7490" w:rsidP="00A018D4">
            <w:pPr>
              <w:jc w:val="center"/>
              <w:rPr>
                <w:rFonts w:cs="Arial"/>
                <w:color w:val="000000" w:themeColor="text1"/>
                <w:szCs w:val="16"/>
              </w:rPr>
            </w:pPr>
            <w:r w:rsidRPr="00781112">
              <w:rPr>
                <w:rFonts w:cs="Arial"/>
                <w:color w:val="000000" w:themeColor="text1"/>
                <w:szCs w:val="16"/>
              </w:rPr>
              <w:t>22.07%</w:t>
            </w:r>
          </w:p>
        </w:tc>
        <w:tc>
          <w:tcPr>
            <w:tcW w:w="715" w:type="pct"/>
            <w:tcBorders>
              <w:top w:val="single" w:sz="4" w:space="0" w:color="auto"/>
              <w:left w:val="single" w:sz="4" w:space="0" w:color="auto"/>
              <w:bottom w:val="single" w:sz="4" w:space="0" w:color="auto"/>
              <w:right w:val="single" w:sz="4" w:space="0" w:color="auto"/>
            </w:tcBorders>
            <w:shd w:val="clear" w:color="auto" w:fill="auto"/>
            <w:vAlign w:val="center"/>
          </w:tcPr>
          <w:p w14:paraId="14EFC8E5" w14:textId="36855126" w:rsidR="005F442C" w:rsidRPr="00781112" w:rsidRDefault="002B7490" w:rsidP="00A018D4">
            <w:pPr>
              <w:jc w:val="center"/>
              <w:rPr>
                <w:rFonts w:cs="Arial"/>
                <w:color w:val="000000" w:themeColor="text1"/>
                <w:szCs w:val="16"/>
              </w:rPr>
            </w:pPr>
            <w:r w:rsidRPr="00781112">
              <w:rPr>
                <w:rFonts w:cs="Arial"/>
                <w:color w:val="000000" w:themeColor="text1"/>
                <w:szCs w:val="16"/>
              </w:rPr>
              <w:t>21.67%</w:t>
            </w:r>
          </w:p>
        </w:tc>
      </w:tr>
      <w:tr w:rsidR="005C29F8" w:rsidRPr="00781112" w14:paraId="626D1DE5" w14:textId="77777777" w:rsidTr="00C37CAE">
        <w:trPr>
          <w:trHeight w:val="357"/>
        </w:trPr>
        <w:tc>
          <w:tcPr>
            <w:tcW w:w="190" w:type="pct"/>
            <w:tcBorders>
              <w:top w:val="single" w:sz="4" w:space="0" w:color="auto"/>
              <w:left w:val="single" w:sz="4" w:space="0" w:color="auto"/>
              <w:right w:val="single" w:sz="4" w:space="0" w:color="auto"/>
            </w:tcBorders>
            <w:shd w:val="clear" w:color="auto" w:fill="auto"/>
            <w:vAlign w:val="center"/>
          </w:tcPr>
          <w:p w14:paraId="2420D4E8" w14:textId="77777777" w:rsidR="005F442C" w:rsidRPr="00781112" w:rsidRDefault="005F442C">
            <w:pPr>
              <w:spacing w:line="276" w:lineRule="auto"/>
              <w:jc w:val="center"/>
              <w:rPr>
                <w:rFonts w:cs="Arial"/>
                <w:color w:val="000000" w:themeColor="text1"/>
                <w:szCs w:val="16"/>
              </w:rPr>
            </w:pPr>
            <w:r w:rsidRPr="00781112">
              <w:rPr>
                <w:rFonts w:cs="Arial"/>
                <w:color w:val="000000" w:themeColor="text1"/>
                <w:szCs w:val="16"/>
              </w:rPr>
              <w:t>B</w:t>
            </w:r>
          </w:p>
        </w:tc>
        <w:tc>
          <w:tcPr>
            <w:tcW w:w="815" w:type="pct"/>
            <w:tcBorders>
              <w:top w:val="single" w:sz="4" w:space="0" w:color="auto"/>
              <w:left w:val="single" w:sz="4" w:space="0" w:color="auto"/>
              <w:right w:val="single" w:sz="4" w:space="0" w:color="auto"/>
            </w:tcBorders>
            <w:shd w:val="clear" w:color="auto" w:fill="auto"/>
          </w:tcPr>
          <w:p w14:paraId="1A949E27" w14:textId="6BA6427F" w:rsidR="005F442C" w:rsidRPr="00781112" w:rsidRDefault="002B7490" w:rsidP="00A018D4">
            <w:pPr>
              <w:jc w:val="center"/>
              <w:rPr>
                <w:rFonts w:cs="Arial"/>
                <w:color w:val="000000" w:themeColor="text1"/>
                <w:szCs w:val="16"/>
              </w:rPr>
            </w:pPr>
            <w:r w:rsidRPr="00781112">
              <w:rPr>
                <w:rFonts w:cs="Arial"/>
                <w:color w:val="000000" w:themeColor="text1"/>
                <w:szCs w:val="16"/>
              </w:rPr>
              <w:t>2014</w:t>
            </w:r>
          </w:p>
        </w:tc>
        <w:tc>
          <w:tcPr>
            <w:tcW w:w="41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283F7C9" w14:textId="0A3252A0" w:rsidR="005F442C" w:rsidRPr="00781112" w:rsidRDefault="005F442C" w:rsidP="00BA3DBE">
            <w:pPr>
              <w:spacing w:line="276" w:lineRule="auto"/>
              <w:jc w:val="center"/>
              <w:rPr>
                <w:rFonts w:cs="Arial"/>
                <w:color w:val="000000" w:themeColor="text1"/>
                <w:szCs w:val="16"/>
              </w:rPr>
            </w:pPr>
            <w:r w:rsidRPr="00781112">
              <w:rPr>
                <w:rFonts w:cs="Arial"/>
                <w:color w:val="000000" w:themeColor="text1"/>
                <w:szCs w:val="16"/>
              </w:rPr>
              <w:t>Target &gt;=</w:t>
            </w:r>
          </w:p>
        </w:tc>
        <w:tc>
          <w:tcPr>
            <w:tcW w:w="716" w:type="pct"/>
            <w:tcBorders>
              <w:top w:val="single" w:sz="4" w:space="0" w:color="auto"/>
              <w:left w:val="single" w:sz="4" w:space="0" w:color="auto"/>
              <w:bottom w:val="single" w:sz="4" w:space="0" w:color="auto"/>
              <w:right w:val="single" w:sz="4" w:space="0" w:color="auto"/>
            </w:tcBorders>
            <w:shd w:val="clear" w:color="auto" w:fill="auto"/>
          </w:tcPr>
          <w:p w14:paraId="2BC5CE03" w14:textId="44707AE5" w:rsidR="005F442C" w:rsidRPr="00781112" w:rsidRDefault="002B7490" w:rsidP="00A018D4">
            <w:pPr>
              <w:jc w:val="center"/>
              <w:rPr>
                <w:rFonts w:cs="Arial"/>
                <w:color w:val="000000" w:themeColor="text1"/>
                <w:szCs w:val="16"/>
              </w:rPr>
            </w:pPr>
            <w:r w:rsidRPr="00781112">
              <w:rPr>
                <w:rFonts w:cs="Arial"/>
                <w:color w:val="000000" w:themeColor="text1"/>
                <w:szCs w:val="16"/>
              </w:rPr>
              <w:t>61.25%</w:t>
            </w:r>
          </w:p>
        </w:tc>
        <w:tc>
          <w:tcPr>
            <w:tcW w:w="716" w:type="pct"/>
            <w:tcBorders>
              <w:top w:val="single" w:sz="4" w:space="0" w:color="auto"/>
              <w:left w:val="single" w:sz="4" w:space="0" w:color="auto"/>
              <w:bottom w:val="single" w:sz="4" w:space="0" w:color="auto"/>
              <w:right w:val="single" w:sz="4" w:space="0" w:color="auto"/>
            </w:tcBorders>
            <w:shd w:val="clear" w:color="auto" w:fill="auto"/>
          </w:tcPr>
          <w:p w14:paraId="5E7D0375" w14:textId="72BE41AE" w:rsidR="005F442C" w:rsidRPr="00781112" w:rsidRDefault="002B7490" w:rsidP="00A018D4">
            <w:pPr>
              <w:jc w:val="center"/>
              <w:rPr>
                <w:rFonts w:cs="Arial"/>
                <w:color w:val="000000" w:themeColor="text1"/>
                <w:szCs w:val="16"/>
              </w:rPr>
            </w:pPr>
            <w:r w:rsidRPr="00781112">
              <w:rPr>
                <w:rFonts w:cs="Arial"/>
                <w:color w:val="000000" w:themeColor="text1"/>
                <w:szCs w:val="16"/>
              </w:rPr>
              <w:t>61.50%</w:t>
            </w:r>
          </w:p>
        </w:tc>
        <w:tc>
          <w:tcPr>
            <w:tcW w:w="716" w:type="pct"/>
            <w:tcBorders>
              <w:top w:val="single" w:sz="4" w:space="0" w:color="auto"/>
              <w:left w:val="single" w:sz="4" w:space="0" w:color="auto"/>
              <w:bottom w:val="single" w:sz="4" w:space="0" w:color="auto"/>
              <w:right w:val="single" w:sz="4" w:space="0" w:color="auto"/>
            </w:tcBorders>
            <w:shd w:val="clear" w:color="auto" w:fill="auto"/>
            <w:vAlign w:val="center"/>
          </w:tcPr>
          <w:p w14:paraId="7CFA8C72" w14:textId="1DBA7AD5" w:rsidR="005F442C" w:rsidRPr="00781112" w:rsidRDefault="002B7490" w:rsidP="00A018D4">
            <w:pPr>
              <w:jc w:val="center"/>
              <w:rPr>
                <w:rFonts w:cs="Arial"/>
                <w:color w:val="000000" w:themeColor="text1"/>
                <w:szCs w:val="16"/>
              </w:rPr>
            </w:pPr>
            <w:r w:rsidRPr="00781112">
              <w:rPr>
                <w:rFonts w:cs="Arial"/>
                <w:color w:val="000000" w:themeColor="text1"/>
                <w:szCs w:val="16"/>
              </w:rPr>
              <w:t>56.50%</w:t>
            </w:r>
          </w:p>
        </w:tc>
        <w:tc>
          <w:tcPr>
            <w:tcW w:w="716" w:type="pct"/>
            <w:tcBorders>
              <w:top w:val="single" w:sz="4" w:space="0" w:color="auto"/>
              <w:left w:val="single" w:sz="4" w:space="0" w:color="auto"/>
              <w:bottom w:val="single" w:sz="4" w:space="0" w:color="auto"/>
              <w:right w:val="single" w:sz="4" w:space="0" w:color="auto"/>
            </w:tcBorders>
            <w:shd w:val="clear" w:color="auto" w:fill="auto"/>
            <w:vAlign w:val="center"/>
          </w:tcPr>
          <w:p w14:paraId="32EAF5AA" w14:textId="0EED287F" w:rsidR="005F442C" w:rsidRPr="00781112" w:rsidRDefault="002B7490" w:rsidP="00A018D4">
            <w:pPr>
              <w:jc w:val="center"/>
              <w:rPr>
                <w:rFonts w:cs="Arial"/>
                <w:color w:val="000000" w:themeColor="text1"/>
                <w:szCs w:val="16"/>
              </w:rPr>
            </w:pPr>
            <w:r w:rsidRPr="00781112">
              <w:rPr>
                <w:rFonts w:cs="Arial"/>
                <w:color w:val="000000" w:themeColor="text1"/>
                <w:szCs w:val="16"/>
              </w:rPr>
              <w:t>68.71%</w:t>
            </w:r>
          </w:p>
        </w:tc>
        <w:tc>
          <w:tcPr>
            <w:tcW w:w="715" w:type="pct"/>
            <w:tcBorders>
              <w:top w:val="single" w:sz="4" w:space="0" w:color="auto"/>
              <w:left w:val="single" w:sz="4" w:space="0" w:color="auto"/>
              <w:bottom w:val="single" w:sz="4" w:space="0" w:color="auto"/>
              <w:right w:val="single" w:sz="4" w:space="0" w:color="auto"/>
            </w:tcBorders>
            <w:shd w:val="clear" w:color="auto" w:fill="auto"/>
            <w:vAlign w:val="center"/>
          </w:tcPr>
          <w:p w14:paraId="7ADF4529" w14:textId="5459CD21" w:rsidR="005F442C" w:rsidRPr="00781112" w:rsidRDefault="002B7490" w:rsidP="00A018D4">
            <w:pPr>
              <w:jc w:val="center"/>
              <w:rPr>
                <w:rFonts w:cs="Arial"/>
                <w:color w:val="000000" w:themeColor="text1"/>
                <w:szCs w:val="16"/>
              </w:rPr>
            </w:pPr>
            <w:r w:rsidRPr="00781112">
              <w:rPr>
                <w:rFonts w:cs="Arial"/>
                <w:color w:val="000000" w:themeColor="text1"/>
                <w:szCs w:val="16"/>
              </w:rPr>
              <w:t>70.46%</w:t>
            </w:r>
          </w:p>
        </w:tc>
      </w:tr>
      <w:tr w:rsidR="005C29F8" w:rsidRPr="00781112" w14:paraId="04BD4647" w14:textId="77777777" w:rsidTr="00C37CAE">
        <w:trPr>
          <w:trHeight w:val="85"/>
        </w:trPr>
        <w:tc>
          <w:tcPr>
            <w:tcW w:w="190" w:type="pct"/>
            <w:tcBorders>
              <w:left w:val="single" w:sz="4" w:space="0" w:color="auto"/>
              <w:right w:val="single" w:sz="4" w:space="0" w:color="auto"/>
            </w:tcBorders>
            <w:shd w:val="clear" w:color="auto" w:fill="auto"/>
          </w:tcPr>
          <w:p w14:paraId="0F20B888" w14:textId="46217DEF" w:rsidR="005F442C" w:rsidRPr="00781112" w:rsidRDefault="00676431" w:rsidP="00A018D4">
            <w:pPr>
              <w:spacing w:line="276" w:lineRule="auto"/>
              <w:jc w:val="center"/>
              <w:rPr>
                <w:rFonts w:cs="Arial"/>
                <w:color w:val="000000" w:themeColor="text1"/>
                <w:szCs w:val="16"/>
              </w:rPr>
            </w:pPr>
            <w:r w:rsidRPr="00781112">
              <w:rPr>
                <w:rFonts w:cs="Arial"/>
                <w:color w:val="000000" w:themeColor="text1"/>
                <w:szCs w:val="16"/>
              </w:rPr>
              <w:t>B</w:t>
            </w:r>
          </w:p>
        </w:tc>
        <w:tc>
          <w:tcPr>
            <w:tcW w:w="815" w:type="pct"/>
            <w:tcBorders>
              <w:left w:val="single" w:sz="4" w:space="0" w:color="auto"/>
              <w:right w:val="single" w:sz="4" w:space="0" w:color="auto"/>
            </w:tcBorders>
            <w:shd w:val="clear" w:color="auto" w:fill="auto"/>
          </w:tcPr>
          <w:p w14:paraId="7553E0D1" w14:textId="50261931" w:rsidR="005F442C" w:rsidRPr="00781112" w:rsidRDefault="002B7490" w:rsidP="00A018D4">
            <w:pPr>
              <w:jc w:val="center"/>
              <w:rPr>
                <w:rFonts w:cs="Arial"/>
                <w:color w:val="000000" w:themeColor="text1"/>
                <w:szCs w:val="16"/>
              </w:rPr>
            </w:pPr>
            <w:r w:rsidRPr="00781112">
              <w:rPr>
                <w:rFonts w:cs="Arial"/>
                <w:color w:val="000000" w:themeColor="text1"/>
                <w:szCs w:val="16"/>
              </w:rPr>
              <w:t>56.43%</w:t>
            </w:r>
          </w:p>
        </w:tc>
        <w:tc>
          <w:tcPr>
            <w:tcW w:w="41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DE4A099" w14:textId="77777777" w:rsidR="005F442C" w:rsidRPr="00781112" w:rsidRDefault="005F442C" w:rsidP="00BA3DBE">
            <w:pPr>
              <w:spacing w:line="276" w:lineRule="auto"/>
              <w:jc w:val="center"/>
              <w:rPr>
                <w:rFonts w:cs="Arial"/>
                <w:color w:val="000000" w:themeColor="text1"/>
                <w:szCs w:val="16"/>
              </w:rPr>
            </w:pPr>
            <w:r w:rsidRPr="00781112">
              <w:rPr>
                <w:rFonts w:cs="Arial"/>
                <w:color w:val="000000" w:themeColor="text1"/>
                <w:szCs w:val="16"/>
              </w:rPr>
              <w:t>Data</w:t>
            </w:r>
          </w:p>
        </w:tc>
        <w:tc>
          <w:tcPr>
            <w:tcW w:w="716" w:type="pct"/>
            <w:tcBorders>
              <w:top w:val="single" w:sz="4" w:space="0" w:color="auto"/>
              <w:left w:val="single" w:sz="4" w:space="0" w:color="auto"/>
              <w:bottom w:val="single" w:sz="4" w:space="0" w:color="auto"/>
              <w:right w:val="single" w:sz="4" w:space="0" w:color="auto"/>
            </w:tcBorders>
            <w:shd w:val="clear" w:color="auto" w:fill="auto"/>
          </w:tcPr>
          <w:p w14:paraId="36F1CC00" w14:textId="27BDC0A1" w:rsidR="005F442C" w:rsidRPr="00781112" w:rsidRDefault="002B7490" w:rsidP="00A018D4">
            <w:pPr>
              <w:jc w:val="center"/>
              <w:rPr>
                <w:rFonts w:cs="Arial"/>
                <w:color w:val="000000" w:themeColor="text1"/>
                <w:szCs w:val="16"/>
              </w:rPr>
            </w:pPr>
            <w:r w:rsidRPr="00781112">
              <w:rPr>
                <w:rFonts w:cs="Arial"/>
                <w:color w:val="000000" w:themeColor="text1"/>
                <w:szCs w:val="16"/>
              </w:rPr>
              <w:t>68.70%</w:t>
            </w:r>
          </w:p>
        </w:tc>
        <w:tc>
          <w:tcPr>
            <w:tcW w:w="716" w:type="pct"/>
            <w:tcBorders>
              <w:top w:val="single" w:sz="4" w:space="0" w:color="auto"/>
              <w:left w:val="single" w:sz="4" w:space="0" w:color="auto"/>
              <w:bottom w:val="single" w:sz="4" w:space="0" w:color="auto"/>
              <w:right w:val="single" w:sz="4" w:space="0" w:color="auto"/>
            </w:tcBorders>
            <w:shd w:val="clear" w:color="auto" w:fill="auto"/>
          </w:tcPr>
          <w:p w14:paraId="752BDB3D" w14:textId="7C9CDA00" w:rsidR="005F442C" w:rsidRPr="00781112" w:rsidRDefault="002B7490" w:rsidP="00A018D4">
            <w:pPr>
              <w:jc w:val="center"/>
              <w:rPr>
                <w:rFonts w:cs="Arial"/>
                <w:color w:val="000000" w:themeColor="text1"/>
                <w:szCs w:val="16"/>
              </w:rPr>
            </w:pPr>
            <w:r w:rsidRPr="00781112">
              <w:rPr>
                <w:rFonts w:cs="Arial"/>
                <w:color w:val="000000" w:themeColor="text1"/>
                <w:szCs w:val="16"/>
              </w:rPr>
              <w:t>67.64%</w:t>
            </w:r>
          </w:p>
        </w:tc>
        <w:tc>
          <w:tcPr>
            <w:tcW w:w="716" w:type="pct"/>
            <w:tcBorders>
              <w:top w:val="single" w:sz="4" w:space="0" w:color="auto"/>
              <w:left w:val="single" w:sz="4" w:space="0" w:color="auto"/>
              <w:bottom w:val="single" w:sz="4" w:space="0" w:color="auto"/>
              <w:right w:val="single" w:sz="4" w:space="0" w:color="auto"/>
            </w:tcBorders>
            <w:shd w:val="clear" w:color="auto" w:fill="auto"/>
            <w:vAlign w:val="center"/>
          </w:tcPr>
          <w:p w14:paraId="2E8698B0" w14:textId="23886D70" w:rsidR="005F442C" w:rsidRPr="00781112" w:rsidRDefault="002B7490" w:rsidP="00A018D4">
            <w:pPr>
              <w:jc w:val="center"/>
              <w:rPr>
                <w:rFonts w:cs="Arial"/>
                <w:color w:val="000000" w:themeColor="text1"/>
                <w:szCs w:val="16"/>
              </w:rPr>
            </w:pPr>
            <w:r w:rsidRPr="00781112">
              <w:rPr>
                <w:rFonts w:cs="Arial"/>
                <w:color w:val="000000" w:themeColor="text1"/>
                <w:szCs w:val="16"/>
              </w:rPr>
              <w:t>68.74%</w:t>
            </w:r>
          </w:p>
        </w:tc>
        <w:tc>
          <w:tcPr>
            <w:tcW w:w="716" w:type="pct"/>
            <w:tcBorders>
              <w:top w:val="single" w:sz="4" w:space="0" w:color="auto"/>
              <w:left w:val="single" w:sz="4" w:space="0" w:color="auto"/>
              <w:bottom w:val="single" w:sz="4" w:space="0" w:color="auto"/>
              <w:right w:val="single" w:sz="4" w:space="0" w:color="auto"/>
            </w:tcBorders>
            <w:shd w:val="clear" w:color="auto" w:fill="auto"/>
            <w:vAlign w:val="center"/>
          </w:tcPr>
          <w:p w14:paraId="7C9C7692" w14:textId="490F43AD" w:rsidR="005F442C" w:rsidRPr="00781112" w:rsidRDefault="002B7490" w:rsidP="00A018D4">
            <w:pPr>
              <w:jc w:val="center"/>
              <w:rPr>
                <w:rFonts w:cs="Arial"/>
                <w:color w:val="000000" w:themeColor="text1"/>
                <w:szCs w:val="16"/>
              </w:rPr>
            </w:pPr>
            <w:r w:rsidRPr="00781112">
              <w:rPr>
                <w:rFonts w:cs="Arial"/>
                <w:color w:val="000000" w:themeColor="text1"/>
                <w:szCs w:val="16"/>
              </w:rPr>
              <w:t>68.69%</w:t>
            </w:r>
          </w:p>
        </w:tc>
        <w:tc>
          <w:tcPr>
            <w:tcW w:w="715" w:type="pct"/>
            <w:tcBorders>
              <w:top w:val="single" w:sz="4" w:space="0" w:color="auto"/>
              <w:left w:val="single" w:sz="4" w:space="0" w:color="auto"/>
              <w:bottom w:val="single" w:sz="4" w:space="0" w:color="auto"/>
              <w:right w:val="single" w:sz="4" w:space="0" w:color="auto"/>
            </w:tcBorders>
            <w:shd w:val="clear" w:color="auto" w:fill="auto"/>
            <w:vAlign w:val="center"/>
          </w:tcPr>
          <w:p w14:paraId="197DA8B1" w14:textId="591F0E95" w:rsidR="005F442C" w:rsidRPr="00781112" w:rsidRDefault="002B7490" w:rsidP="00A018D4">
            <w:pPr>
              <w:jc w:val="center"/>
              <w:rPr>
                <w:rFonts w:cs="Arial"/>
                <w:color w:val="000000" w:themeColor="text1"/>
                <w:szCs w:val="16"/>
              </w:rPr>
            </w:pPr>
            <w:r w:rsidRPr="00781112">
              <w:rPr>
                <w:rFonts w:cs="Arial"/>
                <w:color w:val="000000" w:themeColor="text1"/>
                <w:szCs w:val="16"/>
              </w:rPr>
              <w:t>69.49%</w:t>
            </w:r>
          </w:p>
        </w:tc>
      </w:tr>
      <w:tr w:rsidR="005C29F8" w:rsidRPr="00781112" w14:paraId="3B4797BA" w14:textId="77777777" w:rsidTr="00C37CAE">
        <w:trPr>
          <w:trHeight w:val="357"/>
        </w:trPr>
        <w:tc>
          <w:tcPr>
            <w:tcW w:w="190" w:type="pct"/>
            <w:tcBorders>
              <w:top w:val="single" w:sz="4" w:space="0" w:color="auto"/>
              <w:left w:val="single" w:sz="4" w:space="0" w:color="auto"/>
              <w:right w:val="single" w:sz="4" w:space="0" w:color="auto"/>
            </w:tcBorders>
            <w:shd w:val="clear" w:color="auto" w:fill="auto"/>
            <w:vAlign w:val="center"/>
          </w:tcPr>
          <w:p w14:paraId="6C3DB934" w14:textId="77777777" w:rsidR="005F442C" w:rsidRPr="00781112" w:rsidRDefault="005F442C">
            <w:pPr>
              <w:spacing w:line="276" w:lineRule="auto"/>
              <w:jc w:val="center"/>
              <w:rPr>
                <w:rFonts w:cs="Arial"/>
                <w:color w:val="000000" w:themeColor="text1"/>
                <w:szCs w:val="16"/>
              </w:rPr>
            </w:pPr>
            <w:r w:rsidRPr="00781112">
              <w:rPr>
                <w:rFonts w:cs="Arial"/>
                <w:color w:val="000000" w:themeColor="text1"/>
                <w:szCs w:val="16"/>
              </w:rPr>
              <w:t>C</w:t>
            </w:r>
          </w:p>
        </w:tc>
        <w:tc>
          <w:tcPr>
            <w:tcW w:w="815" w:type="pct"/>
            <w:tcBorders>
              <w:top w:val="single" w:sz="4" w:space="0" w:color="auto"/>
              <w:left w:val="single" w:sz="4" w:space="0" w:color="auto"/>
              <w:right w:val="single" w:sz="4" w:space="0" w:color="auto"/>
            </w:tcBorders>
            <w:shd w:val="clear" w:color="auto" w:fill="auto"/>
          </w:tcPr>
          <w:p w14:paraId="16F6EE90" w14:textId="5DB098B3" w:rsidR="005F442C" w:rsidRPr="00781112" w:rsidRDefault="002B7490" w:rsidP="00A018D4">
            <w:pPr>
              <w:jc w:val="center"/>
              <w:rPr>
                <w:rFonts w:cs="Arial"/>
                <w:color w:val="000000" w:themeColor="text1"/>
                <w:szCs w:val="16"/>
              </w:rPr>
            </w:pPr>
            <w:r w:rsidRPr="00781112">
              <w:rPr>
                <w:rFonts w:cs="Arial"/>
                <w:color w:val="000000" w:themeColor="text1"/>
                <w:szCs w:val="16"/>
              </w:rPr>
              <w:t>2014</w:t>
            </w:r>
          </w:p>
        </w:tc>
        <w:tc>
          <w:tcPr>
            <w:tcW w:w="41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A2AC8BB" w14:textId="575B1EC7" w:rsidR="005F442C" w:rsidRPr="00781112" w:rsidRDefault="005F442C" w:rsidP="00BA3DBE">
            <w:pPr>
              <w:spacing w:line="276" w:lineRule="auto"/>
              <w:jc w:val="center"/>
              <w:rPr>
                <w:rFonts w:cs="Arial"/>
                <w:color w:val="000000" w:themeColor="text1"/>
                <w:szCs w:val="16"/>
              </w:rPr>
            </w:pPr>
            <w:r w:rsidRPr="00781112">
              <w:rPr>
                <w:rFonts w:cs="Arial"/>
                <w:color w:val="000000" w:themeColor="text1"/>
                <w:szCs w:val="16"/>
              </w:rPr>
              <w:t>Target &gt;=</w:t>
            </w:r>
          </w:p>
        </w:tc>
        <w:tc>
          <w:tcPr>
            <w:tcW w:w="716" w:type="pct"/>
            <w:tcBorders>
              <w:top w:val="single" w:sz="4" w:space="0" w:color="auto"/>
              <w:left w:val="single" w:sz="4" w:space="0" w:color="auto"/>
              <w:bottom w:val="single" w:sz="4" w:space="0" w:color="auto"/>
              <w:right w:val="single" w:sz="4" w:space="0" w:color="auto"/>
            </w:tcBorders>
            <w:shd w:val="clear" w:color="auto" w:fill="auto"/>
          </w:tcPr>
          <w:p w14:paraId="76636D2C" w14:textId="048A2FD1" w:rsidR="005F442C" w:rsidRPr="00781112" w:rsidRDefault="002B7490" w:rsidP="00A018D4">
            <w:pPr>
              <w:jc w:val="center"/>
              <w:rPr>
                <w:rFonts w:cs="Arial"/>
                <w:color w:val="000000" w:themeColor="text1"/>
                <w:szCs w:val="16"/>
              </w:rPr>
            </w:pPr>
            <w:r w:rsidRPr="00781112">
              <w:rPr>
                <w:rFonts w:cs="Arial"/>
                <w:color w:val="000000" w:themeColor="text1"/>
                <w:szCs w:val="16"/>
              </w:rPr>
              <w:t>69.25%</w:t>
            </w:r>
          </w:p>
        </w:tc>
        <w:tc>
          <w:tcPr>
            <w:tcW w:w="716" w:type="pct"/>
            <w:tcBorders>
              <w:top w:val="single" w:sz="4" w:space="0" w:color="auto"/>
              <w:left w:val="single" w:sz="4" w:space="0" w:color="auto"/>
              <w:bottom w:val="single" w:sz="4" w:space="0" w:color="auto"/>
              <w:right w:val="single" w:sz="4" w:space="0" w:color="auto"/>
            </w:tcBorders>
            <w:shd w:val="clear" w:color="auto" w:fill="auto"/>
          </w:tcPr>
          <w:p w14:paraId="5F601683" w14:textId="08666F48" w:rsidR="005F442C" w:rsidRPr="00781112" w:rsidRDefault="002B7490" w:rsidP="00A018D4">
            <w:pPr>
              <w:jc w:val="center"/>
              <w:rPr>
                <w:rFonts w:cs="Arial"/>
                <w:color w:val="000000" w:themeColor="text1"/>
                <w:szCs w:val="16"/>
              </w:rPr>
            </w:pPr>
            <w:r w:rsidRPr="00781112">
              <w:rPr>
                <w:rFonts w:cs="Arial"/>
                <w:color w:val="000000" w:themeColor="text1"/>
                <w:szCs w:val="16"/>
              </w:rPr>
              <w:t>69.50%</w:t>
            </w:r>
          </w:p>
        </w:tc>
        <w:tc>
          <w:tcPr>
            <w:tcW w:w="716" w:type="pct"/>
            <w:tcBorders>
              <w:top w:val="single" w:sz="4" w:space="0" w:color="auto"/>
              <w:left w:val="single" w:sz="4" w:space="0" w:color="auto"/>
              <w:bottom w:val="single" w:sz="4" w:space="0" w:color="auto"/>
              <w:right w:val="single" w:sz="4" w:space="0" w:color="auto"/>
            </w:tcBorders>
            <w:shd w:val="clear" w:color="auto" w:fill="auto"/>
            <w:vAlign w:val="center"/>
          </w:tcPr>
          <w:p w14:paraId="044C7E3A" w14:textId="4B31ECC3" w:rsidR="005F442C" w:rsidRPr="00781112" w:rsidRDefault="002B7490" w:rsidP="00A018D4">
            <w:pPr>
              <w:jc w:val="center"/>
              <w:rPr>
                <w:rFonts w:cs="Arial"/>
                <w:color w:val="000000" w:themeColor="text1"/>
                <w:szCs w:val="16"/>
              </w:rPr>
            </w:pPr>
            <w:r w:rsidRPr="00781112">
              <w:rPr>
                <w:rFonts w:cs="Arial"/>
                <w:color w:val="000000" w:themeColor="text1"/>
                <w:szCs w:val="16"/>
              </w:rPr>
              <w:t>81.40%</w:t>
            </w:r>
          </w:p>
        </w:tc>
        <w:tc>
          <w:tcPr>
            <w:tcW w:w="716" w:type="pct"/>
            <w:tcBorders>
              <w:top w:val="single" w:sz="4" w:space="0" w:color="auto"/>
              <w:left w:val="single" w:sz="4" w:space="0" w:color="auto"/>
              <w:bottom w:val="single" w:sz="4" w:space="0" w:color="auto"/>
              <w:right w:val="single" w:sz="4" w:space="0" w:color="auto"/>
            </w:tcBorders>
            <w:shd w:val="clear" w:color="auto" w:fill="auto"/>
            <w:vAlign w:val="center"/>
          </w:tcPr>
          <w:p w14:paraId="05933A5C" w14:textId="2942912F" w:rsidR="005F442C" w:rsidRPr="00781112" w:rsidRDefault="002B7490" w:rsidP="00A018D4">
            <w:pPr>
              <w:jc w:val="center"/>
              <w:rPr>
                <w:rFonts w:cs="Arial"/>
                <w:color w:val="000000" w:themeColor="text1"/>
                <w:szCs w:val="16"/>
              </w:rPr>
            </w:pPr>
            <w:r w:rsidRPr="00781112">
              <w:rPr>
                <w:rFonts w:cs="Arial"/>
                <w:color w:val="000000" w:themeColor="text1"/>
                <w:szCs w:val="16"/>
              </w:rPr>
              <w:t>79.00%</w:t>
            </w:r>
          </w:p>
        </w:tc>
        <w:tc>
          <w:tcPr>
            <w:tcW w:w="715" w:type="pct"/>
            <w:tcBorders>
              <w:top w:val="single" w:sz="4" w:space="0" w:color="auto"/>
              <w:left w:val="single" w:sz="4" w:space="0" w:color="auto"/>
              <w:bottom w:val="single" w:sz="4" w:space="0" w:color="auto"/>
              <w:right w:val="single" w:sz="4" w:space="0" w:color="auto"/>
            </w:tcBorders>
            <w:shd w:val="clear" w:color="auto" w:fill="auto"/>
            <w:vAlign w:val="center"/>
          </w:tcPr>
          <w:p w14:paraId="7C32933D" w14:textId="5E0B7F18" w:rsidR="005F442C" w:rsidRPr="00781112" w:rsidRDefault="002B7490" w:rsidP="00A018D4">
            <w:pPr>
              <w:jc w:val="center"/>
              <w:rPr>
                <w:rFonts w:cs="Arial"/>
                <w:color w:val="000000" w:themeColor="text1"/>
                <w:szCs w:val="16"/>
              </w:rPr>
            </w:pPr>
            <w:r w:rsidRPr="00781112">
              <w:rPr>
                <w:rFonts w:cs="Arial"/>
                <w:color w:val="000000" w:themeColor="text1"/>
                <w:szCs w:val="16"/>
              </w:rPr>
              <w:t>81.02%</w:t>
            </w:r>
          </w:p>
        </w:tc>
      </w:tr>
      <w:tr w:rsidR="005C29F8" w:rsidRPr="00781112" w14:paraId="6F394366" w14:textId="77777777" w:rsidTr="00C37CAE">
        <w:trPr>
          <w:trHeight w:val="85"/>
        </w:trPr>
        <w:tc>
          <w:tcPr>
            <w:tcW w:w="190" w:type="pct"/>
            <w:tcBorders>
              <w:left w:val="single" w:sz="4" w:space="0" w:color="auto"/>
              <w:right w:val="single" w:sz="4" w:space="0" w:color="auto"/>
            </w:tcBorders>
            <w:shd w:val="clear" w:color="auto" w:fill="auto"/>
          </w:tcPr>
          <w:p w14:paraId="44948B1E" w14:textId="67BC5CB9" w:rsidR="005F442C" w:rsidRPr="00781112" w:rsidRDefault="00676431" w:rsidP="00A018D4">
            <w:pPr>
              <w:spacing w:line="276" w:lineRule="auto"/>
              <w:jc w:val="center"/>
              <w:rPr>
                <w:rFonts w:cs="Arial"/>
                <w:color w:val="000000" w:themeColor="text1"/>
                <w:szCs w:val="16"/>
              </w:rPr>
            </w:pPr>
            <w:r w:rsidRPr="00781112">
              <w:rPr>
                <w:rFonts w:cs="Arial"/>
                <w:color w:val="000000" w:themeColor="text1"/>
                <w:szCs w:val="16"/>
              </w:rPr>
              <w:t>C</w:t>
            </w:r>
          </w:p>
        </w:tc>
        <w:tc>
          <w:tcPr>
            <w:tcW w:w="815" w:type="pct"/>
            <w:tcBorders>
              <w:left w:val="single" w:sz="4" w:space="0" w:color="auto"/>
              <w:right w:val="single" w:sz="4" w:space="0" w:color="auto"/>
            </w:tcBorders>
            <w:shd w:val="clear" w:color="auto" w:fill="auto"/>
          </w:tcPr>
          <w:p w14:paraId="11A9E1DB" w14:textId="6AB2315D" w:rsidR="005F442C" w:rsidRPr="00781112" w:rsidRDefault="002B7490" w:rsidP="00A018D4">
            <w:pPr>
              <w:jc w:val="center"/>
              <w:rPr>
                <w:rFonts w:cs="Arial"/>
                <w:color w:val="000000" w:themeColor="text1"/>
                <w:szCs w:val="16"/>
              </w:rPr>
            </w:pPr>
            <w:r w:rsidRPr="00781112">
              <w:rPr>
                <w:rFonts w:cs="Arial"/>
                <w:color w:val="000000" w:themeColor="text1"/>
                <w:szCs w:val="16"/>
              </w:rPr>
              <w:t>73.60%</w:t>
            </w:r>
          </w:p>
        </w:tc>
        <w:tc>
          <w:tcPr>
            <w:tcW w:w="41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D4A4DE0" w14:textId="77777777" w:rsidR="005F442C" w:rsidRPr="00781112" w:rsidRDefault="005F442C" w:rsidP="00BA3DBE">
            <w:pPr>
              <w:spacing w:line="276" w:lineRule="auto"/>
              <w:jc w:val="center"/>
              <w:rPr>
                <w:rFonts w:cs="Arial"/>
                <w:color w:val="000000" w:themeColor="text1"/>
                <w:szCs w:val="16"/>
              </w:rPr>
            </w:pPr>
            <w:r w:rsidRPr="00781112">
              <w:rPr>
                <w:rFonts w:cs="Arial"/>
                <w:color w:val="000000" w:themeColor="text1"/>
                <w:szCs w:val="16"/>
              </w:rPr>
              <w:t>Data</w:t>
            </w:r>
          </w:p>
        </w:tc>
        <w:tc>
          <w:tcPr>
            <w:tcW w:w="716" w:type="pct"/>
            <w:tcBorders>
              <w:top w:val="single" w:sz="4" w:space="0" w:color="auto"/>
              <w:left w:val="single" w:sz="4" w:space="0" w:color="auto"/>
              <w:bottom w:val="single" w:sz="4" w:space="0" w:color="auto"/>
              <w:right w:val="single" w:sz="4" w:space="0" w:color="auto"/>
            </w:tcBorders>
            <w:shd w:val="clear" w:color="auto" w:fill="auto"/>
          </w:tcPr>
          <w:p w14:paraId="669A5081" w14:textId="5506F90A" w:rsidR="005F442C" w:rsidRPr="00781112" w:rsidRDefault="002B7490" w:rsidP="00A018D4">
            <w:pPr>
              <w:jc w:val="center"/>
              <w:rPr>
                <w:rFonts w:cs="Arial"/>
                <w:color w:val="000000" w:themeColor="text1"/>
                <w:szCs w:val="16"/>
              </w:rPr>
            </w:pPr>
            <w:r w:rsidRPr="00781112">
              <w:rPr>
                <w:rFonts w:cs="Arial"/>
                <w:color w:val="000000" w:themeColor="text1"/>
                <w:szCs w:val="16"/>
              </w:rPr>
              <w:t>79.60%</w:t>
            </w:r>
          </w:p>
        </w:tc>
        <w:tc>
          <w:tcPr>
            <w:tcW w:w="716" w:type="pct"/>
            <w:tcBorders>
              <w:top w:val="single" w:sz="4" w:space="0" w:color="auto"/>
              <w:left w:val="single" w:sz="4" w:space="0" w:color="auto"/>
              <w:bottom w:val="single" w:sz="4" w:space="0" w:color="auto"/>
              <w:right w:val="single" w:sz="4" w:space="0" w:color="auto"/>
            </w:tcBorders>
            <w:shd w:val="clear" w:color="auto" w:fill="auto"/>
          </w:tcPr>
          <w:p w14:paraId="490F65AA" w14:textId="42AB492B" w:rsidR="005F442C" w:rsidRPr="00781112" w:rsidRDefault="002B7490" w:rsidP="00A018D4">
            <w:pPr>
              <w:jc w:val="center"/>
              <w:rPr>
                <w:rFonts w:cs="Arial"/>
                <w:color w:val="000000" w:themeColor="text1"/>
                <w:szCs w:val="16"/>
              </w:rPr>
            </w:pPr>
            <w:r w:rsidRPr="00781112">
              <w:rPr>
                <w:rFonts w:cs="Arial"/>
                <w:color w:val="000000" w:themeColor="text1"/>
                <w:szCs w:val="16"/>
              </w:rPr>
              <w:t>80.01%</w:t>
            </w:r>
          </w:p>
        </w:tc>
        <w:tc>
          <w:tcPr>
            <w:tcW w:w="716" w:type="pct"/>
            <w:tcBorders>
              <w:top w:val="single" w:sz="4" w:space="0" w:color="auto"/>
              <w:left w:val="single" w:sz="4" w:space="0" w:color="auto"/>
              <w:bottom w:val="single" w:sz="4" w:space="0" w:color="auto"/>
              <w:right w:val="single" w:sz="4" w:space="0" w:color="auto"/>
            </w:tcBorders>
            <w:shd w:val="clear" w:color="auto" w:fill="auto"/>
            <w:vAlign w:val="center"/>
          </w:tcPr>
          <w:p w14:paraId="6EBC0DCF" w14:textId="12C96EDC" w:rsidR="005F442C" w:rsidRPr="00781112" w:rsidRDefault="002B7490" w:rsidP="00A018D4">
            <w:pPr>
              <w:jc w:val="center"/>
              <w:rPr>
                <w:rFonts w:cs="Arial"/>
                <w:color w:val="000000" w:themeColor="text1"/>
                <w:szCs w:val="16"/>
              </w:rPr>
            </w:pPr>
            <w:r w:rsidRPr="00781112">
              <w:rPr>
                <w:rFonts w:cs="Arial"/>
                <w:color w:val="000000" w:themeColor="text1"/>
                <w:szCs w:val="16"/>
              </w:rPr>
              <w:t>79.04%</w:t>
            </w:r>
          </w:p>
        </w:tc>
        <w:tc>
          <w:tcPr>
            <w:tcW w:w="716" w:type="pct"/>
            <w:tcBorders>
              <w:top w:val="single" w:sz="4" w:space="0" w:color="auto"/>
              <w:left w:val="single" w:sz="4" w:space="0" w:color="auto"/>
              <w:bottom w:val="single" w:sz="4" w:space="0" w:color="auto"/>
              <w:right w:val="single" w:sz="4" w:space="0" w:color="auto"/>
            </w:tcBorders>
            <w:shd w:val="clear" w:color="auto" w:fill="auto"/>
            <w:vAlign w:val="center"/>
          </w:tcPr>
          <w:p w14:paraId="3F6AC359" w14:textId="4DD9908A" w:rsidR="005F442C" w:rsidRPr="00781112" w:rsidRDefault="002B7490" w:rsidP="00A018D4">
            <w:pPr>
              <w:jc w:val="center"/>
              <w:rPr>
                <w:rFonts w:cs="Arial"/>
                <w:color w:val="000000" w:themeColor="text1"/>
                <w:szCs w:val="16"/>
              </w:rPr>
            </w:pPr>
            <w:r w:rsidRPr="00781112">
              <w:rPr>
                <w:rFonts w:cs="Arial"/>
                <w:color w:val="000000" w:themeColor="text1"/>
                <w:szCs w:val="16"/>
              </w:rPr>
              <w:t>77.85%</w:t>
            </w:r>
          </w:p>
        </w:tc>
        <w:tc>
          <w:tcPr>
            <w:tcW w:w="715" w:type="pct"/>
            <w:tcBorders>
              <w:top w:val="single" w:sz="4" w:space="0" w:color="auto"/>
              <w:left w:val="single" w:sz="4" w:space="0" w:color="auto"/>
              <w:bottom w:val="single" w:sz="4" w:space="0" w:color="auto"/>
              <w:right w:val="single" w:sz="4" w:space="0" w:color="auto"/>
            </w:tcBorders>
            <w:shd w:val="clear" w:color="auto" w:fill="auto"/>
            <w:vAlign w:val="center"/>
          </w:tcPr>
          <w:p w14:paraId="7DD4FEA0" w14:textId="22130008" w:rsidR="005F442C" w:rsidRPr="00781112" w:rsidRDefault="002B7490" w:rsidP="00A018D4">
            <w:pPr>
              <w:jc w:val="center"/>
              <w:rPr>
                <w:rFonts w:cs="Arial"/>
                <w:color w:val="000000" w:themeColor="text1"/>
                <w:szCs w:val="16"/>
              </w:rPr>
            </w:pPr>
            <w:r w:rsidRPr="00781112">
              <w:rPr>
                <w:rFonts w:cs="Arial"/>
                <w:color w:val="000000" w:themeColor="text1"/>
                <w:szCs w:val="16"/>
              </w:rPr>
              <w:t>81.06%</w:t>
            </w:r>
          </w:p>
        </w:tc>
      </w:tr>
    </w:tbl>
    <w:p w14:paraId="7084612B" w14:textId="77777777" w:rsidR="00E448E9" w:rsidRPr="00781112" w:rsidRDefault="00E448E9" w:rsidP="004369B2">
      <w:pPr>
        <w:rPr>
          <w:color w:val="000000" w:themeColor="text1"/>
        </w:rPr>
      </w:pPr>
    </w:p>
    <w:p w14:paraId="02DB82E4" w14:textId="3E48D02A" w:rsidR="005F442C" w:rsidRPr="00781112" w:rsidRDefault="00806C75" w:rsidP="004369B2">
      <w:pPr>
        <w:rPr>
          <w:color w:val="000000" w:themeColor="text1"/>
        </w:rPr>
      </w:pPr>
      <w:r w:rsidRPr="00781112">
        <w:rPr>
          <w:b/>
          <w:color w:val="000000" w:themeColor="text1"/>
        </w:rPr>
        <w:t>FFY 2021 Targets</w:t>
      </w:r>
    </w:p>
    <w:tbl>
      <w:tblPr>
        <w:tblW w:w="346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B14TARGETS"/>
      </w:tblPr>
      <w:tblGrid>
        <w:gridCol w:w="823"/>
        <w:gridCol w:w="1664"/>
        <w:gridCol w:w="1664"/>
        <w:gridCol w:w="1662"/>
        <w:gridCol w:w="1662"/>
      </w:tblGrid>
      <w:tr w:rsidR="00B67FCE" w:rsidRPr="00781112" w14:paraId="0D5EED67" w14:textId="79D43F28" w:rsidTr="00845B9B">
        <w:trPr>
          <w:trHeight w:val="388"/>
        </w:trPr>
        <w:tc>
          <w:tcPr>
            <w:tcW w:w="550" w:type="pct"/>
            <w:tcBorders>
              <w:bottom w:val="single" w:sz="4" w:space="0" w:color="auto"/>
            </w:tcBorders>
            <w:shd w:val="clear" w:color="auto" w:fill="auto"/>
          </w:tcPr>
          <w:p w14:paraId="3A39086B" w14:textId="77777777" w:rsidR="00B67FCE" w:rsidRPr="00781112" w:rsidRDefault="00B67FCE" w:rsidP="00AF574F">
            <w:pPr>
              <w:jc w:val="center"/>
              <w:rPr>
                <w:b/>
                <w:color w:val="000000" w:themeColor="text1"/>
              </w:rPr>
            </w:pPr>
            <w:r w:rsidRPr="00781112">
              <w:rPr>
                <w:b/>
                <w:color w:val="000000" w:themeColor="text1"/>
              </w:rPr>
              <w:t>FFY</w:t>
            </w:r>
          </w:p>
        </w:tc>
        <w:tc>
          <w:tcPr>
            <w:tcW w:w="1113" w:type="pct"/>
            <w:shd w:val="clear" w:color="auto" w:fill="auto"/>
          </w:tcPr>
          <w:p w14:paraId="3904D56E" w14:textId="5A40B787" w:rsidR="00B67FCE" w:rsidRPr="00781112" w:rsidRDefault="00B67FCE" w:rsidP="00AF574F">
            <w:pPr>
              <w:jc w:val="center"/>
              <w:rPr>
                <w:b/>
                <w:color w:val="000000" w:themeColor="text1"/>
              </w:rPr>
            </w:pPr>
            <w:r w:rsidRPr="00781112">
              <w:rPr>
                <w:b/>
                <w:color w:val="000000" w:themeColor="text1"/>
              </w:rPr>
              <w:t>2022</w:t>
            </w:r>
          </w:p>
        </w:tc>
        <w:tc>
          <w:tcPr>
            <w:tcW w:w="1113" w:type="pct"/>
          </w:tcPr>
          <w:p w14:paraId="5E87DEBC" w14:textId="3C58C740" w:rsidR="00B67FCE" w:rsidRPr="00781112" w:rsidRDefault="00B67FCE" w:rsidP="00AF574F">
            <w:pPr>
              <w:jc w:val="center"/>
              <w:rPr>
                <w:b/>
                <w:color w:val="000000" w:themeColor="text1"/>
              </w:rPr>
            </w:pPr>
            <w:r w:rsidRPr="00781112">
              <w:rPr>
                <w:rFonts w:cs="Arial"/>
                <w:b/>
                <w:color w:val="000000" w:themeColor="text1"/>
                <w:szCs w:val="16"/>
              </w:rPr>
              <w:t>2023</w:t>
            </w:r>
          </w:p>
        </w:tc>
        <w:tc>
          <w:tcPr>
            <w:tcW w:w="1112" w:type="pct"/>
          </w:tcPr>
          <w:p w14:paraId="1D78C038" w14:textId="34E0A4B6" w:rsidR="00B67FCE" w:rsidRPr="00781112" w:rsidRDefault="00B67FCE" w:rsidP="00AF574F">
            <w:pPr>
              <w:jc w:val="center"/>
              <w:rPr>
                <w:b/>
                <w:color w:val="000000" w:themeColor="text1"/>
              </w:rPr>
            </w:pPr>
            <w:r w:rsidRPr="00781112">
              <w:rPr>
                <w:rFonts w:cs="Arial"/>
                <w:b/>
                <w:color w:val="000000" w:themeColor="text1"/>
                <w:szCs w:val="16"/>
              </w:rPr>
              <w:t>2024</w:t>
            </w:r>
          </w:p>
        </w:tc>
        <w:tc>
          <w:tcPr>
            <w:tcW w:w="1112" w:type="pct"/>
          </w:tcPr>
          <w:p w14:paraId="3C72E9BA" w14:textId="291BB861" w:rsidR="00B67FCE" w:rsidRPr="00781112" w:rsidRDefault="00B67FCE" w:rsidP="00AF574F">
            <w:pPr>
              <w:jc w:val="center"/>
              <w:rPr>
                <w:b/>
                <w:color w:val="000000" w:themeColor="text1"/>
              </w:rPr>
            </w:pPr>
            <w:r w:rsidRPr="00781112">
              <w:rPr>
                <w:rFonts w:cs="Arial"/>
                <w:b/>
                <w:color w:val="000000" w:themeColor="text1"/>
                <w:szCs w:val="16"/>
              </w:rPr>
              <w:t>2025</w:t>
            </w:r>
          </w:p>
        </w:tc>
      </w:tr>
      <w:tr w:rsidR="00B67FCE" w:rsidRPr="00781112" w14:paraId="7E2B073B" w14:textId="0B5C632B" w:rsidTr="00845B9B">
        <w:trPr>
          <w:trHeight w:val="396"/>
        </w:trPr>
        <w:tc>
          <w:tcPr>
            <w:tcW w:w="550" w:type="pct"/>
            <w:shd w:val="clear" w:color="auto" w:fill="auto"/>
          </w:tcPr>
          <w:p w14:paraId="0DC64663" w14:textId="2175F0A9" w:rsidR="00B67FCE" w:rsidRPr="00781112" w:rsidRDefault="00B67FCE" w:rsidP="00BA3DBE">
            <w:pPr>
              <w:jc w:val="center"/>
              <w:rPr>
                <w:rFonts w:cs="Arial"/>
                <w:color w:val="000000" w:themeColor="text1"/>
                <w:szCs w:val="16"/>
              </w:rPr>
            </w:pPr>
            <w:r w:rsidRPr="00781112">
              <w:rPr>
                <w:rFonts w:cs="Arial"/>
                <w:color w:val="000000" w:themeColor="text1"/>
                <w:szCs w:val="16"/>
              </w:rPr>
              <w:t>Target A &gt;=</w:t>
            </w:r>
          </w:p>
        </w:tc>
        <w:tc>
          <w:tcPr>
            <w:tcW w:w="1113" w:type="pct"/>
            <w:shd w:val="clear" w:color="auto" w:fill="auto"/>
            <w:vAlign w:val="center"/>
          </w:tcPr>
          <w:p w14:paraId="0A86FFC3" w14:textId="4AE9585E" w:rsidR="00B67FCE" w:rsidRPr="00781112" w:rsidRDefault="00B67FCE" w:rsidP="00AF574F">
            <w:pPr>
              <w:jc w:val="center"/>
              <w:rPr>
                <w:rFonts w:cs="Arial"/>
                <w:color w:val="000000" w:themeColor="text1"/>
                <w:szCs w:val="16"/>
              </w:rPr>
            </w:pPr>
            <w:r w:rsidRPr="00781112">
              <w:rPr>
                <w:rFonts w:cs="Arial"/>
                <w:color w:val="000000" w:themeColor="text1"/>
                <w:szCs w:val="16"/>
              </w:rPr>
              <w:t>24.40%</w:t>
            </w:r>
          </w:p>
        </w:tc>
        <w:tc>
          <w:tcPr>
            <w:tcW w:w="1113" w:type="pct"/>
          </w:tcPr>
          <w:p w14:paraId="72551055" w14:textId="7A9EF926" w:rsidR="00B67FCE" w:rsidRPr="00781112" w:rsidRDefault="00B67FCE" w:rsidP="00AF574F">
            <w:pPr>
              <w:jc w:val="center"/>
              <w:rPr>
                <w:rFonts w:cs="Arial"/>
                <w:color w:val="000000" w:themeColor="text1"/>
                <w:szCs w:val="16"/>
              </w:rPr>
            </w:pPr>
            <w:r w:rsidRPr="00781112">
              <w:rPr>
                <w:color w:val="000000" w:themeColor="text1"/>
                <w:szCs w:val="16"/>
              </w:rPr>
              <w:t>24.50%</w:t>
            </w:r>
          </w:p>
        </w:tc>
        <w:tc>
          <w:tcPr>
            <w:tcW w:w="1112" w:type="pct"/>
          </w:tcPr>
          <w:p w14:paraId="4460710F" w14:textId="653162EA" w:rsidR="00B67FCE" w:rsidRPr="00781112" w:rsidRDefault="00B67FCE" w:rsidP="00AF574F">
            <w:pPr>
              <w:jc w:val="center"/>
              <w:rPr>
                <w:rFonts w:cs="Arial"/>
                <w:color w:val="000000" w:themeColor="text1"/>
                <w:szCs w:val="16"/>
              </w:rPr>
            </w:pPr>
            <w:r w:rsidRPr="00781112">
              <w:rPr>
                <w:color w:val="000000" w:themeColor="text1"/>
                <w:szCs w:val="16"/>
              </w:rPr>
              <w:t>24.60%</w:t>
            </w:r>
          </w:p>
        </w:tc>
        <w:tc>
          <w:tcPr>
            <w:tcW w:w="1112" w:type="pct"/>
          </w:tcPr>
          <w:p w14:paraId="42DE20BE" w14:textId="660F0A38" w:rsidR="00B67FCE" w:rsidRPr="00781112" w:rsidRDefault="00B67FCE" w:rsidP="00AF574F">
            <w:pPr>
              <w:jc w:val="center"/>
              <w:rPr>
                <w:rFonts w:cs="Arial"/>
                <w:color w:val="000000" w:themeColor="text1"/>
                <w:szCs w:val="16"/>
              </w:rPr>
            </w:pPr>
            <w:r w:rsidRPr="00781112">
              <w:rPr>
                <w:color w:val="000000" w:themeColor="text1"/>
                <w:szCs w:val="16"/>
              </w:rPr>
              <w:t>24.70%</w:t>
            </w:r>
          </w:p>
        </w:tc>
      </w:tr>
      <w:tr w:rsidR="00B67FCE" w:rsidRPr="00781112" w14:paraId="0314BAE3" w14:textId="455C9C0A" w:rsidTr="00845B9B">
        <w:trPr>
          <w:trHeight w:val="396"/>
        </w:trPr>
        <w:tc>
          <w:tcPr>
            <w:tcW w:w="550" w:type="pct"/>
            <w:shd w:val="clear" w:color="auto" w:fill="auto"/>
          </w:tcPr>
          <w:p w14:paraId="53C1536D" w14:textId="615A342B" w:rsidR="00B67FCE" w:rsidRPr="00781112" w:rsidRDefault="00B67FCE" w:rsidP="00BA3DBE">
            <w:pPr>
              <w:jc w:val="center"/>
              <w:rPr>
                <w:rFonts w:cs="Arial"/>
                <w:color w:val="000000" w:themeColor="text1"/>
                <w:szCs w:val="16"/>
              </w:rPr>
            </w:pPr>
            <w:r w:rsidRPr="00781112">
              <w:rPr>
                <w:rFonts w:cs="Arial"/>
                <w:color w:val="000000" w:themeColor="text1"/>
                <w:szCs w:val="16"/>
              </w:rPr>
              <w:t>Target B &gt;=</w:t>
            </w:r>
          </w:p>
        </w:tc>
        <w:tc>
          <w:tcPr>
            <w:tcW w:w="1113" w:type="pct"/>
            <w:shd w:val="clear" w:color="auto" w:fill="auto"/>
            <w:vAlign w:val="center"/>
          </w:tcPr>
          <w:p w14:paraId="3AAA5324" w14:textId="5539646A" w:rsidR="00B67FCE" w:rsidRPr="00781112" w:rsidRDefault="00B67FCE" w:rsidP="00AF574F">
            <w:pPr>
              <w:jc w:val="center"/>
              <w:rPr>
                <w:rFonts w:cs="Arial"/>
                <w:color w:val="000000" w:themeColor="text1"/>
                <w:szCs w:val="16"/>
              </w:rPr>
            </w:pPr>
            <w:r w:rsidRPr="00781112">
              <w:rPr>
                <w:rFonts w:cs="Arial"/>
                <w:color w:val="000000" w:themeColor="text1"/>
                <w:szCs w:val="16"/>
              </w:rPr>
              <w:t>70.46%</w:t>
            </w:r>
          </w:p>
        </w:tc>
        <w:tc>
          <w:tcPr>
            <w:tcW w:w="1113" w:type="pct"/>
          </w:tcPr>
          <w:p w14:paraId="0CDB15F6" w14:textId="4F01BE13" w:rsidR="00B67FCE" w:rsidRPr="00781112" w:rsidRDefault="00B67FCE" w:rsidP="00AF574F">
            <w:pPr>
              <w:jc w:val="center"/>
              <w:rPr>
                <w:rFonts w:cs="Arial"/>
                <w:color w:val="000000" w:themeColor="text1"/>
                <w:szCs w:val="16"/>
              </w:rPr>
            </w:pPr>
            <w:r w:rsidRPr="00781112">
              <w:rPr>
                <w:color w:val="000000" w:themeColor="text1"/>
                <w:szCs w:val="16"/>
              </w:rPr>
              <w:t>72.15%</w:t>
            </w:r>
          </w:p>
        </w:tc>
        <w:tc>
          <w:tcPr>
            <w:tcW w:w="1112" w:type="pct"/>
          </w:tcPr>
          <w:p w14:paraId="4BE6282D" w14:textId="241D14B5" w:rsidR="00B67FCE" w:rsidRPr="00781112" w:rsidRDefault="00B67FCE" w:rsidP="00AF574F">
            <w:pPr>
              <w:jc w:val="center"/>
              <w:rPr>
                <w:rFonts w:cs="Arial"/>
                <w:color w:val="000000" w:themeColor="text1"/>
                <w:szCs w:val="16"/>
              </w:rPr>
            </w:pPr>
            <w:r w:rsidRPr="00781112">
              <w:rPr>
                <w:color w:val="000000" w:themeColor="text1"/>
                <w:szCs w:val="16"/>
              </w:rPr>
              <w:t>72.15%</w:t>
            </w:r>
          </w:p>
        </w:tc>
        <w:tc>
          <w:tcPr>
            <w:tcW w:w="1112" w:type="pct"/>
          </w:tcPr>
          <w:p w14:paraId="57A02DD3" w14:textId="4CEDC8B3" w:rsidR="00B67FCE" w:rsidRPr="00781112" w:rsidRDefault="00B67FCE" w:rsidP="00AF574F">
            <w:pPr>
              <w:jc w:val="center"/>
              <w:rPr>
                <w:rFonts w:cs="Arial"/>
                <w:color w:val="000000" w:themeColor="text1"/>
                <w:szCs w:val="16"/>
              </w:rPr>
            </w:pPr>
            <w:r w:rsidRPr="00781112">
              <w:rPr>
                <w:color w:val="000000" w:themeColor="text1"/>
                <w:szCs w:val="16"/>
              </w:rPr>
              <w:t>73.76%</w:t>
            </w:r>
          </w:p>
        </w:tc>
      </w:tr>
      <w:tr w:rsidR="00B67FCE" w:rsidRPr="00781112" w14:paraId="571B685C" w14:textId="45446171" w:rsidTr="00845B9B">
        <w:trPr>
          <w:trHeight w:val="396"/>
        </w:trPr>
        <w:tc>
          <w:tcPr>
            <w:tcW w:w="550" w:type="pct"/>
            <w:shd w:val="clear" w:color="auto" w:fill="auto"/>
          </w:tcPr>
          <w:p w14:paraId="4D525255" w14:textId="5D1105EA" w:rsidR="00B67FCE" w:rsidRPr="00781112" w:rsidRDefault="00B67FCE" w:rsidP="00BA3DBE">
            <w:pPr>
              <w:jc w:val="center"/>
              <w:rPr>
                <w:rFonts w:cs="Arial"/>
                <w:color w:val="000000" w:themeColor="text1"/>
                <w:szCs w:val="16"/>
              </w:rPr>
            </w:pPr>
            <w:r w:rsidRPr="00781112">
              <w:rPr>
                <w:rFonts w:cs="Arial"/>
                <w:color w:val="000000" w:themeColor="text1"/>
                <w:szCs w:val="16"/>
              </w:rPr>
              <w:t>Target C &gt;=</w:t>
            </w:r>
          </w:p>
        </w:tc>
        <w:tc>
          <w:tcPr>
            <w:tcW w:w="1113" w:type="pct"/>
            <w:shd w:val="clear" w:color="auto" w:fill="auto"/>
            <w:vAlign w:val="center"/>
          </w:tcPr>
          <w:p w14:paraId="6A2D65BD" w14:textId="1F6D3E1F" w:rsidR="00B67FCE" w:rsidRPr="00781112" w:rsidRDefault="00B67FCE" w:rsidP="00AF574F">
            <w:pPr>
              <w:jc w:val="center"/>
              <w:rPr>
                <w:rFonts w:cs="Arial"/>
                <w:color w:val="000000" w:themeColor="text1"/>
                <w:szCs w:val="16"/>
              </w:rPr>
            </w:pPr>
            <w:r w:rsidRPr="00781112">
              <w:rPr>
                <w:rFonts w:cs="Arial"/>
                <w:color w:val="000000" w:themeColor="text1"/>
                <w:szCs w:val="16"/>
              </w:rPr>
              <w:t>81.02%</w:t>
            </w:r>
          </w:p>
        </w:tc>
        <w:tc>
          <w:tcPr>
            <w:tcW w:w="1113" w:type="pct"/>
          </w:tcPr>
          <w:p w14:paraId="6B5B030A" w14:textId="41C6CE98" w:rsidR="00B67FCE" w:rsidRPr="00781112" w:rsidRDefault="00B67FCE" w:rsidP="00AF574F">
            <w:pPr>
              <w:jc w:val="center"/>
              <w:rPr>
                <w:rFonts w:cs="Arial"/>
                <w:color w:val="000000" w:themeColor="text1"/>
                <w:szCs w:val="16"/>
              </w:rPr>
            </w:pPr>
            <w:r w:rsidRPr="00781112">
              <w:rPr>
                <w:color w:val="000000" w:themeColor="text1"/>
                <w:szCs w:val="16"/>
              </w:rPr>
              <w:t>82.96%</w:t>
            </w:r>
          </w:p>
        </w:tc>
        <w:tc>
          <w:tcPr>
            <w:tcW w:w="1112" w:type="pct"/>
          </w:tcPr>
          <w:p w14:paraId="1D90926B" w14:textId="034D06FC" w:rsidR="00B67FCE" w:rsidRPr="00781112" w:rsidRDefault="00B67FCE" w:rsidP="00AF574F">
            <w:pPr>
              <w:jc w:val="center"/>
              <w:rPr>
                <w:rFonts w:cs="Arial"/>
                <w:color w:val="000000" w:themeColor="text1"/>
                <w:szCs w:val="16"/>
              </w:rPr>
            </w:pPr>
            <w:r w:rsidRPr="00781112">
              <w:rPr>
                <w:color w:val="000000" w:themeColor="text1"/>
                <w:szCs w:val="16"/>
              </w:rPr>
              <w:t>82.96%</w:t>
            </w:r>
          </w:p>
        </w:tc>
        <w:tc>
          <w:tcPr>
            <w:tcW w:w="1112" w:type="pct"/>
          </w:tcPr>
          <w:p w14:paraId="4E4DC90B" w14:textId="096AE3F3" w:rsidR="00B67FCE" w:rsidRPr="00781112" w:rsidRDefault="00B67FCE" w:rsidP="00AF574F">
            <w:pPr>
              <w:jc w:val="center"/>
              <w:rPr>
                <w:rFonts w:cs="Arial"/>
                <w:color w:val="000000" w:themeColor="text1"/>
                <w:szCs w:val="16"/>
              </w:rPr>
            </w:pPr>
            <w:r w:rsidRPr="00781112">
              <w:rPr>
                <w:color w:val="000000" w:themeColor="text1"/>
                <w:szCs w:val="16"/>
              </w:rPr>
              <w:t>84.81%</w:t>
            </w:r>
          </w:p>
        </w:tc>
      </w:tr>
    </w:tbl>
    <w:p w14:paraId="007E6F50" w14:textId="125782E4" w:rsidR="000A2C83" w:rsidRPr="00781112" w:rsidRDefault="000A2C83" w:rsidP="004369B2">
      <w:pPr>
        <w:rPr>
          <w:b/>
          <w:color w:val="000000" w:themeColor="text1"/>
        </w:rPr>
      </w:pPr>
      <w:r w:rsidRPr="00781112">
        <w:rPr>
          <w:b/>
          <w:color w:val="000000" w:themeColor="text1"/>
        </w:rPr>
        <w:t xml:space="preserve">Targets: Description of Stakeholder Input </w:t>
      </w:r>
    </w:p>
    <w:p w14:paraId="262FFC50" w14:textId="3E779EE8" w:rsidR="000A2C83" w:rsidRPr="00781112" w:rsidRDefault="002B7490" w:rsidP="000A2C83">
      <w:pPr>
        <w:rPr>
          <w:rFonts w:cs="Arial"/>
          <w:color w:val="000000" w:themeColor="text1"/>
          <w:szCs w:val="16"/>
        </w:rPr>
      </w:pPr>
      <w:r w:rsidRPr="00781112">
        <w:rPr>
          <w:rFonts w:cs="Arial"/>
          <w:color w:val="000000" w:themeColor="text1"/>
          <w:szCs w:val="16"/>
        </w:rPr>
        <w:t>For FFY 2022, to engage parents around secondary transition topics that influence Indicators 1, 2, 13, and 14, CDE collaborated with members of CSEAC to develop and add four additional training modules to address the needs of families and district personnel. A total of ten modules have been developed. Each online training session was attended by 15-20 parents.</w:t>
      </w:r>
      <w:r w:rsidRPr="00781112">
        <w:rPr>
          <w:rFonts w:cs="Arial"/>
          <w:color w:val="000000" w:themeColor="text1"/>
          <w:szCs w:val="16"/>
        </w:rPr>
        <w:br/>
        <w:t>7. Analyze a Transition IEP</w:t>
      </w:r>
      <w:r w:rsidRPr="00781112">
        <w:rPr>
          <w:rFonts w:cs="Arial"/>
          <w:color w:val="000000" w:themeColor="text1"/>
          <w:szCs w:val="16"/>
        </w:rPr>
        <w:br/>
        <w:t>8. PSGs Career/College Planning</w:t>
      </w:r>
      <w:r w:rsidRPr="00781112">
        <w:rPr>
          <w:rFonts w:cs="Arial"/>
          <w:color w:val="000000" w:themeColor="text1"/>
          <w:szCs w:val="16"/>
        </w:rPr>
        <w:br/>
        <w:t>9. Planning and Preparing Parents to Manage Adult Services</w:t>
      </w:r>
      <w:r w:rsidRPr="00781112">
        <w:rPr>
          <w:rFonts w:cs="Arial"/>
          <w:color w:val="000000" w:themeColor="text1"/>
          <w:szCs w:val="16"/>
        </w:rPr>
        <w:br/>
        <w:t>10. Parent Panel</w:t>
      </w:r>
      <w:r w:rsidRPr="00781112">
        <w:rPr>
          <w:rFonts w:cs="Arial"/>
          <w:color w:val="000000" w:themeColor="text1"/>
          <w:szCs w:val="16"/>
        </w:rPr>
        <w:br/>
      </w:r>
      <w:r w:rsidRPr="00781112">
        <w:rPr>
          <w:rFonts w:cs="Arial"/>
          <w:color w:val="000000" w:themeColor="text1"/>
          <w:szCs w:val="16"/>
        </w:rPr>
        <w:br/>
        <w:t>All sessions were recorded, will be closed captioned, and added to the CDE website along with accessible resources for parents to add to their toolkit. Parents will be pulled together in the Spring for additional discussions to further explore current needs. https://www.cde.state.co.us/cdesped/transition</w:t>
      </w:r>
      <w:r w:rsidRPr="00781112">
        <w:rPr>
          <w:rFonts w:cs="Arial"/>
          <w:color w:val="000000" w:themeColor="text1"/>
          <w:szCs w:val="16"/>
        </w:rPr>
        <w:br/>
      </w:r>
      <w:r w:rsidRPr="00781112">
        <w:rPr>
          <w:rFonts w:cs="Arial"/>
          <w:color w:val="000000" w:themeColor="text1"/>
          <w:szCs w:val="16"/>
        </w:rPr>
        <w:lastRenderedPageBreak/>
        <w:br/>
        <w:t xml:space="preserve">For FFY 2021, to engage parents around secondary transition topics that influence Indicators 1, 2, 13, and 14, CDE conducted parent focus groups to determine parent training needs, develop trainings to address needs for families and school district personnel. </w:t>
      </w:r>
      <w:r w:rsidRPr="00781112">
        <w:rPr>
          <w:rFonts w:cs="Arial"/>
          <w:color w:val="000000" w:themeColor="text1"/>
          <w:szCs w:val="16"/>
        </w:rPr>
        <w:br/>
      </w:r>
      <w:r w:rsidRPr="00781112">
        <w:rPr>
          <w:rFonts w:cs="Arial"/>
          <w:color w:val="000000" w:themeColor="text1"/>
          <w:szCs w:val="16"/>
        </w:rPr>
        <w:br/>
        <w:t>Four parent focus groups were held to determine parent training needs: one specifically for Spanish-speaking families.</w:t>
      </w:r>
      <w:r w:rsidRPr="00781112">
        <w:rPr>
          <w:rFonts w:cs="Arial"/>
          <w:color w:val="000000" w:themeColor="text1"/>
          <w:szCs w:val="16"/>
        </w:rPr>
        <w:br/>
      </w:r>
      <w:r w:rsidRPr="00781112">
        <w:rPr>
          <w:rFonts w:cs="Arial"/>
          <w:color w:val="000000" w:themeColor="text1"/>
          <w:szCs w:val="16"/>
        </w:rPr>
        <w:br/>
        <w:t xml:space="preserve">A series of six training modules were developed and made available to parents. </w:t>
      </w:r>
      <w:r w:rsidRPr="00781112">
        <w:rPr>
          <w:rFonts w:cs="Arial"/>
          <w:color w:val="000000" w:themeColor="text1"/>
          <w:szCs w:val="16"/>
        </w:rPr>
        <w:br/>
        <w:t xml:space="preserve">Topics included: </w:t>
      </w:r>
      <w:r w:rsidRPr="00781112">
        <w:rPr>
          <w:rFonts w:cs="Arial"/>
          <w:color w:val="000000" w:themeColor="text1"/>
          <w:szCs w:val="16"/>
        </w:rPr>
        <w:br/>
        <w:t xml:space="preserve">1. What is transition planning? </w:t>
      </w:r>
      <w:r w:rsidRPr="00781112">
        <w:rPr>
          <w:rFonts w:cs="Arial"/>
          <w:color w:val="000000" w:themeColor="text1"/>
          <w:szCs w:val="16"/>
        </w:rPr>
        <w:br/>
        <w:t xml:space="preserve">2. Who helps students reach their goals? </w:t>
      </w:r>
      <w:r w:rsidRPr="00781112">
        <w:rPr>
          <w:rFonts w:cs="Arial"/>
          <w:color w:val="000000" w:themeColor="text1"/>
          <w:szCs w:val="16"/>
        </w:rPr>
        <w:br/>
        <w:t xml:space="preserve">3. What are 18-21 services? </w:t>
      </w:r>
      <w:r w:rsidRPr="00781112">
        <w:rPr>
          <w:rFonts w:cs="Arial"/>
          <w:color w:val="000000" w:themeColor="text1"/>
          <w:szCs w:val="16"/>
        </w:rPr>
        <w:br/>
        <w:t xml:space="preserve">4. Education </w:t>
      </w:r>
      <w:r w:rsidRPr="00781112">
        <w:rPr>
          <w:rFonts w:cs="Arial"/>
          <w:color w:val="000000" w:themeColor="text1"/>
          <w:szCs w:val="16"/>
        </w:rPr>
        <w:br/>
        <w:t xml:space="preserve">5. Employment </w:t>
      </w:r>
      <w:r w:rsidRPr="00781112">
        <w:rPr>
          <w:rFonts w:cs="Arial"/>
          <w:color w:val="000000" w:themeColor="text1"/>
          <w:szCs w:val="16"/>
        </w:rPr>
        <w:br/>
        <w:t xml:space="preserve">6. Success Stories </w:t>
      </w:r>
      <w:r w:rsidRPr="00781112">
        <w:rPr>
          <w:rFonts w:cs="Arial"/>
          <w:color w:val="000000" w:themeColor="text1"/>
          <w:szCs w:val="16"/>
        </w:rPr>
        <w:br/>
      </w:r>
      <w:r w:rsidRPr="00781112">
        <w:rPr>
          <w:rFonts w:cs="Arial"/>
          <w:color w:val="000000" w:themeColor="text1"/>
          <w:szCs w:val="16"/>
        </w:rPr>
        <w:br/>
        <w:t>For FFY 2020, the following mechanisms were used to gather broad stakeholder input:</w:t>
      </w:r>
      <w:r w:rsidRPr="00781112">
        <w:rPr>
          <w:rFonts w:cs="Arial"/>
          <w:color w:val="000000" w:themeColor="text1"/>
          <w:szCs w:val="16"/>
        </w:rPr>
        <w:br/>
      </w:r>
      <w:r w:rsidRPr="00781112">
        <w:rPr>
          <w:rFonts w:cs="Arial"/>
          <w:color w:val="000000" w:themeColor="text1"/>
          <w:szCs w:val="16"/>
        </w:rPr>
        <w:br/>
        <w:t>Identified CDE internal stakeholders and content experts for each indicator:</w:t>
      </w:r>
      <w:r w:rsidRPr="00781112">
        <w:rPr>
          <w:rFonts w:cs="Arial"/>
          <w:color w:val="000000" w:themeColor="text1"/>
          <w:szCs w:val="16"/>
        </w:rPr>
        <w:br/>
        <w:t>1. Scheduled meetings for each CDE internal stakeholder indicator team.</w:t>
      </w:r>
      <w:r w:rsidRPr="00781112">
        <w:rPr>
          <w:rFonts w:cs="Arial"/>
          <w:color w:val="000000" w:themeColor="text1"/>
          <w:szCs w:val="16"/>
        </w:rPr>
        <w:br/>
        <w:t>2. Met with each CDE stakeholder team, explain rules and parameters, Colorado history of indicator, past and current improvement strategies, facilitate discussion, and solicit feedback and develop options for each of the SPP/APR targets.</w:t>
      </w:r>
      <w:r w:rsidRPr="00781112">
        <w:rPr>
          <w:rFonts w:cs="Arial"/>
          <w:color w:val="000000" w:themeColor="text1"/>
          <w:szCs w:val="16"/>
        </w:rPr>
        <w:br/>
        <w:t>3. Met with each CDE stakeholder team to facilitate discussion and come to consensus on targets and improvement strategies to present to the external stakeholder groups.</w:t>
      </w:r>
      <w:r w:rsidRPr="00781112">
        <w:rPr>
          <w:rFonts w:cs="Arial"/>
          <w:color w:val="000000" w:themeColor="text1"/>
          <w:szCs w:val="16"/>
        </w:rPr>
        <w:br/>
        <w:t xml:space="preserve">4. Requested and collected improvement strategies for each indicator from each CDE internal stakeholder team. </w:t>
      </w:r>
      <w:r w:rsidRPr="00781112">
        <w:rPr>
          <w:rFonts w:cs="Arial"/>
          <w:color w:val="000000" w:themeColor="text1"/>
          <w:szCs w:val="16"/>
        </w:rPr>
        <w:br/>
      </w:r>
      <w:r w:rsidRPr="00781112">
        <w:rPr>
          <w:rFonts w:cs="Arial"/>
          <w:color w:val="000000" w:themeColor="text1"/>
          <w:szCs w:val="16"/>
        </w:rPr>
        <w:br/>
        <w:t>Built a survey to collect evidence and information from external stakeholder groups and the public to gain feedback on current SPP/APR indicators to collect the following data:</w:t>
      </w:r>
      <w:r w:rsidRPr="00781112">
        <w:rPr>
          <w:rFonts w:cs="Arial"/>
          <w:color w:val="000000" w:themeColor="text1"/>
          <w:szCs w:val="16"/>
        </w:rPr>
        <w:br/>
        <w:t xml:space="preserve">1. Are targets too high, too low, </w:t>
      </w:r>
      <w:proofErr w:type="gramStart"/>
      <w:r w:rsidRPr="00781112">
        <w:rPr>
          <w:rFonts w:cs="Arial"/>
          <w:color w:val="000000" w:themeColor="text1"/>
          <w:szCs w:val="16"/>
        </w:rPr>
        <w:t>just</w:t>
      </w:r>
      <w:proofErr w:type="gramEnd"/>
      <w:r w:rsidRPr="00781112">
        <w:rPr>
          <w:rFonts w:cs="Arial"/>
          <w:color w:val="000000" w:themeColor="text1"/>
          <w:szCs w:val="16"/>
        </w:rPr>
        <w:t xml:space="preserve"> right?</w:t>
      </w:r>
      <w:r w:rsidRPr="00781112">
        <w:rPr>
          <w:rFonts w:cs="Arial"/>
          <w:color w:val="000000" w:themeColor="text1"/>
          <w:szCs w:val="16"/>
        </w:rPr>
        <w:br/>
        <w:t>2. If the proposed improvement strategies are reasonably calculated to help Colorado reach the proposed targets?</w:t>
      </w:r>
      <w:r w:rsidRPr="00781112">
        <w:rPr>
          <w:rFonts w:cs="Arial"/>
          <w:color w:val="000000" w:themeColor="text1"/>
          <w:szCs w:val="16"/>
        </w:rPr>
        <w:br/>
        <w:t>3. Is the proposed choice of demographic category to be analyzed for representation an appropriate selection?</w:t>
      </w:r>
      <w:r w:rsidRPr="00781112">
        <w:rPr>
          <w:rFonts w:cs="Arial"/>
          <w:color w:val="000000" w:themeColor="text1"/>
          <w:szCs w:val="16"/>
        </w:rPr>
        <w:br/>
      </w:r>
      <w:r w:rsidRPr="00781112">
        <w:rPr>
          <w:rFonts w:cs="Arial"/>
          <w:color w:val="000000" w:themeColor="text1"/>
          <w:szCs w:val="16"/>
        </w:rPr>
        <w:br/>
        <w:t>Built a web page to include:</w:t>
      </w:r>
      <w:r w:rsidRPr="00781112">
        <w:rPr>
          <w:rFonts w:cs="Arial"/>
          <w:color w:val="000000" w:themeColor="text1"/>
          <w:szCs w:val="16"/>
        </w:rPr>
        <w:br/>
        <w:t>1. basic information regarding the SPP/APR and the 6-year target resetting process.</w:t>
      </w:r>
      <w:r w:rsidRPr="00781112">
        <w:rPr>
          <w:rFonts w:cs="Arial"/>
          <w:color w:val="000000" w:themeColor="text1"/>
          <w:szCs w:val="16"/>
        </w:rPr>
        <w:br/>
        <w:t>2. asyncronys access to a series of webinars explaining each of the SPP/APR indicators, proposed targets, and improvement strategies.</w:t>
      </w:r>
      <w:r w:rsidRPr="00781112">
        <w:rPr>
          <w:rFonts w:cs="Arial"/>
          <w:color w:val="000000" w:themeColor="text1"/>
          <w:szCs w:val="16"/>
        </w:rPr>
        <w:br/>
        <w:t>3. a link to an indicator survey to gather information from the public during the comment period. This survey was designed to solicit the following information: (a) Are the proposed targets too high, too low, or appropriate? (b) Are the proposed improvement strategies reasonably calculated to help Colorado reach the proposed targets? (c) Is the proposed demographic group to be analyzed for representation an appropriate selection?</w:t>
      </w:r>
      <w:r w:rsidRPr="00781112">
        <w:rPr>
          <w:rFonts w:cs="Arial"/>
          <w:color w:val="000000" w:themeColor="text1"/>
          <w:szCs w:val="16"/>
        </w:rPr>
        <w:br/>
      </w:r>
      <w:r w:rsidRPr="00781112">
        <w:rPr>
          <w:rFonts w:cs="Arial"/>
          <w:color w:val="000000" w:themeColor="text1"/>
          <w:szCs w:val="16"/>
        </w:rPr>
        <w:br/>
        <w:t>Presented and requested input on agreed on targets and improvement strategies to the following indicator specific advisory councils: Preschool School Special Education Advisory Committee (PSSEAC), and the Secondary Transition Task Force Advisory Committee. Review and incorporate feedback into the final draft of the new targets and share proposed version with ESSU Executive Director for approval.</w:t>
      </w:r>
      <w:r w:rsidRPr="00781112">
        <w:rPr>
          <w:rFonts w:cs="Arial"/>
          <w:color w:val="000000" w:themeColor="text1"/>
          <w:szCs w:val="16"/>
        </w:rPr>
        <w:br/>
        <w:t>Presented proposed targets and gathered additional feedback to the following State advisory groups and advocacy groups: Colorado Special Education Advisory Committee (CSEAC) and Parent Partnerships for Equity Advisory Committee, The Arc of Colorado, PEAK Parent Center, and Disability Law Colorado.</w:t>
      </w:r>
      <w:r w:rsidRPr="00781112">
        <w:rPr>
          <w:rFonts w:cs="Arial"/>
          <w:color w:val="000000" w:themeColor="text1"/>
          <w:szCs w:val="16"/>
        </w:rPr>
        <w:br/>
        <w:t>Presented proposed targets for all indicators to Colorado LEA Special Education Directors.</w:t>
      </w:r>
      <w:r w:rsidRPr="00781112">
        <w:rPr>
          <w:rFonts w:cs="Arial"/>
          <w:color w:val="000000" w:themeColor="text1"/>
          <w:szCs w:val="16"/>
        </w:rPr>
        <w:br/>
        <w:t>Held a 2-month public comment period to solicit public comments through a broad CDE-wide communication plan made up of a dedicated webpage with short videos and surveys for each indicator, CDE Facebook page, CDE Twitter Account, a CDE webpage news story, CDE’s Weekly Newsletter, and notifications to our parent advocacy agencies.</w:t>
      </w:r>
      <w:r w:rsidRPr="00781112">
        <w:rPr>
          <w:rFonts w:cs="Arial"/>
          <w:color w:val="000000" w:themeColor="text1"/>
          <w:szCs w:val="16"/>
        </w:rPr>
        <w:br/>
        <w:t xml:space="preserve"> </w:t>
      </w:r>
      <w:r w:rsidRPr="00781112">
        <w:rPr>
          <w:rFonts w:cs="Arial"/>
          <w:color w:val="000000" w:themeColor="text1"/>
          <w:szCs w:val="16"/>
        </w:rPr>
        <w:br/>
        <w:t>Reviewed and considered public comments received through the indicator survey mechanism, finalize all targets with ESSU Executive Director, and published targets on CDE webpage.</w:t>
      </w:r>
    </w:p>
    <w:p w14:paraId="4522ADD4" w14:textId="77777777" w:rsidR="00E448E9" w:rsidRPr="00781112" w:rsidRDefault="00E448E9" w:rsidP="004369B2">
      <w:pPr>
        <w:rPr>
          <w:color w:val="000000" w:themeColor="text1"/>
        </w:rPr>
      </w:pPr>
      <w:bookmarkStart w:id="87" w:name="_Toc392159337"/>
    </w:p>
    <w:bookmarkEnd w:id="87"/>
    <w:p w14:paraId="4202DC3A" w14:textId="0A66A417" w:rsidR="00A03EFA" w:rsidRPr="00781112" w:rsidRDefault="0047313F" w:rsidP="004369B2">
      <w:pPr>
        <w:rPr>
          <w:color w:val="000000" w:themeColor="text1"/>
        </w:rPr>
      </w:pPr>
      <w:r>
        <w:rPr>
          <w:b/>
          <w:color w:val="000000" w:themeColor="text1"/>
        </w:rPr>
        <w:t>FFY 2022 SPP/APR Data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B14CFFYAPRDATA"/>
      </w:tblPr>
      <w:tblGrid>
        <w:gridCol w:w="8395"/>
        <w:gridCol w:w="2395"/>
      </w:tblGrid>
      <w:tr w:rsidR="00090132" w:rsidRPr="00781112" w14:paraId="207EB2D1" w14:textId="77777777" w:rsidTr="00090132">
        <w:tc>
          <w:tcPr>
            <w:tcW w:w="3890" w:type="pct"/>
            <w:vAlign w:val="center"/>
          </w:tcPr>
          <w:p w14:paraId="67362B4A" w14:textId="3209EFE1" w:rsidR="00090132" w:rsidRPr="00781112" w:rsidRDefault="00090132" w:rsidP="00090132">
            <w:pPr>
              <w:keepNext/>
              <w:rPr>
                <w:rFonts w:cs="Arial"/>
                <w:color w:val="000000" w:themeColor="text1"/>
                <w:szCs w:val="16"/>
              </w:rPr>
            </w:pPr>
            <w:r>
              <w:rPr>
                <w:rFonts w:cs="Arial"/>
                <w:szCs w:val="16"/>
              </w:rPr>
              <w:t>Total</w:t>
            </w:r>
            <w:r w:rsidRPr="000B10B6">
              <w:rPr>
                <w:rFonts w:eastAsia="Times New Roman" w:cs="Arial"/>
                <w:szCs w:val="16"/>
              </w:rPr>
              <w:t xml:space="preserve"> number of targeted </w:t>
            </w:r>
            <w:proofErr w:type="gramStart"/>
            <w:r w:rsidRPr="000B10B6">
              <w:rPr>
                <w:rFonts w:eastAsia="Times New Roman" w:cs="Arial"/>
                <w:szCs w:val="16"/>
              </w:rPr>
              <w:t>youth</w:t>
            </w:r>
            <w:proofErr w:type="gramEnd"/>
            <w:r w:rsidRPr="000B10B6">
              <w:rPr>
                <w:rFonts w:eastAsia="Times New Roman" w:cs="Arial"/>
                <w:szCs w:val="16"/>
              </w:rPr>
              <w:t xml:space="preserve"> in the sample or census</w:t>
            </w:r>
          </w:p>
        </w:tc>
        <w:tc>
          <w:tcPr>
            <w:tcW w:w="1110" w:type="pct"/>
            <w:vAlign w:val="center"/>
          </w:tcPr>
          <w:p w14:paraId="2427A8AD" w14:textId="54179547" w:rsidR="00090132" w:rsidRPr="00781112" w:rsidRDefault="00090132" w:rsidP="00090132">
            <w:pPr>
              <w:jc w:val="center"/>
              <w:rPr>
                <w:rFonts w:cs="Arial"/>
                <w:color w:val="000000" w:themeColor="text1"/>
                <w:szCs w:val="16"/>
              </w:rPr>
            </w:pPr>
            <w:r>
              <w:rPr>
                <w:rFonts w:cs="Arial"/>
                <w:color w:val="000000" w:themeColor="text1"/>
                <w:szCs w:val="16"/>
              </w:rPr>
              <w:t>4,005</w:t>
            </w:r>
          </w:p>
        </w:tc>
      </w:tr>
      <w:tr w:rsidR="00090132" w:rsidRPr="00781112" w14:paraId="4BEBCF45" w14:textId="77777777" w:rsidTr="00090132">
        <w:tc>
          <w:tcPr>
            <w:tcW w:w="3890" w:type="pct"/>
            <w:vAlign w:val="center"/>
          </w:tcPr>
          <w:p w14:paraId="362898CB" w14:textId="77777777" w:rsidR="00090132" w:rsidRPr="00781112" w:rsidRDefault="00090132" w:rsidP="00090132">
            <w:pPr>
              <w:keepNext/>
              <w:rPr>
                <w:rFonts w:cs="Arial"/>
                <w:color w:val="000000" w:themeColor="text1"/>
                <w:szCs w:val="16"/>
              </w:rPr>
            </w:pPr>
            <w:r w:rsidRPr="00781112">
              <w:rPr>
                <w:rFonts w:cs="Arial"/>
                <w:color w:val="000000" w:themeColor="text1"/>
                <w:szCs w:val="16"/>
              </w:rPr>
              <w:t>Number of respondent youth who are no longer in secondary school and had IEPs in effect at the time they left school</w:t>
            </w:r>
          </w:p>
        </w:tc>
        <w:tc>
          <w:tcPr>
            <w:tcW w:w="1110" w:type="pct"/>
            <w:vAlign w:val="center"/>
          </w:tcPr>
          <w:p w14:paraId="4E7A7BCA" w14:textId="4D8CFE95" w:rsidR="00090132" w:rsidRPr="00781112" w:rsidRDefault="00090132" w:rsidP="00090132">
            <w:pPr>
              <w:jc w:val="center"/>
              <w:rPr>
                <w:rFonts w:cs="Arial"/>
                <w:color w:val="000000" w:themeColor="text1"/>
                <w:szCs w:val="16"/>
              </w:rPr>
            </w:pPr>
            <w:r w:rsidRPr="00781112">
              <w:rPr>
                <w:rFonts w:cs="Arial"/>
                <w:color w:val="000000" w:themeColor="text1"/>
                <w:szCs w:val="16"/>
              </w:rPr>
              <w:t>2,825</w:t>
            </w:r>
          </w:p>
        </w:tc>
      </w:tr>
      <w:tr w:rsidR="00090132" w:rsidRPr="00781112" w14:paraId="099154C0" w14:textId="77777777" w:rsidTr="00090132">
        <w:tc>
          <w:tcPr>
            <w:tcW w:w="3890" w:type="pct"/>
            <w:vAlign w:val="center"/>
          </w:tcPr>
          <w:p w14:paraId="5A4C399B" w14:textId="5923727A" w:rsidR="00090132" w:rsidRPr="00781112" w:rsidRDefault="00090132" w:rsidP="00090132">
            <w:pPr>
              <w:rPr>
                <w:rFonts w:cs="Arial"/>
                <w:color w:val="000000" w:themeColor="text1"/>
                <w:szCs w:val="16"/>
              </w:rPr>
            </w:pPr>
            <w:r>
              <w:rPr>
                <w:rFonts w:cs="Arial"/>
                <w:szCs w:val="16"/>
              </w:rPr>
              <w:t>Response Rate</w:t>
            </w:r>
          </w:p>
        </w:tc>
        <w:tc>
          <w:tcPr>
            <w:tcW w:w="1110" w:type="pct"/>
            <w:vAlign w:val="center"/>
          </w:tcPr>
          <w:p w14:paraId="394AE71F" w14:textId="54DFC261" w:rsidR="00090132" w:rsidRPr="00781112" w:rsidRDefault="00090132" w:rsidP="00090132">
            <w:pPr>
              <w:jc w:val="center"/>
              <w:rPr>
                <w:rFonts w:cs="Arial"/>
                <w:color w:val="000000" w:themeColor="text1"/>
                <w:szCs w:val="16"/>
              </w:rPr>
            </w:pPr>
            <w:r w:rsidRPr="00ED172B">
              <w:rPr>
                <w:rFonts w:cs="Arial"/>
                <w:color w:val="000000" w:themeColor="text1"/>
                <w:szCs w:val="16"/>
              </w:rPr>
              <w:t>70.54%</w:t>
            </w:r>
          </w:p>
        </w:tc>
      </w:tr>
      <w:tr w:rsidR="00090132" w:rsidRPr="00781112" w14:paraId="5E0C2D8D" w14:textId="77777777" w:rsidTr="00090132">
        <w:tc>
          <w:tcPr>
            <w:tcW w:w="3890" w:type="pct"/>
            <w:vAlign w:val="center"/>
          </w:tcPr>
          <w:p w14:paraId="307B7092" w14:textId="77777777" w:rsidR="00090132" w:rsidRPr="00781112" w:rsidRDefault="00090132" w:rsidP="00090132">
            <w:pPr>
              <w:rPr>
                <w:rFonts w:cs="Arial"/>
                <w:color w:val="000000" w:themeColor="text1"/>
                <w:szCs w:val="16"/>
              </w:rPr>
            </w:pPr>
            <w:r w:rsidRPr="00781112">
              <w:rPr>
                <w:rFonts w:cs="Arial"/>
                <w:color w:val="000000" w:themeColor="text1"/>
                <w:szCs w:val="16"/>
              </w:rPr>
              <w:t xml:space="preserve">1. Number of respondent youth who enrolled in higher education within one year of leaving high school </w:t>
            </w:r>
          </w:p>
        </w:tc>
        <w:tc>
          <w:tcPr>
            <w:tcW w:w="1110" w:type="pct"/>
            <w:vAlign w:val="center"/>
          </w:tcPr>
          <w:p w14:paraId="0A9A571A" w14:textId="2C7C274B" w:rsidR="00090132" w:rsidRPr="00781112" w:rsidRDefault="00090132" w:rsidP="00090132">
            <w:pPr>
              <w:jc w:val="center"/>
              <w:rPr>
                <w:rFonts w:cs="Arial"/>
                <w:color w:val="000000" w:themeColor="text1"/>
                <w:szCs w:val="16"/>
              </w:rPr>
            </w:pPr>
            <w:r w:rsidRPr="00781112">
              <w:rPr>
                <w:rFonts w:cs="Arial"/>
                <w:color w:val="000000" w:themeColor="text1"/>
                <w:szCs w:val="16"/>
              </w:rPr>
              <w:t>669</w:t>
            </w:r>
          </w:p>
        </w:tc>
      </w:tr>
      <w:tr w:rsidR="00090132" w:rsidRPr="00781112" w14:paraId="7827FDF9" w14:textId="77777777" w:rsidTr="00090132">
        <w:tc>
          <w:tcPr>
            <w:tcW w:w="3890" w:type="pct"/>
            <w:vAlign w:val="center"/>
          </w:tcPr>
          <w:p w14:paraId="143C6167" w14:textId="77777777" w:rsidR="00090132" w:rsidRPr="00781112" w:rsidRDefault="00090132" w:rsidP="00090132">
            <w:pPr>
              <w:rPr>
                <w:rFonts w:cs="Arial"/>
                <w:color w:val="000000" w:themeColor="text1"/>
                <w:szCs w:val="16"/>
              </w:rPr>
            </w:pPr>
            <w:r w:rsidRPr="00781112">
              <w:rPr>
                <w:rFonts w:cs="Arial"/>
                <w:color w:val="000000" w:themeColor="text1"/>
                <w:szCs w:val="16"/>
              </w:rPr>
              <w:t xml:space="preserve">2. Number of respondent youth who competitively employed within one year of leaving high school </w:t>
            </w:r>
          </w:p>
        </w:tc>
        <w:tc>
          <w:tcPr>
            <w:tcW w:w="1110" w:type="pct"/>
            <w:vAlign w:val="center"/>
          </w:tcPr>
          <w:p w14:paraId="6B716476" w14:textId="340D4859" w:rsidR="00090132" w:rsidRPr="00781112" w:rsidRDefault="00090132" w:rsidP="00090132">
            <w:pPr>
              <w:jc w:val="center"/>
              <w:rPr>
                <w:rFonts w:cs="Arial"/>
                <w:color w:val="000000" w:themeColor="text1"/>
                <w:szCs w:val="16"/>
              </w:rPr>
            </w:pPr>
            <w:r w:rsidRPr="00781112">
              <w:rPr>
                <w:rFonts w:cs="Arial"/>
                <w:color w:val="000000" w:themeColor="text1"/>
                <w:szCs w:val="16"/>
              </w:rPr>
              <w:t>1,209</w:t>
            </w:r>
          </w:p>
        </w:tc>
      </w:tr>
      <w:tr w:rsidR="00090132" w:rsidRPr="00781112" w14:paraId="5F3556EC" w14:textId="77777777" w:rsidTr="00090132">
        <w:tc>
          <w:tcPr>
            <w:tcW w:w="3890" w:type="pct"/>
            <w:vAlign w:val="center"/>
          </w:tcPr>
          <w:p w14:paraId="31472415" w14:textId="77777777" w:rsidR="00090132" w:rsidRPr="00781112" w:rsidRDefault="00090132" w:rsidP="00090132">
            <w:pPr>
              <w:rPr>
                <w:rFonts w:cs="Arial"/>
                <w:color w:val="000000" w:themeColor="text1"/>
                <w:szCs w:val="16"/>
              </w:rPr>
            </w:pPr>
            <w:r w:rsidRPr="00781112">
              <w:rPr>
                <w:rFonts w:cs="Arial"/>
                <w:color w:val="000000" w:themeColor="text1"/>
                <w:szCs w:val="16"/>
              </w:rPr>
              <w:t>3. Number of respondent youth enrolled in some other postsecondary education or training program within one year of leaving high school (but not enrolled in higher education or competitively employed)</w:t>
            </w:r>
          </w:p>
        </w:tc>
        <w:tc>
          <w:tcPr>
            <w:tcW w:w="1110" w:type="pct"/>
            <w:vAlign w:val="center"/>
          </w:tcPr>
          <w:p w14:paraId="113FFF64" w14:textId="3A694BE0" w:rsidR="00090132" w:rsidRPr="00781112" w:rsidRDefault="00090132" w:rsidP="00090132">
            <w:pPr>
              <w:jc w:val="center"/>
              <w:rPr>
                <w:rFonts w:cs="Arial"/>
                <w:color w:val="000000" w:themeColor="text1"/>
                <w:szCs w:val="16"/>
              </w:rPr>
            </w:pPr>
            <w:r w:rsidRPr="00781112">
              <w:rPr>
                <w:rFonts w:cs="Arial"/>
                <w:color w:val="000000" w:themeColor="text1"/>
                <w:szCs w:val="16"/>
              </w:rPr>
              <w:t>94</w:t>
            </w:r>
          </w:p>
        </w:tc>
      </w:tr>
      <w:tr w:rsidR="00090132" w:rsidRPr="00781112" w14:paraId="781804C6" w14:textId="77777777" w:rsidTr="00090132">
        <w:tc>
          <w:tcPr>
            <w:tcW w:w="3890" w:type="pct"/>
            <w:vAlign w:val="center"/>
          </w:tcPr>
          <w:p w14:paraId="1C549366" w14:textId="77777777" w:rsidR="00090132" w:rsidRPr="00781112" w:rsidRDefault="00090132" w:rsidP="00090132">
            <w:pPr>
              <w:rPr>
                <w:rFonts w:cs="Arial"/>
                <w:color w:val="000000" w:themeColor="text1"/>
                <w:szCs w:val="16"/>
              </w:rPr>
            </w:pPr>
            <w:r w:rsidRPr="00781112">
              <w:rPr>
                <w:rFonts w:cs="Arial"/>
                <w:color w:val="000000" w:themeColor="text1"/>
                <w:szCs w:val="16"/>
              </w:rPr>
              <w:t>4. Number of respondent youth who are in some other employment within one year of leaving high school (but not enrolled in higher education, some other postsecondary education or training program, or competitively employed).</w:t>
            </w:r>
          </w:p>
        </w:tc>
        <w:tc>
          <w:tcPr>
            <w:tcW w:w="1110" w:type="pct"/>
            <w:vAlign w:val="center"/>
          </w:tcPr>
          <w:p w14:paraId="73A7669A" w14:textId="69DC744F" w:rsidR="00090132" w:rsidRPr="00781112" w:rsidRDefault="00090132" w:rsidP="00090132">
            <w:pPr>
              <w:jc w:val="center"/>
              <w:rPr>
                <w:rFonts w:cs="Arial"/>
                <w:color w:val="000000" w:themeColor="text1"/>
                <w:szCs w:val="16"/>
              </w:rPr>
            </w:pPr>
            <w:r w:rsidRPr="00781112">
              <w:rPr>
                <w:rFonts w:cs="Arial"/>
                <w:color w:val="000000" w:themeColor="text1"/>
                <w:szCs w:val="16"/>
              </w:rPr>
              <w:t>176</w:t>
            </w:r>
          </w:p>
        </w:tc>
      </w:tr>
    </w:tbl>
    <w:p w14:paraId="4C7C103F" w14:textId="77777777" w:rsidR="00634AD8" w:rsidRPr="00781112" w:rsidRDefault="00634AD8" w:rsidP="00634AD8">
      <w:pPr>
        <w:rPr>
          <w:rFonts w:cs="Arial"/>
          <w:b/>
          <w:color w:val="000000" w:themeColor="text1"/>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B14CFFYAPRDATA1"/>
      </w:tblPr>
      <w:tblGrid>
        <w:gridCol w:w="1348"/>
        <w:gridCol w:w="1348"/>
        <w:gridCol w:w="1349"/>
        <w:gridCol w:w="1349"/>
        <w:gridCol w:w="1349"/>
        <w:gridCol w:w="1349"/>
        <w:gridCol w:w="1349"/>
        <w:gridCol w:w="1349"/>
      </w:tblGrid>
      <w:tr w:rsidR="00B1652C" w:rsidRPr="00781112" w14:paraId="5EEC1BAF" w14:textId="0A8A2949" w:rsidTr="0033429D">
        <w:trPr>
          <w:trHeight w:val="358"/>
          <w:tblHeader/>
        </w:trPr>
        <w:tc>
          <w:tcPr>
            <w:tcW w:w="625" w:type="pct"/>
            <w:shd w:val="clear" w:color="auto" w:fill="auto"/>
            <w:vAlign w:val="bottom"/>
          </w:tcPr>
          <w:p w14:paraId="4E882584" w14:textId="038C3477" w:rsidR="00B1652C" w:rsidRPr="00781112" w:rsidRDefault="00B1652C" w:rsidP="00B1652C">
            <w:pPr>
              <w:jc w:val="center"/>
              <w:rPr>
                <w:rFonts w:cs="Arial"/>
                <w:b/>
                <w:color w:val="000000" w:themeColor="text1"/>
                <w:szCs w:val="16"/>
              </w:rPr>
            </w:pPr>
            <w:r w:rsidRPr="00781112">
              <w:rPr>
                <w:rFonts w:cs="Arial"/>
                <w:b/>
                <w:color w:val="000000" w:themeColor="text1"/>
                <w:szCs w:val="16"/>
              </w:rPr>
              <w:lastRenderedPageBreak/>
              <w:t>Measure</w:t>
            </w:r>
          </w:p>
        </w:tc>
        <w:tc>
          <w:tcPr>
            <w:tcW w:w="625" w:type="pct"/>
            <w:shd w:val="clear" w:color="auto" w:fill="auto"/>
            <w:vAlign w:val="bottom"/>
          </w:tcPr>
          <w:p w14:paraId="5814109E" w14:textId="77777777" w:rsidR="00B1652C" w:rsidRPr="00781112" w:rsidRDefault="00B1652C" w:rsidP="00B1652C">
            <w:pPr>
              <w:jc w:val="center"/>
              <w:rPr>
                <w:rFonts w:cs="Arial"/>
                <w:b/>
                <w:color w:val="000000" w:themeColor="text1"/>
                <w:szCs w:val="16"/>
              </w:rPr>
            </w:pPr>
            <w:r w:rsidRPr="00781112">
              <w:rPr>
                <w:rFonts w:cs="Arial"/>
                <w:b/>
                <w:color w:val="000000" w:themeColor="text1"/>
                <w:szCs w:val="16"/>
              </w:rPr>
              <w:t>Number of respondent youth</w:t>
            </w:r>
          </w:p>
        </w:tc>
        <w:tc>
          <w:tcPr>
            <w:tcW w:w="625" w:type="pct"/>
            <w:shd w:val="clear" w:color="auto" w:fill="auto"/>
            <w:vAlign w:val="bottom"/>
          </w:tcPr>
          <w:p w14:paraId="14CE6B2C" w14:textId="77777777" w:rsidR="00B1652C" w:rsidRPr="00781112" w:rsidRDefault="00B1652C" w:rsidP="00B1652C">
            <w:pPr>
              <w:jc w:val="center"/>
              <w:rPr>
                <w:rFonts w:cs="Arial"/>
                <w:b/>
                <w:color w:val="000000" w:themeColor="text1"/>
                <w:szCs w:val="16"/>
              </w:rPr>
            </w:pPr>
            <w:r w:rsidRPr="00781112">
              <w:rPr>
                <w:rFonts w:cs="Arial"/>
                <w:b/>
                <w:color w:val="000000" w:themeColor="text1"/>
                <w:szCs w:val="16"/>
              </w:rPr>
              <w:t>Number of respondent youth who are no longer in secondary school and had IEPs in effect at the time they left school</w:t>
            </w:r>
          </w:p>
        </w:tc>
        <w:tc>
          <w:tcPr>
            <w:tcW w:w="625" w:type="pct"/>
            <w:shd w:val="clear" w:color="auto" w:fill="auto"/>
            <w:vAlign w:val="bottom"/>
          </w:tcPr>
          <w:p w14:paraId="12E02A36" w14:textId="1EB1CF1D" w:rsidR="00B1652C" w:rsidRPr="006D0A52" w:rsidRDefault="00B1652C" w:rsidP="00B1652C">
            <w:pPr>
              <w:jc w:val="center"/>
              <w:rPr>
                <w:rFonts w:cs="Arial"/>
                <w:b/>
                <w:bCs/>
                <w:color w:val="000000" w:themeColor="text1"/>
                <w:szCs w:val="16"/>
              </w:rPr>
            </w:pPr>
            <w:r w:rsidRPr="006D0A52">
              <w:rPr>
                <w:b/>
                <w:bCs/>
              </w:rPr>
              <w:t>FFY 2021 Data</w:t>
            </w:r>
          </w:p>
        </w:tc>
        <w:tc>
          <w:tcPr>
            <w:tcW w:w="625" w:type="pct"/>
            <w:shd w:val="clear" w:color="auto" w:fill="auto"/>
            <w:vAlign w:val="bottom"/>
          </w:tcPr>
          <w:p w14:paraId="5152926B" w14:textId="26634D53" w:rsidR="00B1652C" w:rsidRPr="006D0A52" w:rsidRDefault="00B1652C" w:rsidP="00B1652C">
            <w:pPr>
              <w:jc w:val="center"/>
              <w:rPr>
                <w:rFonts w:cs="Arial"/>
                <w:b/>
                <w:bCs/>
                <w:color w:val="000000" w:themeColor="text1"/>
                <w:szCs w:val="16"/>
              </w:rPr>
            </w:pPr>
            <w:r w:rsidRPr="006D0A52">
              <w:rPr>
                <w:b/>
                <w:bCs/>
              </w:rPr>
              <w:t>FFY 2022 Target</w:t>
            </w:r>
          </w:p>
        </w:tc>
        <w:tc>
          <w:tcPr>
            <w:tcW w:w="625" w:type="pct"/>
            <w:shd w:val="clear" w:color="auto" w:fill="auto"/>
            <w:vAlign w:val="bottom"/>
          </w:tcPr>
          <w:p w14:paraId="520BBB1B" w14:textId="4A9A2F0F" w:rsidR="00B1652C" w:rsidRPr="006D0A52" w:rsidRDefault="00B1652C" w:rsidP="00B1652C">
            <w:pPr>
              <w:jc w:val="center"/>
              <w:rPr>
                <w:rFonts w:cs="Arial"/>
                <w:b/>
                <w:bCs/>
                <w:color w:val="000000" w:themeColor="text1"/>
                <w:szCs w:val="16"/>
              </w:rPr>
            </w:pPr>
            <w:r w:rsidRPr="006D0A52">
              <w:rPr>
                <w:b/>
                <w:bCs/>
              </w:rPr>
              <w:t>FFY 2022 Data</w:t>
            </w:r>
          </w:p>
        </w:tc>
        <w:tc>
          <w:tcPr>
            <w:tcW w:w="625" w:type="pct"/>
            <w:shd w:val="clear" w:color="auto" w:fill="auto"/>
            <w:vAlign w:val="bottom"/>
          </w:tcPr>
          <w:p w14:paraId="4E9CD96E" w14:textId="648B12FE" w:rsidR="00B1652C" w:rsidRPr="00781112" w:rsidRDefault="00B1652C" w:rsidP="00B1652C">
            <w:pPr>
              <w:jc w:val="center"/>
              <w:rPr>
                <w:rFonts w:cs="Arial"/>
                <w:b/>
                <w:color w:val="000000" w:themeColor="text1"/>
                <w:szCs w:val="16"/>
              </w:rPr>
            </w:pPr>
            <w:r w:rsidRPr="00781112">
              <w:rPr>
                <w:rFonts w:cs="Arial"/>
                <w:b/>
                <w:color w:val="000000" w:themeColor="text1"/>
                <w:szCs w:val="16"/>
              </w:rPr>
              <w:t>Status</w:t>
            </w:r>
          </w:p>
        </w:tc>
        <w:tc>
          <w:tcPr>
            <w:tcW w:w="625" w:type="pct"/>
            <w:shd w:val="clear" w:color="auto" w:fill="auto"/>
            <w:vAlign w:val="bottom"/>
          </w:tcPr>
          <w:p w14:paraId="715E8BB1" w14:textId="2FE9D03B" w:rsidR="00B1652C" w:rsidRPr="00781112" w:rsidRDefault="00B1652C" w:rsidP="00B1652C">
            <w:pPr>
              <w:jc w:val="center"/>
              <w:rPr>
                <w:rFonts w:cs="Arial"/>
                <w:b/>
                <w:color w:val="000000" w:themeColor="text1"/>
                <w:szCs w:val="16"/>
              </w:rPr>
            </w:pPr>
            <w:r w:rsidRPr="00781112">
              <w:rPr>
                <w:rFonts w:cs="Arial"/>
                <w:b/>
                <w:color w:val="000000" w:themeColor="text1"/>
                <w:szCs w:val="16"/>
              </w:rPr>
              <w:t>Slippage</w:t>
            </w:r>
          </w:p>
        </w:tc>
      </w:tr>
      <w:tr w:rsidR="005C29F8" w:rsidRPr="00781112" w14:paraId="2526E003" w14:textId="5321EBA7" w:rsidTr="0033429D">
        <w:trPr>
          <w:trHeight w:val="365"/>
        </w:trPr>
        <w:tc>
          <w:tcPr>
            <w:tcW w:w="625" w:type="pct"/>
            <w:shd w:val="clear" w:color="auto" w:fill="auto"/>
            <w:vAlign w:val="center"/>
          </w:tcPr>
          <w:p w14:paraId="4322DAA7" w14:textId="775B971A" w:rsidR="00C66181" w:rsidRPr="00781112" w:rsidRDefault="00C66181" w:rsidP="00C66181">
            <w:pPr>
              <w:rPr>
                <w:rFonts w:cs="Arial"/>
                <w:color w:val="000000" w:themeColor="text1"/>
                <w:szCs w:val="16"/>
              </w:rPr>
            </w:pPr>
            <w:r w:rsidRPr="00781112">
              <w:rPr>
                <w:rFonts w:cs="Arial"/>
                <w:color w:val="000000" w:themeColor="text1"/>
                <w:szCs w:val="16"/>
              </w:rPr>
              <w:t>A. Enrolled in higher education (1)</w:t>
            </w:r>
          </w:p>
        </w:tc>
        <w:tc>
          <w:tcPr>
            <w:tcW w:w="625" w:type="pct"/>
            <w:shd w:val="clear" w:color="auto" w:fill="auto"/>
            <w:vAlign w:val="center"/>
          </w:tcPr>
          <w:p w14:paraId="2B2B0998" w14:textId="349D0F93" w:rsidR="00C66181" w:rsidRPr="00781112" w:rsidRDefault="002B7490" w:rsidP="00A018D4">
            <w:pPr>
              <w:jc w:val="center"/>
              <w:rPr>
                <w:rFonts w:cs="Arial"/>
                <w:color w:val="000000" w:themeColor="text1"/>
                <w:szCs w:val="16"/>
              </w:rPr>
            </w:pPr>
            <w:r w:rsidRPr="00781112">
              <w:rPr>
                <w:rFonts w:cs="Arial"/>
                <w:color w:val="000000" w:themeColor="text1"/>
                <w:szCs w:val="16"/>
              </w:rPr>
              <w:t>669</w:t>
            </w:r>
          </w:p>
        </w:tc>
        <w:tc>
          <w:tcPr>
            <w:tcW w:w="625" w:type="pct"/>
            <w:shd w:val="clear" w:color="auto" w:fill="auto"/>
            <w:vAlign w:val="center"/>
          </w:tcPr>
          <w:p w14:paraId="2D1BC64A" w14:textId="15C5A024" w:rsidR="00C66181" w:rsidRPr="00781112" w:rsidRDefault="002B7490" w:rsidP="00A018D4">
            <w:pPr>
              <w:jc w:val="center"/>
              <w:rPr>
                <w:rFonts w:cs="Arial"/>
                <w:color w:val="000000" w:themeColor="text1"/>
                <w:szCs w:val="16"/>
              </w:rPr>
            </w:pPr>
            <w:r w:rsidRPr="00781112">
              <w:rPr>
                <w:rFonts w:cs="Arial"/>
                <w:color w:val="000000" w:themeColor="text1"/>
                <w:szCs w:val="16"/>
              </w:rPr>
              <w:t>2,825</w:t>
            </w:r>
          </w:p>
        </w:tc>
        <w:tc>
          <w:tcPr>
            <w:tcW w:w="625" w:type="pct"/>
            <w:shd w:val="clear" w:color="auto" w:fill="auto"/>
            <w:vAlign w:val="center"/>
          </w:tcPr>
          <w:p w14:paraId="3243FB0B" w14:textId="028EEEBB" w:rsidR="00C66181" w:rsidRPr="00781112" w:rsidRDefault="002B7490" w:rsidP="00A018D4">
            <w:pPr>
              <w:jc w:val="center"/>
              <w:rPr>
                <w:rFonts w:cs="Arial"/>
                <w:color w:val="000000" w:themeColor="text1"/>
                <w:szCs w:val="16"/>
              </w:rPr>
            </w:pPr>
            <w:r w:rsidRPr="00781112">
              <w:rPr>
                <w:rFonts w:cs="Arial"/>
                <w:color w:val="000000" w:themeColor="text1"/>
                <w:szCs w:val="16"/>
              </w:rPr>
              <w:t>21.67%</w:t>
            </w:r>
          </w:p>
        </w:tc>
        <w:tc>
          <w:tcPr>
            <w:tcW w:w="625" w:type="pct"/>
            <w:shd w:val="clear" w:color="auto" w:fill="auto"/>
            <w:vAlign w:val="center"/>
          </w:tcPr>
          <w:p w14:paraId="7BCB140B" w14:textId="02D0AFDC" w:rsidR="00C66181" w:rsidRPr="00781112" w:rsidRDefault="002B7490" w:rsidP="00A018D4">
            <w:pPr>
              <w:jc w:val="center"/>
              <w:rPr>
                <w:rFonts w:cs="Arial"/>
                <w:color w:val="000000" w:themeColor="text1"/>
                <w:szCs w:val="16"/>
              </w:rPr>
            </w:pPr>
            <w:r w:rsidRPr="00781112">
              <w:rPr>
                <w:rFonts w:cs="Arial"/>
                <w:color w:val="000000" w:themeColor="text1"/>
                <w:szCs w:val="16"/>
              </w:rPr>
              <w:t>24.40%</w:t>
            </w:r>
          </w:p>
        </w:tc>
        <w:tc>
          <w:tcPr>
            <w:tcW w:w="625" w:type="pct"/>
            <w:shd w:val="clear" w:color="auto" w:fill="auto"/>
            <w:vAlign w:val="center"/>
          </w:tcPr>
          <w:p w14:paraId="0D6600A4" w14:textId="4E0FD8C8" w:rsidR="00C66181" w:rsidRPr="00781112" w:rsidRDefault="002B7490" w:rsidP="00A018D4">
            <w:pPr>
              <w:jc w:val="center"/>
              <w:rPr>
                <w:rFonts w:cs="Arial"/>
                <w:color w:val="000000" w:themeColor="text1"/>
                <w:szCs w:val="16"/>
              </w:rPr>
            </w:pPr>
            <w:r w:rsidRPr="00781112">
              <w:rPr>
                <w:rFonts w:cs="Arial"/>
                <w:color w:val="000000" w:themeColor="text1"/>
                <w:szCs w:val="16"/>
              </w:rPr>
              <w:t>23.68%</w:t>
            </w:r>
          </w:p>
        </w:tc>
        <w:tc>
          <w:tcPr>
            <w:tcW w:w="625" w:type="pct"/>
            <w:shd w:val="clear" w:color="auto" w:fill="auto"/>
            <w:vAlign w:val="center"/>
          </w:tcPr>
          <w:p w14:paraId="3C766484" w14:textId="7B272BC5" w:rsidR="00C66181" w:rsidRPr="00781112" w:rsidRDefault="002B7490" w:rsidP="00A018D4">
            <w:pPr>
              <w:jc w:val="center"/>
              <w:rPr>
                <w:rFonts w:cs="Arial"/>
                <w:color w:val="000000" w:themeColor="text1"/>
                <w:szCs w:val="16"/>
              </w:rPr>
            </w:pPr>
            <w:r w:rsidRPr="00781112">
              <w:rPr>
                <w:rFonts w:cs="Arial"/>
                <w:color w:val="000000" w:themeColor="text1"/>
                <w:szCs w:val="16"/>
              </w:rPr>
              <w:t>Did not meet target</w:t>
            </w:r>
          </w:p>
        </w:tc>
        <w:tc>
          <w:tcPr>
            <w:tcW w:w="625" w:type="pct"/>
            <w:shd w:val="clear" w:color="auto" w:fill="auto"/>
            <w:vAlign w:val="center"/>
          </w:tcPr>
          <w:p w14:paraId="575A444D" w14:textId="78F1C14C" w:rsidR="00C66181" w:rsidRPr="00781112" w:rsidRDefault="002B7490" w:rsidP="00A018D4">
            <w:pPr>
              <w:jc w:val="center"/>
              <w:rPr>
                <w:rFonts w:cs="Arial"/>
                <w:color w:val="000000" w:themeColor="text1"/>
                <w:szCs w:val="16"/>
              </w:rPr>
            </w:pPr>
            <w:r w:rsidRPr="00781112">
              <w:rPr>
                <w:rFonts w:cs="Arial"/>
                <w:color w:val="000000" w:themeColor="text1"/>
                <w:szCs w:val="16"/>
              </w:rPr>
              <w:t>No Slippage</w:t>
            </w:r>
          </w:p>
        </w:tc>
      </w:tr>
      <w:tr w:rsidR="005C29F8" w:rsidRPr="00781112" w14:paraId="490D8194" w14:textId="3CFB279F" w:rsidTr="0033429D">
        <w:trPr>
          <w:trHeight w:val="365"/>
        </w:trPr>
        <w:tc>
          <w:tcPr>
            <w:tcW w:w="625" w:type="pct"/>
            <w:shd w:val="clear" w:color="auto" w:fill="auto"/>
            <w:vAlign w:val="center"/>
          </w:tcPr>
          <w:p w14:paraId="64A6757D" w14:textId="0FC0A9B9" w:rsidR="00C66181" w:rsidRPr="00781112" w:rsidRDefault="00C66181" w:rsidP="00C66181">
            <w:pPr>
              <w:rPr>
                <w:rFonts w:cs="Arial"/>
                <w:color w:val="000000" w:themeColor="text1"/>
                <w:szCs w:val="16"/>
              </w:rPr>
            </w:pPr>
            <w:r w:rsidRPr="00781112">
              <w:rPr>
                <w:rFonts w:cs="Arial"/>
                <w:color w:val="000000" w:themeColor="text1"/>
                <w:szCs w:val="16"/>
              </w:rPr>
              <w:t>B. Enrolled in higher education or competitively employed within one year of leaving high school (1 +2)</w:t>
            </w:r>
          </w:p>
        </w:tc>
        <w:tc>
          <w:tcPr>
            <w:tcW w:w="625" w:type="pct"/>
            <w:shd w:val="clear" w:color="auto" w:fill="auto"/>
            <w:vAlign w:val="center"/>
          </w:tcPr>
          <w:p w14:paraId="60F6248F" w14:textId="7EC302DD" w:rsidR="00C66181" w:rsidRPr="00781112" w:rsidRDefault="002B7490" w:rsidP="00A018D4">
            <w:pPr>
              <w:jc w:val="center"/>
              <w:rPr>
                <w:rFonts w:cs="Arial"/>
                <w:color w:val="000000" w:themeColor="text1"/>
                <w:szCs w:val="16"/>
              </w:rPr>
            </w:pPr>
            <w:r w:rsidRPr="00781112">
              <w:rPr>
                <w:rFonts w:cs="Arial"/>
                <w:color w:val="000000" w:themeColor="text1"/>
                <w:szCs w:val="16"/>
              </w:rPr>
              <w:t>1,878</w:t>
            </w:r>
          </w:p>
        </w:tc>
        <w:tc>
          <w:tcPr>
            <w:tcW w:w="625" w:type="pct"/>
            <w:shd w:val="clear" w:color="auto" w:fill="auto"/>
            <w:vAlign w:val="center"/>
          </w:tcPr>
          <w:p w14:paraId="5DE56E38" w14:textId="525AF49A" w:rsidR="00C66181" w:rsidRPr="00781112" w:rsidRDefault="002B7490" w:rsidP="00A018D4">
            <w:pPr>
              <w:jc w:val="center"/>
              <w:rPr>
                <w:rFonts w:cs="Arial"/>
                <w:color w:val="000000" w:themeColor="text1"/>
                <w:szCs w:val="16"/>
              </w:rPr>
            </w:pPr>
            <w:r w:rsidRPr="00781112">
              <w:rPr>
                <w:rFonts w:cs="Arial"/>
                <w:color w:val="000000" w:themeColor="text1"/>
                <w:szCs w:val="16"/>
              </w:rPr>
              <w:t>2,825</w:t>
            </w:r>
          </w:p>
        </w:tc>
        <w:tc>
          <w:tcPr>
            <w:tcW w:w="625" w:type="pct"/>
            <w:shd w:val="clear" w:color="auto" w:fill="auto"/>
            <w:vAlign w:val="center"/>
          </w:tcPr>
          <w:p w14:paraId="7FF1FC54" w14:textId="2A5DA1E3" w:rsidR="00C66181" w:rsidRPr="00781112" w:rsidRDefault="002B7490" w:rsidP="00A018D4">
            <w:pPr>
              <w:jc w:val="center"/>
              <w:rPr>
                <w:rFonts w:cs="Arial"/>
                <w:color w:val="000000" w:themeColor="text1"/>
                <w:szCs w:val="16"/>
              </w:rPr>
            </w:pPr>
            <w:r w:rsidRPr="00781112">
              <w:rPr>
                <w:rFonts w:cs="Arial"/>
                <w:color w:val="000000" w:themeColor="text1"/>
                <w:szCs w:val="16"/>
              </w:rPr>
              <w:t>69.49%</w:t>
            </w:r>
          </w:p>
        </w:tc>
        <w:tc>
          <w:tcPr>
            <w:tcW w:w="625" w:type="pct"/>
            <w:shd w:val="clear" w:color="auto" w:fill="auto"/>
            <w:vAlign w:val="center"/>
          </w:tcPr>
          <w:p w14:paraId="296C6AD3" w14:textId="560D60D3" w:rsidR="00C66181" w:rsidRPr="00781112" w:rsidRDefault="002B7490" w:rsidP="00A018D4">
            <w:pPr>
              <w:jc w:val="center"/>
              <w:rPr>
                <w:rFonts w:cs="Arial"/>
                <w:color w:val="000000" w:themeColor="text1"/>
                <w:szCs w:val="16"/>
              </w:rPr>
            </w:pPr>
            <w:r w:rsidRPr="00781112">
              <w:rPr>
                <w:rFonts w:cs="Arial"/>
                <w:color w:val="000000" w:themeColor="text1"/>
                <w:szCs w:val="16"/>
              </w:rPr>
              <w:t>70.46%</w:t>
            </w:r>
          </w:p>
        </w:tc>
        <w:tc>
          <w:tcPr>
            <w:tcW w:w="625" w:type="pct"/>
            <w:shd w:val="clear" w:color="auto" w:fill="auto"/>
            <w:vAlign w:val="center"/>
          </w:tcPr>
          <w:p w14:paraId="54BDC44C" w14:textId="0AE0B920" w:rsidR="00C66181" w:rsidRPr="00781112" w:rsidRDefault="002B7490" w:rsidP="00A018D4">
            <w:pPr>
              <w:jc w:val="center"/>
              <w:rPr>
                <w:rFonts w:cs="Arial"/>
                <w:color w:val="000000" w:themeColor="text1"/>
                <w:szCs w:val="16"/>
              </w:rPr>
            </w:pPr>
            <w:r w:rsidRPr="00781112">
              <w:rPr>
                <w:rFonts w:cs="Arial"/>
                <w:color w:val="000000" w:themeColor="text1"/>
                <w:szCs w:val="16"/>
              </w:rPr>
              <w:t>66.48%</w:t>
            </w:r>
          </w:p>
        </w:tc>
        <w:tc>
          <w:tcPr>
            <w:tcW w:w="625" w:type="pct"/>
            <w:shd w:val="clear" w:color="auto" w:fill="auto"/>
            <w:vAlign w:val="center"/>
          </w:tcPr>
          <w:p w14:paraId="48B49570" w14:textId="038E3826" w:rsidR="00C66181" w:rsidRPr="00781112" w:rsidRDefault="002B7490" w:rsidP="00A018D4">
            <w:pPr>
              <w:jc w:val="center"/>
              <w:rPr>
                <w:rFonts w:cs="Arial"/>
                <w:color w:val="000000" w:themeColor="text1"/>
                <w:szCs w:val="16"/>
              </w:rPr>
            </w:pPr>
            <w:r w:rsidRPr="00781112">
              <w:rPr>
                <w:rFonts w:cs="Arial"/>
                <w:color w:val="000000" w:themeColor="text1"/>
                <w:szCs w:val="16"/>
              </w:rPr>
              <w:t>Did not meet target</w:t>
            </w:r>
          </w:p>
        </w:tc>
        <w:tc>
          <w:tcPr>
            <w:tcW w:w="625" w:type="pct"/>
            <w:shd w:val="clear" w:color="auto" w:fill="auto"/>
            <w:vAlign w:val="center"/>
          </w:tcPr>
          <w:p w14:paraId="0A2BDCF3" w14:textId="3B0044C6" w:rsidR="00C66181" w:rsidRPr="00781112" w:rsidRDefault="002B7490" w:rsidP="00A018D4">
            <w:pPr>
              <w:jc w:val="center"/>
              <w:rPr>
                <w:rFonts w:cs="Arial"/>
                <w:color w:val="000000" w:themeColor="text1"/>
                <w:szCs w:val="16"/>
              </w:rPr>
            </w:pPr>
            <w:r w:rsidRPr="00781112">
              <w:rPr>
                <w:rFonts w:cs="Arial"/>
                <w:color w:val="000000" w:themeColor="text1"/>
                <w:szCs w:val="16"/>
              </w:rPr>
              <w:t>Slippage</w:t>
            </w:r>
          </w:p>
        </w:tc>
      </w:tr>
      <w:tr w:rsidR="005C29F8" w:rsidRPr="00781112" w14:paraId="493DA09A" w14:textId="4FC8161E" w:rsidTr="0033429D">
        <w:trPr>
          <w:trHeight w:val="365"/>
        </w:trPr>
        <w:tc>
          <w:tcPr>
            <w:tcW w:w="625" w:type="pct"/>
            <w:shd w:val="clear" w:color="auto" w:fill="auto"/>
            <w:vAlign w:val="center"/>
          </w:tcPr>
          <w:p w14:paraId="3D517963" w14:textId="6D3BD99F" w:rsidR="00C66181" w:rsidRPr="00781112" w:rsidRDefault="00C66181" w:rsidP="00C66181">
            <w:pPr>
              <w:rPr>
                <w:rFonts w:cs="Arial"/>
                <w:color w:val="000000" w:themeColor="text1"/>
                <w:szCs w:val="16"/>
              </w:rPr>
            </w:pPr>
            <w:r w:rsidRPr="00781112">
              <w:rPr>
                <w:rFonts w:cs="Arial"/>
                <w:color w:val="000000" w:themeColor="text1"/>
                <w:szCs w:val="16"/>
              </w:rPr>
              <w:t>C. Enrolled in higher education, or in some other postsecondary education or training program; or competitively employed or in some other employment (1+2+3+4)</w:t>
            </w:r>
          </w:p>
        </w:tc>
        <w:tc>
          <w:tcPr>
            <w:tcW w:w="625" w:type="pct"/>
            <w:shd w:val="clear" w:color="auto" w:fill="auto"/>
            <w:vAlign w:val="center"/>
          </w:tcPr>
          <w:p w14:paraId="79AA91FE" w14:textId="0803E2EE" w:rsidR="00C66181" w:rsidRPr="00781112" w:rsidRDefault="002B7490" w:rsidP="00A018D4">
            <w:pPr>
              <w:jc w:val="center"/>
              <w:rPr>
                <w:rFonts w:cs="Arial"/>
                <w:color w:val="000000" w:themeColor="text1"/>
                <w:szCs w:val="16"/>
              </w:rPr>
            </w:pPr>
            <w:r w:rsidRPr="00781112">
              <w:rPr>
                <w:rFonts w:cs="Arial"/>
                <w:color w:val="000000" w:themeColor="text1"/>
                <w:szCs w:val="16"/>
              </w:rPr>
              <w:t>2,148</w:t>
            </w:r>
          </w:p>
        </w:tc>
        <w:tc>
          <w:tcPr>
            <w:tcW w:w="625" w:type="pct"/>
            <w:shd w:val="clear" w:color="auto" w:fill="auto"/>
            <w:vAlign w:val="center"/>
          </w:tcPr>
          <w:p w14:paraId="1FAFC4F9" w14:textId="70DE7F33" w:rsidR="00C66181" w:rsidRPr="00781112" w:rsidRDefault="002B7490" w:rsidP="00A018D4">
            <w:pPr>
              <w:jc w:val="center"/>
              <w:rPr>
                <w:rFonts w:cs="Arial"/>
                <w:color w:val="000000" w:themeColor="text1"/>
                <w:szCs w:val="16"/>
              </w:rPr>
            </w:pPr>
            <w:r w:rsidRPr="00781112">
              <w:rPr>
                <w:rFonts w:cs="Arial"/>
                <w:color w:val="000000" w:themeColor="text1"/>
                <w:szCs w:val="16"/>
              </w:rPr>
              <w:t>2,825</w:t>
            </w:r>
          </w:p>
        </w:tc>
        <w:tc>
          <w:tcPr>
            <w:tcW w:w="625" w:type="pct"/>
            <w:shd w:val="clear" w:color="auto" w:fill="auto"/>
            <w:vAlign w:val="center"/>
          </w:tcPr>
          <w:p w14:paraId="5FB73F1B" w14:textId="26275AAA" w:rsidR="00C66181" w:rsidRPr="00781112" w:rsidRDefault="002B7490" w:rsidP="00A018D4">
            <w:pPr>
              <w:jc w:val="center"/>
              <w:rPr>
                <w:rFonts w:cs="Arial"/>
                <w:color w:val="000000" w:themeColor="text1"/>
                <w:szCs w:val="16"/>
              </w:rPr>
            </w:pPr>
            <w:r w:rsidRPr="00781112">
              <w:rPr>
                <w:rFonts w:cs="Arial"/>
                <w:color w:val="000000" w:themeColor="text1"/>
                <w:szCs w:val="16"/>
              </w:rPr>
              <w:t>81.06%</w:t>
            </w:r>
          </w:p>
        </w:tc>
        <w:tc>
          <w:tcPr>
            <w:tcW w:w="625" w:type="pct"/>
            <w:shd w:val="clear" w:color="auto" w:fill="auto"/>
            <w:vAlign w:val="center"/>
          </w:tcPr>
          <w:p w14:paraId="3A75A593" w14:textId="74B21849" w:rsidR="00C66181" w:rsidRPr="00781112" w:rsidRDefault="002B7490" w:rsidP="00A018D4">
            <w:pPr>
              <w:jc w:val="center"/>
              <w:rPr>
                <w:rFonts w:cs="Arial"/>
                <w:color w:val="000000" w:themeColor="text1"/>
                <w:szCs w:val="16"/>
              </w:rPr>
            </w:pPr>
            <w:r w:rsidRPr="00781112">
              <w:rPr>
                <w:rFonts w:cs="Arial"/>
                <w:color w:val="000000" w:themeColor="text1"/>
                <w:szCs w:val="16"/>
              </w:rPr>
              <w:t>81.02%</w:t>
            </w:r>
          </w:p>
        </w:tc>
        <w:tc>
          <w:tcPr>
            <w:tcW w:w="625" w:type="pct"/>
            <w:shd w:val="clear" w:color="auto" w:fill="auto"/>
            <w:vAlign w:val="center"/>
          </w:tcPr>
          <w:p w14:paraId="6D78DA3F" w14:textId="61DB3CB1" w:rsidR="00C66181" w:rsidRPr="00781112" w:rsidRDefault="002B7490" w:rsidP="00A018D4">
            <w:pPr>
              <w:jc w:val="center"/>
              <w:rPr>
                <w:rFonts w:cs="Arial"/>
                <w:color w:val="000000" w:themeColor="text1"/>
                <w:szCs w:val="16"/>
              </w:rPr>
            </w:pPr>
            <w:r w:rsidRPr="00781112">
              <w:rPr>
                <w:rFonts w:cs="Arial"/>
                <w:color w:val="000000" w:themeColor="text1"/>
                <w:szCs w:val="16"/>
              </w:rPr>
              <w:t>76.04%</w:t>
            </w:r>
          </w:p>
        </w:tc>
        <w:tc>
          <w:tcPr>
            <w:tcW w:w="625" w:type="pct"/>
            <w:shd w:val="clear" w:color="auto" w:fill="auto"/>
            <w:vAlign w:val="center"/>
          </w:tcPr>
          <w:p w14:paraId="6E5BDC78" w14:textId="48EDE622" w:rsidR="00C66181" w:rsidRPr="00781112" w:rsidRDefault="002B7490" w:rsidP="00A018D4">
            <w:pPr>
              <w:jc w:val="center"/>
              <w:rPr>
                <w:rFonts w:cs="Arial"/>
                <w:color w:val="000000" w:themeColor="text1"/>
                <w:szCs w:val="16"/>
              </w:rPr>
            </w:pPr>
            <w:r w:rsidRPr="00781112">
              <w:rPr>
                <w:rFonts w:cs="Arial"/>
                <w:color w:val="000000" w:themeColor="text1"/>
                <w:szCs w:val="16"/>
              </w:rPr>
              <w:t>Did not meet target</w:t>
            </w:r>
          </w:p>
        </w:tc>
        <w:tc>
          <w:tcPr>
            <w:tcW w:w="625" w:type="pct"/>
            <w:shd w:val="clear" w:color="auto" w:fill="auto"/>
            <w:vAlign w:val="center"/>
          </w:tcPr>
          <w:p w14:paraId="4A054D72" w14:textId="19B24E43" w:rsidR="00C66181" w:rsidRPr="00781112" w:rsidRDefault="002B7490" w:rsidP="00A018D4">
            <w:pPr>
              <w:jc w:val="center"/>
              <w:rPr>
                <w:rFonts w:cs="Arial"/>
                <w:color w:val="000000" w:themeColor="text1"/>
                <w:szCs w:val="16"/>
              </w:rPr>
            </w:pPr>
            <w:r w:rsidRPr="00781112">
              <w:rPr>
                <w:rFonts w:cs="Arial"/>
                <w:color w:val="000000" w:themeColor="text1"/>
                <w:szCs w:val="16"/>
              </w:rPr>
              <w:t>Slippage</w:t>
            </w:r>
          </w:p>
        </w:tc>
      </w:tr>
    </w:tbl>
    <w:p w14:paraId="4A5381A2" w14:textId="3787227C" w:rsidR="001773E7" w:rsidRPr="00781112" w:rsidRDefault="001773E7" w:rsidP="00C66181">
      <w:pPr>
        <w:rPr>
          <w:rFonts w:cs="Arial"/>
          <w:i/>
          <w:color w:val="000000" w:themeColor="text1"/>
          <w:szCs w:val="16"/>
        </w:rPr>
      </w:pPr>
    </w:p>
    <w:tbl>
      <w:tblPr>
        <w:tblStyle w:val="TableGrid"/>
        <w:tblW w:w="10795" w:type="dxa"/>
        <w:shd w:val="clear" w:color="auto" w:fill="FBD4B4" w:themeFill="accent6" w:themeFillTint="66"/>
        <w:tblLook w:val="04A0" w:firstRow="1" w:lastRow="0" w:firstColumn="1" w:lastColumn="0" w:noHBand="0" w:noVBand="1"/>
        <w:tblCaption w:val="B14SLIPEXPLN"/>
      </w:tblPr>
      <w:tblGrid>
        <w:gridCol w:w="715"/>
        <w:gridCol w:w="10080"/>
      </w:tblGrid>
      <w:tr w:rsidR="005C29F8" w:rsidRPr="00781112" w14:paraId="049EEA4C" w14:textId="77777777" w:rsidTr="003138F9">
        <w:trPr>
          <w:tblHeader/>
        </w:trPr>
        <w:tc>
          <w:tcPr>
            <w:tcW w:w="715" w:type="dxa"/>
            <w:vAlign w:val="bottom"/>
          </w:tcPr>
          <w:p w14:paraId="2E1368A0" w14:textId="77777777" w:rsidR="001773E7" w:rsidRPr="00781112" w:rsidRDefault="001773E7" w:rsidP="004369B2">
            <w:pPr>
              <w:jc w:val="center"/>
              <w:rPr>
                <w:color w:val="000000" w:themeColor="text1"/>
              </w:rPr>
            </w:pPr>
            <w:r w:rsidRPr="00781112">
              <w:rPr>
                <w:b/>
                <w:color w:val="000000" w:themeColor="text1"/>
              </w:rPr>
              <w:t>Part</w:t>
            </w:r>
          </w:p>
        </w:tc>
        <w:tc>
          <w:tcPr>
            <w:tcW w:w="10080" w:type="dxa"/>
            <w:shd w:val="clear" w:color="auto" w:fill="auto"/>
          </w:tcPr>
          <w:p w14:paraId="39A18603" w14:textId="77777777" w:rsidR="001773E7" w:rsidRPr="00781112" w:rsidRDefault="001773E7" w:rsidP="004369B2">
            <w:pPr>
              <w:jc w:val="center"/>
              <w:rPr>
                <w:color w:val="000000" w:themeColor="text1"/>
              </w:rPr>
            </w:pPr>
            <w:r w:rsidRPr="00781112">
              <w:rPr>
                <w:b/>
                <w:color w:val="000000" w:themeColor="text1"/>
              </w:rPr>
              <w:t>Reasons for slippage, if applicable</w:t>
            </w:r>
          </w:p>
        </w:tc>
      </w:tr>
      <w:tr w:rsidR="005C29F8" w:rsidRPr="00781112" w14:paraId="14E24734" w14:textId="77777777" w:rsidTr="009E40E1">
        <w:tc>
          <w:tcPr>
            <w:tcW w:w="715" w:type="dxa"/>
            <w:vAlign w:val="center"/>
          </w:tcPr>
          <w:p w14:paraId="425A2916" w14:textId="77777777" w:rsidR="001773E7" w:rsidRPr="00781112" w:rsidRDefault="001773E7" w:rsidP="004369B2">
            <w:pPr>
              <w:jc w:val="center"/>
              <w:rPr>
                <w:b/>
                <w:color w:val="000000" w:themeColor="text1"/>
              </w:rPr>
            </w:pPr>
            <w:r w:rsidRPr="00781112">
              <w:rPr>
                <w:b/>
                <w:color w:val="000000" w:themeColor="text1"/>
              </w:rPr>
              <w:t>B</w:t>
            </w:r>
          </w:p>
        </w:tc>
        <w:tc>
          <w:tcPr>
            <w:tcW w:w="10080" w:type="dxa"/>
            <w:shd w:val="clear" w:color="auto" w:fill="auto"/>
          </w:tcPr>
          <w:p w14:paraId="17E7061D" w14:textId="3241D10F" w:rsidR="001773E7" w:rsidRPr="00781112" w:rsidRDefault="001773E7" w:rsidP="009E40E1">
            <w:pPr>
              <w:rPr>
                <w:rFonts w:cs="Arial"/>
                <w:color w:val="000000" w:themeColor="text1"/>
                <w:szCs w:val="16"/>
              </w:rPr>
            </w:pPr>
            <w:r w:rsidRPr="00781112">
              <w:rPr>
                <w:rFonts w:cs="Arial"/>
                <w:color w:val="000000" w:themeColor="text1"/>
                <w:szCs w:val="16"/>
              </w:rPr>
              <w:t>In examining the reasons for slippage, we noted that the percentage of students enrolled in higher education (14 A) rose by 2.01% compared to FFY 2021, therefore we looked at the 14 B slippage being attributed to a lower rate of competitive employment. In FFY 2021, 47.82 % of students were competitively employed and in FFY 2021, that percentage dropped to 42.80%. For many people, including people with disabilities, having a job is key to self-sufficiency and social connections. Yet over half of Coloradans with disabilities (52.9 percent) stated that their physical, mental, or emotional condition made it difficult for them to work at a job (Centers for Independence, 2023). There is a strong partnership between CDE and the Division of Vocational Rehabilitation (DVR) to advance workforce opportunities for Coloradans with disabilities. Of the students interviewed, 522 students out of 2825 reported working with DVR. However, many districts report a lack of DVR support and employment opportunities within their community. Some employment barriers are more complex and intractable. For most, programs such as Supplemental Security Income (SSI), which provide a financial safety net and essential health care and support services can discourage employment due to recipient’s fear of losing their eligibility if they earn an income. Other employment barriers include incorrect assumptions and negative attitudes about people’s ability to work, difficulty with rigid work schedules, and discriminatory treatment. Some educators have reported a lack of student interest, motivation, and family support as reasons for the slippage seen within their district.</w:t>
            </w:r>
          </w:p>
        </w:tc>
      </w:tr>
      <w:tr w:rsidR="005C29F8" w:rsidRPr="00781112" w14:paraId="34DAD959" w14:textId="77777777" w:rsidTr="009E40E1">
        <w:tc>
          <w:tcPr>
            <w:tcW w:w="715" w:type="dxa"/>
            <w:vAlign w:val="center"/>
          </w:tcPr>
          <w:p w14:paraId="47D24000" w14:textId="77777777" w:rsidR="001773E7" w:rsidRPr="00781112" w:rsidRDefault="001773E7" w:rsidP="004369B2">
            <w:pPr>
              <w:jc w:val="center"/>
              <w:rPr>
                <w:b/>
                <w:color w:val="000000" w:themeColor="text1"/>
              </w:rPr>
            </w:pPr>
            <w:r w:rsidRPr="00781112">
              <w:rPr>
                <w:b/>
                <w:color w:val="000000" w:themeColor="text1"/>
              </w:rPr>
              <w:t>C</w:t>
            </w:r>
          </w:p>
        </w:tc>
        <w:tc>
          <w:tcPr>
            <w:tcW w:w="10080" w:type="dxa"/>
            <w:shd w:val="clear" w:color="auto" w:fill="auto"/>
          </w:tcPr>
          <w:p w14:paraId="67EE1CFC" w14:textId="3BF189F6" w:rsidR="001773E7" w:rsidRPr="00781112" w:rsidRDefault="001773E7" w:rsidP="009E40E1">
            <w:pPr>
              <w:rPr>
                <w:rFonts w:cs="Arial"/>
                <w:color w:val="000000" w:themeColor="text1"/>
                <w:szCs w:val="16"/>
              </w:rPr>
            </w:pPr>
            <w:r w:rsidRPr="00781112">
              <w:rPr>
                <w:rFonts w:cs="Arial"/>
                <w:color w:val="000000" w:themeColor="text1"/>
                <w:szCs w:val="16"/>
              </w:rPr>
              <w:t xml:space="preserve">In the state of Colorado, 667 (486 the previous year) students with disabilities were not engaged in their community. In general, there are higher rates of non-engagement across all disability categories, while students with specific learning and intellectual disabilities were non-engaged at higher rates. For some students, chronic absenteeism may be a factor. </w:t>
            </w:r>
            <w:r w:rsidRPr="00781112">
              <w:rPr>
                <w:rFonts w:cs="Arial"/>
                <w:color w:val="000000" w:themeColor="text1"/>
                <w:szCs w:val="16"/>
              </w:rPr>
              <w:br/>
            </w:r>
            <w:r w:rsidRPr="00781112">
              <w:rPr>
                <w:rFonts w:cs="Arial"/>
                <w:color w:val="000000" w:themeColor="text1"/>
                <w:szCs w:val="16"/>
              </w:rPr>
              <w:br/>
              <w:t>Chronic absenteeism is a widespread problem across the nation, and Colorado is no different. Students who are chronically absent miss at least 15 days of school in one year. They are seriously at risk of falling behind in school.  In Colorado, as many as 269,582 students are chronically absent across grades K-12. Some larger districts (&gt;20,000) experience rates as high as 43% and smaller, rural districts (&lt;6,000) experience rates as high as 50% (Colorado Department of Education, 2023). Students with disabilities are 1.5 times more likely to be chronically absent and these rates are highest in high school, according to data in the 2015-16 Civil Rights Data Collection (Chronic Absenteeism in the Nation’s Schools, U.S. Dept. of Education, 2019). Factors that influence chronic absenteeism include family issues, bullying, health challenges, economic factors, mental health challenges, suspensions and expulsions, and poor academic performance. The implications are that even one incidence of chronic absenteeism in a single year between 8th and 12th grade is associated with a seven-fold increase in the likelihood of dropping out. Frequent absences from school shapes matriculation to higher education, employment, and independent living outcomes.</w:t>
            </w:r>
            <w:r w:rsidRPr="00781112">
              <w:rPr>
                <w:rFonts w:cs="Arial"/>
                <w:color w:val="000000" w:themeColor="text1"/>
                <w:szCs w:val="16"/>
              </w:rPr>
              <w:br/>
            </w:r>
            <w:r w:rsidRPr="00781112">
              <w:rPr>
                <w:rFonts w:cs="Arial"/>
                <w:color w:val="000000" w:themeColor="text1"/>
                <w:szCs w:val="16"/>
              </w:rPr>
              <w:br/>
              <w:t>Teacher shortages and turnover – Teacher and staff shortages have been an ongoing problem since the COVID-19 pandemic. There are secondary high school special educators who are new to teaching, new to transition planning, have obtained licensure through alternative licensure programs, and have temporary educator endorsements. These factors may have contributed to slippage in these areas.</w:t>
            </w:r>
          </w:p>
        </w:tc>
      </w:tr>
    </w:tbl>
    <w:p w14:paraId="51D07FD2" w14:textId="77777777" w:rsidR="005D6713" w:rsidRPr="00781112" w:rsidRDefault="005D6713" w:rsidP="005D6713">
      <w:pPr>
        <w:rPr>
          <w:rFonts w:cs="Arial"/>
          <w:b/>
          <w:color w:val="000000" w:themeColor="text1"/>
          <w:szCs w:val="16"/>
        </w:rPr>
      </w:pPr>
    </w:p>
    <w:p w14:paraId="2B9D1101" w14:textId="12285E81" w:rsidR="00C95094" w:rsidRPr="00781112" w:rsidRDefault="0077712B" w:rsidP="00C66181">
      <w:pPr>
        <w:rPr>
          <w:rFonts w:cs="Arial"/>
          <w:b/>
          <w:color w:val="000000" w:themeColor="text1"/>
          <w:szCs w:val="16"/>
        </w:rPr>
      </w:pPr>
      <w:r w:rsidRPr="00781112">
        <w:rPr>
          <w:rFonts w:cs="Arial"/>
          <w:b/>
          <w:color w:val="000000" w:themeColor="text1"/>
          <w:szCs w:val="16"/>
        </w:rPr>
        <w:t xml:space="preserve">Please select the reporting option your State is using: </w:t>
      </w:r>
    </w:p>
    <w:p w14:paraId="5C46FD26" w14:textId="5673980D" w:rsidR="000070D5" w:rsidRPr="00781112" w:rsidRDefault="002B7490" w:rsidP="00C66181">
      <w:pPr>
        <w:rPr>
          <w:rFonts w:cs="Arial"/>
          <w:color w:val="000000" w:themeColor="text1"/>
          <w:szCs w:val="16"/>
        </w:rPr>
      </w:pPr>
      <w:r w:rsidRPr="00781112">
        <w:rPr>
          <w:rFonts w:cs="Arial"/>
          <w:color w:val="000000" w:themeColor="text1"/>
          <w:szCs w:val="16"/>
        </w:rPr>
        <w:lastRenderedPageBreak/>
        <w:t>Option 1: Use the same definition as used to report in the FFY 2015 SPP/APR, i.e., competitive employment means that youth have worked for pay at or above the minimum wage in a setting with others who are nondisabled for a period of 20 hours a week for at least 90 days at any time in the year since leaving high school. This includes military employment.</w:t>
      </w:r>
    </w:p>
    <w:p w14:paraId="6A816945" w14:textId="687D218F" w:rsidR="00090132" w:rsidRDefault="00090132" w:rsidP="00C66181">
      <w:pPr>
        <w:rPr>
          <w:rFonts w:cs="Arial"/>
          <w:color w:val="000000" w:themeColor="text1"/>
          <w:szCs w:val="16"/>
        </w:rPr>
      </w:pPr>
    </w:p>
    <w:p w14:paraId="18E71DFF" w14:textId="77777777" w:rsidR="00090132" w:rsidRPr="00E578E2" w:rsidRDefault="00090132" w:rsidP="00090132">
      <w:pPr>
        <w:rPr>
          <w:rFonts w:cs="Arial"/>
          <w:b/>
          <w:bCs/>
          <w:szCs w:val="16"/>
        </w:rPr>
      </w:pPr>
      <w:r w:rsidRPr="00E578E2">
        <w:rPr>
          <w:rFonts w:cs="Arial"/>
          <w:b/>
          <w:bCs/>
          <w:szCs w:val="16"/>
        </w:rPr>
        <w:t>Response Rate</w:t>
      </w:r>
    </w:p>
    <w:tbl>
      <w:tblPr>
        <w:tblStyle w:val="TableGrid"/>
        <w:tblW w:w="0" w:type="auto"/>
        <w:tblLook w:val="04A0" w:firstRow="1" w:lastRow="0" w:firstColumn="1" w:lastColumn="0" w:noHBand="0" w:noVBand="1"/>
        <w:tblCaption w:val="B14CFFYRSPRTE"/>
      </w:tblPr>
      <w:tblGrid>
        <w:gridCol w:w="1885"/>
        <w:gridCol w:w="1453"/>
        <w:gridCol w:w="1284"/>
      </w:tblGrid>
      <w:tr w:rsidR="00090132" w:rsidRPr="00353E62" w14:paraId="5280416F" w14:textId="77777777" w:rsidTr="00DF5DC9">
        <w:tc>
          <w:tcPr>
            <w:tcW w:w="1885" w:type="dxa"/>
            <w:shd w:val="clear" w:color="auto" w:fill="auto"/>
          </w:tcPr>
          <w:p w14:paraId="7576786E" w14:textId="77777777" w:rsidR="00090132" w:rsidRPr="008D51F2" w:rsidRDefault="00090132" w:rsidP="00DF5DC9">
            <w:pPr>
              <w:jc w:val="center"/>
              <w:rPr>
                <w:rFonts w:cs="Arial"/>
                <w:b/>
                <w:szCs w:val="16"/>
              </w:rPr>
            </w:pPr>
            <w:r w:rsidRPr="008D51F2">
              <w:rPr>
                <w:rFonts w:cs="Arial"/>
                <w:b/>
                <w:szCs w:val="16"/>
              </w:rPr>
              <w:t>FFY</w:t>
            </w:r>
          </w:p>
        </w:tc>
        <w:tc>
          <w:tcPr>
            <w:tcW w:w="1453" w:type="dxa"/>
            <w:shd w:val="clear" w:color="auto" w:fill="auto"/>
            <w:vAlign w:val="center"/>
          </w:tcPr>
          <w:p w14:paraId="5CF70806" w14:textId="77777777" w:rsidR="00090132" w:rsidRPr="008D51F2" w:rsidRDefault="00090132" w:rsidP="00DF5DC9">
            <w:pPr>
              <w:jc w:val="center"/>
              <w:rPr>
                <w:rFonts w:cs="Arial"/>
                <w:b/>
                <w:szCs w:val="16"/>
              </w:rPr>
            </w:pPr>
            <w:r w:rsidRPr="008D51F2">
              <w:rPr>
                <w:rFonts w:cs="Arial"/>
                <w:b/>
                <w:color w:val="000000" w:themeColor="text1"/>
                <w:szCs w:val="16"/>
              </w:rPr>
              <w:t>2021</w:t>
            </w:r>
          </w:p>
        </w:tc>
        <w:tc>
          <w:tcPr>
            <w:tcW w:w="1284" w:type="dxa"/>
            <w:shd w:val="clear" w:color="auto" w:fill="auto"/>
          </w:tcPr>
          <w:p w14:paraId="0BFBB5F5" w14:textId="77777777" w:rsidR="00090132" w:rsidRPr="008D51F2" w:rsidRDefault="00090132" w:rsidP="00DF5DC9">
            <w:pPr>
              <w:jc w:val="center"/>
              <w:rPr>
                <w:rFonts w:cs="Arial"/>
                <w:b/>
                <w:szCs w:val="16"/>
              </w:rPr>
            </w:pPr>
            <w:r w:rsidRPr="008D51F2">
              <w:rPr>
                <w:rFonts w:cs="Arial"/>
                <w:b/>
                <w:color w:val="000000" w:themeColor="text1"/>
                <w:szCs w:val="16"/>
              </w:rPr>
              <w:t>2022</w:t>
            </w:r>
          </w:p>
        </w:tc>
      </w:tr>
      <w:tr w:rsidR="00090132" w14:paraId="576CCA3B" w14:textId="77777777" w:rsidTr="00DF5DC9">
        <w:tc>
          <w:tcPr>
            <w:tcW w:w="1885" w:type="dxa"/>
            <w:shd w:val="clear" w:color="auto" w:fill="auto"/>
          </w:tcPr>
          <w:p w14:paraId="1D5B1977" w14:textId="77777777" w:rsidR="00090132" w:rsidRPr="008D51F2" w:rsidRDefault="00090132" w:rsidP="00DF5DC9">
            <w:pPr>
              <w:rPr>
                <w:rFonts w:cs="Arial"/>
                <w:szCs w:val="16"/>
              </w:rPr>
            </w:pPr>
            <w:r w:rsidRPr="008D51F2">
              <w:rPr>
                <w:rFonts w:cs="Arial"/>
                <w:szCs w:val="16"/>
              </w:rPr>
              <w:t xml:space="preserve">Response Rate </w:t>
            </w:r>
          </w:p>
        </w:tc>
        <w:tc>
          <w:tcPr>
            <w:tcW w:w="1453" w:type="dxa"/>
            <w:shd w:val="clear" w:color="auto" w:fill="auto"/>
            <w:vAlign w:val="center"/>
          </w:tcPr>
          <w:p w14:paraId="4AECB169" w14:textId="3ECBE4F7" w:rsidR="00090132" w:rsidRPr="008D51F2" w:rsidRDefault="00090132" w:rsidP="00DF5DC9">
            <w:pPr>
              <w:jc w:val="center"/>
              <w:rPr>
                <w:rFonts w:cs="Arial"/>
                <w:szCs w:val="16"/>
              </w:rPr>
            </w:pPr>
            <w:r w:rsidRPr="008D51F2">
              <w:rPr>
                <w:color w:val="000000" w:themeColor="text1"/>
              </w:rPr>
              <w:t>62.91%</w:t>
            </w:r>
          </w:p>
        </w:tc>
        <w:tc>
          <w:tcPr>
            <w:tcW w:w="1284" w:type="dxa"/>
            <w:shd w:val="clear" w:color="auto" w:fill="auto"/>
            <w:vAlign w:val="center"/>
          </w:tcPr>
          <w:p w14:paraId="755EF869" w14:textId="2F1BA7D5" w:rsidR="00090132" w:rsidRPr="008D51F2" w:rsidRDefault="00090132" w:rsidP="00DF5DC9">
            <w:pPr>
              <w:jc w:val="center"/>
              <w:rPr>
                <w:rFonts w:cs="Arial"/>
                <w:szCs w:val="16"/>
              </w:rPr>
            </w:pPr>
            <w:r w:rsidRPr="008D51F2">
              <w:rPr>
                <w:rFonts w:cs="Arial"/>
                <w:color w:val="000000" w:themeColor="text1"/>
                <w:szCs w:val="16"/>
              </w:rPr>
              <w:t>70.54%</w:t>
            </w:r>
          </w:p>
        </w:tc>
      </w:tr>
    </w:tbl>
    <w:p w14:paraId="03971D78" w14:textId="77777777" w:rsidR="00090132" w:rsidRDefault="00090132" w:rsidP="00090132">
      <w:pPr>
        <w:pStyle w:val="Header"/>
        <w:tabs>
          <w:tab w:val="clear" w:pos="4320"/>
          <w:tab w:val="clear" w:pos="8640"/>
        </w:tabs>
        <w:spacing w:before="0"/>
        <w:rPr>
          <w:rFonts w:ascii="Arial" w:hAnsi="Arial" w:cs="Arial"/>
          <w:bCs/>
          <w:sz w:val="16"/>
          <w:szCs w:val="16"/>
          <w:highlight w:val="yellow"/>
        </w:rPr>
      </w:pPr>
    </w:p>
    <w:p w14:paraId="5820FDED" w14:textId="77777777" w:rsidR="00156FDD" w:rsidRPr="005C202C" w:rsidRDefault="00156FDD" w:rsidP="00156FDD">
      <w:pPr>
        <w:rPr>
          <w:b/>
          <w:bCs/>
        </w:rPr>
      </w:pPr>
      <w:r w:rsidRPr="005C202C">
        <w:rPr>
          <w:b/>
          <w:bCs/>
        </w:rPr>
        <w:t>Describe the metric used to determine representativeness (e.g., +/- 3% discrepancy in the proportion of responders compared to target group).</w:t>
      </w:r>
    </w:p>
    <w:p w14:paraId="04BA4870" w14:textId="77777777" w:rsidR="00156FDD" w:rsidRDefault="00156FDD" w:rsidP="00156FDD">
      <w:pPr>
        <w:pStyle w:val="Subhed"/>
        <w:rPr>
          <w:b w:val="0"/>
        </w:rPr>
      </w:pPr>
      <w:r w:rsidRPr="008D51F2">
        <w:rPr>
          <w:b w:val="0"/>
        </w:rPr>
        <w:t>+/- 3% discrepancy in the proportion of responders compared to target group</w:t>
      </w:r>
    </w:p>
    <w:p w14:paraId="06AC8AE1" w14:textId="77777777" w:rsidR="00156FDD" w:rsidRDefault="00156FDD" w:rsidP="00090132">
      <w:pPr>
        <w:rPr>
          <w:b/>
          <w:bCs/>
        </w:rPr>
      </w:pPr>
    </w:p>
    <w:p w14:paraId="16C9E9FA" w14:textId="77777777" w:rsidR="00156FDD" w:rsidRPr="00F03088" w:rsidRDefault="00156FDD" w:rsidP="00156FDD">
      <w:pPr>
        <w:spacing w:before="0"/>
        <w:rPr>
          <w:rFonts w:eastAsia="Times New Roman" w:cs="Arial"/>
          <w:b/>
          <w:bCs/>
          <w:szCs w:val="16"/>
        </w:rPr>
      </w:pPr>
      <w:r w:rsidRPr="00F03088">
        <w:rPr>
          <w:b/>
          <w:bCs/>
        </w:rPr>
        <w:t>Include the State’s analyses of the extent to which the response data are representative of the demographics of youth who are no longer in secondary school and had IEPs in effect at the time they left school.</w:t>
      </w:r>
      <w:r w:rsidRPr="00F03088">
        <w:rPr>
          <w:rFonts w:eastAsia="Times New Roman" w:cs="Arial"/>
          <w:b/>
          <w:bCs/>
          <w:szCs w:val="16"/>
        </w:rPr>
        <w:t xml:space="preserve"> States must include race/ethnicity in its analysis. In addition, the State’s analysis must include at least one of the following demographics: disability category, gender, geographic location, and/or another demographic category approved through the stakeholder input process.</w:t>
      </w:r>
    </w:p>
    <w:p w14:paraId="73A0DF3C" w14:textId="77777777" w:rsidR="00156FDD" w:rsidRPr="00560FEE" w:rsidRDefault="00156FDD" w:rsidP="00156FDD">
      <w:r w:rsidRPr="008D51F2">
        <w:t xml:space="preserve">The following demographic categories were examined for their representativeness in the PSO interviews: former students’ race/ethnicity and disability category, as approved through the stakeholder input process. When the demographic group’s representation in the special education population and representation among the interview respondents were greater than ±3%, the representativeness was considered inadequate. In examining the data for race/ethnicity, the representativeness of all groups are considered adequate except for Hispanic/Latino students who were underrepresented by 3.47 percentage points and White students who were over-represented by 6.56 percentage </w:t>
      </w:r>
      <w:proofErr w:type="gramStart"/>
      <w:r w:rsidRPr="008D51F2">
        <w:t>points .</w:t>
      </w:r>
      <w:proofErr w:type="gramEnd"/>
      <w:r w:rsidRPr="008D51F2">
        <w:t xml:space="preserve"> Although under the +/-3% discrepancy metric, Black/African American students were underrepresented by 2.33 percentage points. </w:t>
      </w:r>
      <w:r w:rsidRPr="008D51F2">
        <w:br/>
        <w:t>* White 44.41% of our population; 50.87% of interview respondents (+6.46)</w:t>
      </w:r>
      <w:r w:rsidRPr="008D51F2">
        <w:br/>
        <w:t>* Hispanic/Latino 40.85% of our population; 37.38% of interview respondents (-3.47)</w:t>
      </w:r>
      <w:r w:rsidRPr="008D51F2">
        <w:br/>
        <w:t>* Black/African American 7.11% of our population; 4.78% of interview respondents (-2.33)</w:t>
      </w:r>
      <w:r w:rsidRPr="008D51F2">
        <w:br/>
        <w:t>* Two or More Races 4.20% of our population; 3.86% of interview respondents (-0.34)</w:t>
      </w:r>
      <w:r w:rsidRPr="008D51F2">
        <w:br/>
        <w:t>* Asian 1.92% of our population; 1.70% of interview respondents (-0.22)</w:t>
      </w:r>
      <w:r w:rsidRPr="008D51F2">
        <w:br/>
        <w:t>* American Indian/Alaska Native 1.36% of our population; 1.27% of interview respondents (-0.09)</w:t>
      </w:r>
      <w:r w:rsidRPr="008D51F2">
        <w:br/>
        <w:t>* Native Hawaiian/Other Pacific Islander 0.16% of our population; 0.14% of interview respondents (-0.02)</w:t>
      </w:r>
      <w:r w:rsidRPr="008D51F2">
        <w:br/>
      </w:r>
      <w:r w:rsidRPr="008D51F2">
        <w:br/>
        <w:t>In examining the data for disability category, the representativeness of all subcategories are considered adequate.</w:t>
      </w:r>
      <w:r w:rsidRPr="008D51F2">
        <w:br/>
        <w:t>* Specific Learning Disability 53.13% of our population; 52.00% of interview respondents (-1.13)</w:t>
      </w:r>
      <w:r w:rsidRPr="008D51F2">
        <w:br/>
        <w:t>* Other Health Impairment 15.79% of our population; 16.57% of interview respondents (+0.78)</w:t>
      </w:r>
      <w:r w:rsidRPr="008D51F2">
        <w:br/>
        <w:t>* Intellectual Disability/Multiple Disability 9.85% of our population; 10.19% of interview respondents (+0.34)</w:t>
      </w:r>
      <w:r w:rsidRPr="008D51F2">
        <w:br/>
        <w:t>* Autism Spectrum Disorder 8.88% of our population; 9.91% of interview respondents (+1.03)</w:t>
      </w:r>
      <w:r w:rsidRPr="008D51F2">
        <w:br/>
        <w:t>* Serious Emotional Disability 8.97% of our population; 7.75% of interview respondents (-1.22)</w:t>
      </w:r>
      <w:r w:rsidRPr="008D51F2">
        <w:br/>
        <w:t xml:space="preserve">* Other 3.37% of our population; 3.58% of interview respondents (+0.21) </w:t>
      </w:r>
    </w:p>
    <w:p w14:paraId="2E51EAA1" w14:textId="77777777" w:rsidR="00156FDD" w:rsidRPr="005C202C" w:rsidRDefault="00156FDD" w:rsidP="00156FDD">
      <w:pPr>
        <w:rPr>
          <w:b/>
          <w:bCs/>
        </w:rPr>
      </w:pPr>
      <w:r w:rsidRPr="005C202C">
        <w:rPr>
          <w:b/>
          <w:bCs/>
        </w:rPr>
        <w:t>The response data is representative of the demographics of youth who are no longer in school and had IEPs in effect at the time they left school. (yes/no)</w:t>
      </w:r>
    </w:p>
    <w:p w14:paraId="2390BBAE" w14:textId="77777777" w:rsidR="00156FDD" w:rsidRPr="00560FEE" w:rsidRDefault="00156FDD" w:rsidP="00156FDD">
      <w:pPr>
        <w:pStyle w:val="Subhed"/>
        <w:rPr>
          <w:b w:val="0"/>
          <w:bCs/>
        </w:rPr>
      </w:pPr>
      <w:r w:rsidRPr="008D51F2">
        <w:rPr>
          <w:b w:val="0"/>
          <w:bCs/>
        </w:rPr>
        <w:t>NO</w:t>
      </w:r>
    </w:p>
    <w:p w14:paraId="027CD8C2" w14:textId="77777777" w:rsidR="00156FDD" w:rsidRPr="005C202C" w:rsidRDefault="00156FDD" w:rsidP="00156FDD">
      <w:pPr>
        <w:rPr>
          <w:b/>
          <w:bCs/>
        </w:rPr>
      </w:pPr>
      <w:r w:rsidRPr="005C202C">
        <w:rPr>
          <w:b/>
          <w:bCs/>
        </w:rPr>
        <w:t xml:space="preserve">If </w:t>
      </w:r>
      <w:proofErr w:type="gramStart"/>
      <w:r w:rsidRPr="005C202C">
        <w:rPr>
          <w:b/>
          <w:bCs/>
        </w:rPr>
        <w:t>no</w:t>
      </w:r>
      <w:proofErr w:type="gramEnd"/>
      <w:r w:rsidRPr="005C202C">
        <w:rPr>
          <w:b/>
          <w:bCs/>
        </w:rPr>
        <w:t>, describe the strategies that the State will use to ensure that in the future the response data are representative of those demographics.</w:t>
      </w:r>
    </w:p>
    <w:p w14:paraId="0A943617" w14:textId="77777777" w:rsidR="00156FDD" w:rsidRPr="00560FEE" w:rsidRDefault="00156FDD" w:rsidP="00156FDD">
      <w:pPr>
        <w:pStyle w:val="Subhed"/>
        <w:rPr>
          <w:b w:val="0"/>
        </w:rPr>
      </w:pPr>
      <w:r w:rsidRPr="008D51F2">
        <w:rPr>
          <w:b w:val="0"/>
        </w:rPr>
        <w:t>White students are over-representative of the state demographics for this category which seemed to be driven by the underrepresentation of Black, African American former students and Hispanic former students. CDE will continue to provide training and accessible resources to all districts regarding strategies to increase student and family participation for all demographic groups, with an intentional focus on Black and Hispanic students in the Denver metro region. In addition, all AUs will receive the list of students to interview in advance of the start of the data collection period to enable them to review the list and update contact information. CDE will host PSO data discussions, root cause analysis, and follow-up coaching sessions for all AUs. In addition, CDE will convene AU special education administrators in the targeted AUs in the Denver metro region to discuss strategies to improve response rates from Hispanic and African American former students. AUs in the Denver Metro region that have been successful in obtaining responses from these groups of students will be invited to discuss barriers and share the strategies they employ. AU special education administrators will leave the convening with a plan for how to increase response rates (i.e., how to educate students and parents about the post-school outcome interview process, identify multiple means to contact families, and a plan to train staff). Additionally, CDE will provide targeted TA to AUs with low response rates.</w:t>
      </w:r>
    </w:p>
    <w:p w14:paraId="5B213212" w14:textId="77777777" w:rsidR="00156FDD" w:rsidRDefault="00156FDD" w:rsidP="00090132">
      <w:pPr>
        <w:rPr>
          <w:b/>
          <w:bCs/>
        </w:rPr>
      </w:pPr>
    </w:p>
    <w:p w14:paraId="57522483" w14:textId="26E9319E" w:rsidR="00090132" w:rsidRPr="00002B33" w:rsidRDefault="00090132" w:rsidP="00090132">
      <w:pPr>
        <w:rPr>
          <w:b/>
          <w:bCs/>
        </w:rPr>
      </w:pPr>
      <w:r w:rsidRPr="00002B33">
        <w:rPr>
          <w:b/>
          <w:bCs/>
        </w:rPr>
        <w:t>Describe strategies that will be implemented which are expected to increase the response rate year over year, particularly for those groups that are underrepresented.</w:t>
      </w:r>
    </w:p>
    <w:p w14:paraId="054F9DF8" w14:textId="77777777" w:rsidR="00090132" w:rsidRPr="00B551F2" w:rsidRDefault="00090132" w:rsidP="00090132">
      <w:r w:rsidRPr="00B551F2">
        <w:t>Colorado's response rate has significantly increased by 13.84 percentage points over the last 4 FFY cycles from 56.70% in FFY 2019 to 70.54% in FFY 2022. CDE will provide targeted TA to AUs with low response rates.</w:t>
      </w:r>
      <w:r w:rsidRPr="00B551F2">
        <w:br/>
      </w:r>
      <w:r w:rsidRPr="00B551F2">
        <w:br/>
        <w:t xml:space="preserve">White students are over-represented in the response data compared to the state demographics for this category which seemed to be driven by the underrepresentation of Black, African American former students and Hispanic former students. CDE will continue to provide training and accessible resources to all districts regarding strategies to increase student and family participation for all demographic groups, with an intentional focus on Black and Hispanic students in the Denver metro region. In addition, all AUs will receive the list of students to interview in advance of the start of the data collection period to enable them to review the list and update contact information. CDE will host PSO data discussions, root cause analysis, and follow-up coaching sessions for all AUs. In addition, CDE will convene AU special education administrators in the targeted AUs in the Denver metro region to discuss strategies to improve response rates from Hispanic and African American former students. AUs in the Denver Metro region that have been successful in obtaining responses from these groups of students will be invited to discuss barriers and share the strategies they employ. AU special education administrators will leave the convening with a plan for how to increase response rates (i.e., how to educate students and parents about the post-school outcome interview process, identify multiple means to contact families, and a plan to train staff). </w:t>
      </w:r>
    </w:p>
    <w:p w14:paraId="5A6BE78B" w14:textId="77777777" w:rsidR="00090132" w:rsidRPr="00002B33" w:rsidRDefault="00090132" w:rsidP="00090132">
      <w:pPr>
        <w:rPr>
          <w:b/>
          <w:bCs/>
        </w:rPr>
      </w:pPr>
      <w:r w:rsidRPr="00002B33">
        <w:rPr>
          <w:b/>
          <w:bCs/>
        </w:rPr>
        <w:t>Describe the analysis of the response rate including any nonresponse bias that was identified, and the steps taken to reduce any identified bias and promote response from a broad cross section of youth who are no longer in secondary school and had IEPs in effect at the time they left school.</w:t>
      </w:r>
    </w:p>
    <w:p w14:paraId="789E9F07" w14:textId="77777777" w:rsidR="00090132" w:rsidRPr="00B551F2" w:rsidRDefault="00090132" w:rsidP="00090132">
      <w:r w:rsidRPr="00B551F2">
        <w:lastRenderedPageBreak/>
        <w:t xml:space="preserve">Colorado's response rate has significantly increased by 13.84 percentage points over the last 4 FFY cycles from 56.70% in FFY 2019 to 70.54% in FFY 2022. </w:t>
      </w:r>
      <w:r w:rsidRPr="00B551F2">
        <w:br/>
      </w:r>
      <w:r w:rsidRPr="00B551F2">
        <w:br/>
        <w:t xml:space="preserve">In examining the data for race/ethnicity, the representativeness of all groups </w:t>
      </w:r>
      <w:proofErr w:type="gramStart"/>
      <w:r w:rsidRPr="00B551F2">
        <w:t>are</w:t>
      </w:r>
      <w:proofErr w:type="gramEnd"/>
      <w:r w:rsidRPr="00B551F2">
        <w:t xml:space="preserve"> considered adequate except for Hispanic/Latino students who were underrepresented by 3.47 percentage points and White students who were over-represented by 6.56 percentage points. Although under the +/-3% discrepancy metric, Black/African American students were underrepresented by 2.33 percentage points. In examining the data for disability category, the representativeness of all subcategories </w:t>
      </w:r>
      <w:proofErr w:type="gramStart"/>
      <w:r w:rsidRPr="00B551F2">
        <w:t>are</w:t>
      </w:r>
      <w:proofErr w:type="gramEnd"/>
      <w:r w:rsidRPr="00B551F2">
        <w:t xml:space="preserve"> considered adequate.</w:t>
      </w:r>
      <w:r w:rsidRPr="00B551F2">
        <w:br/>
      </w:r>
      <w:r w:rsidRPr="00B551F2">
        <w:br/>
        <w:t xml:space="preserve">To investigate nonresponse bias, CDE first examined the demographic makeup of the actual response data compared to the students in the full sample for the following demographic categories: gender, race/ethnicity, exit type, and disability category. Colorado uses +/-3% discrepancy in the proportion of responders compared to sampled group to determine representativeness. The following groups were not represented within the acceptable range: White students accounted for 47.5% of the sample and 50.9% of respondents, resulting in overrepresentation of +3.4 percentage points students who graduated with regular diploma accounted for 81.1% of the sample and 85.8% of respondents, resulting in overrepresentation of +4.7 percentage points; conversely, students who dropped out accounted for 14.9% of the sample and 10.0% of respondents, showing under-representativeness of -4.9 percentage points. The demographics of acceptable response rates in all other groups within categories fell between the range of -2.6% and +1.7%. </w:t>
      </w:r>
      <w:r w:rsidRPr="00B551F2">
        <w:br/>
        <w:t xml:space="preserve">Using the IDC Nonresponse Bias Application (NRBA) tool, we examined the variation in the percentage of students engaged (14C) by Race/Ethnicity and Basis of Exit to determine if the overall engagement rate (14C) of underrepresented groups of Black and Hispanic students, were meaningfully different from the overall rate of engagement reported by the State which was 76.04%. We found no significant difference across rath/ethnicity subgroups with 75.9% of White students engaged, 72.6% of Black/African American students engaged, and 77.1% of Hispanic/Latino students engaged. In examining the variation in the percentage of students engaged (14C) by Basis of Exit, we found no significant difference for the underrepresented subgroup of students who dropped out with 78.6% of students who graduated with a regular diploma engaged compared to 66.7% of students who dropped out engaged. Therefore, while Black and Hispanic students, and students who dropped out were underrepresented in the data, there was limited potential for nonresponse bias in our data with respect to Race/Ethnicity or Basis of Exit. </w:t>
      </w:r>
    </w:p>
    <w:p w14:paraId="72EBB8E4" w14:textId="77777777" w:rsidR="00090132" w:rsidRPr="00560FEE" w:rsidRDefault="00090132" w:rsidP="00090132">
      <w:pPr>
        <w:pStyle w:val="Subhed"/>
        <w:rPr>
          <w:b w:val="0"/>
        </w:rPr>
      </w:pPr>
    </w:p>
    <w:p w14:paraId="237D4C5C" w14:textId="77777777" w:rsidR="00090132" w:rsidRPr="00781112" w:rsidRDefault="00090132" w:rsidP="00C66181">
      <w:pPr>
        <w:rPr>
          <w:rFonts w:cs="Arial"/>
          <w:color w:val="000000" w:themeColor="text1"/>
          <w:szCs w:val="16"/>
        </w:rPr>
      </w:pPr>
    </w:p>
    <w:tbl>
      <w:tblPr>
        <w:tblStyle w:val="TableGrid"/>
        <w:tblW w:w="0" w:type="auto"/>
        <w:tblLook w:val="04A0" w:firstRow="1" w:lastRow="0" w:firstColumn="1" w:lastColumn="0" w:noHBand="0" w:noVBand="1"/>
        <w:tblCaption w:val="B14SAMPLEUSED"/>
      </w:tblPr>
      <w:tblGrid>
        <w:gridCol w:w="8306"/>
        <w:gridCol w:w="2484"/>
      </w:tblGrid>
      <w:tr w:rsidR="005C29F8" w:rsidRPr="00781112" w14:paraId="10AC36E3" w14:textId="77777777" w:rsidTr="0033429D">
        <w:trPr>
          <w:tblHeader/>
        </w:trPr>
        <w:tc>
          <w:tcPr>
            <w:tcW w:w="8310" w:type="dxa"/>
            <w:tcBorders>
              <w:top w:val="single" w:sz="4" w:space="0" w:color="auto"/>
              <w:left w:val="single" w:sz="4" w:space="0" w:color="auto"/>
            </w:tcBorders>
            <w:shd w:val="clear" w:color="auto" w:fill="auto"/>
          </w:tcPr>
          <w:p w14:paraId="01371920" w14:textId="2568990B" w:rsidR="00763780" w:rsidRPr="00781112" w:rsidRDefault="00CC2002" w:rsidP="00BA3DBE">
            <w:pPr>
              <w:jc w:val="center"/>
              <w:rPr>
                <w:rFonts w:cs="Arial"/>
                <w:b/>
                <w:bCs/>
                <w:color w:val="000000" w:themeColor="text1"/>
                <w:szCs w:val="16"/>
              </w:rPr>
            </w:pPr>
            <w:r w:rsidRPr="00781112">
              <w:rPr>
                <w:rFonts w:cs="Arial"/>
                <w:b/>
                <w:bCs/>
                <w:color w:val="000000" w:themeColor="text1"/>
                <w:szCs w:val="16"/>
              </w:rPr>
              <w:t>Sampling Question</w:t>
            </w:r>
          </w:p>
        </w:tc>
        <w:tc>
          <w:tcPr>
            <w:tcW w:w="2485" w:type="dxa"/>
            <w:tcBorders>
              <w:top w:val="single" w:sz="4" w:space="0" w:color="auto"/>
            </w:tcBorders>
            <w:shd w:val="clear" w:color="auto" w:fill="auto"/>
          </w:tcPr>
          <w:p w14:paraId="39CB8232" w14:textId="5BE196A9" w:rsidR="00763780" w:rsidRPr="00781112" w:rsidRDefault="00763780" w:rsidP="001011BB">
            <w:pPr>
              <w:jc w:val="center"/>
              <w:rPr>
                <w:rFonts w:cs="Arial"/>
                <w:b/>
                <w:color w:val="000000" w:themeColor="text1"/>
                <w:szCs w:val="16"/>
              </w:rPr>
            </w:pPr>
            <w:r w:rsidRPr="00781112">
              <w:rPr>
                <w:rFonts w:cs="Arial"/>
                <w:b/>
                <w:color w:val="000000" w:themeColor="text1"/>
                <w:szCs w:val="16"/>
              </w:rPr>
              <w:t>Yes / No</w:t>
            </w:r>
          </w:p>
        </w:tc>
      </w:tr>
      <w:tr w:rsidR="005C29F8" w:rsidRPr="00781112" w14:paraId="408903DE" w14:textId="1FE95128" w:rsidTr="0033429D">
        <w:tc>
          <w:tcPr>
            <w:tcW w:w="8310" w:type="dxa"/>
            <w:shd w:val="clear" w:color="auto" w:fill="auto"/>
          </w:tcPr>
          <w:p w14:paraId="0472BB53" w14:textId="55673E5F" w:rsidR="00763780" w:rsidRPr="00781112" w:rsidRDefault="00763780" w:rsidP="008E31C4">
            <w:pPr>
              <w:rPr>
                <w:rFonts w:cs="Arial"/>
                <w:color w:val="000000" w:themeColor="text1"/>
                <w:szCs w:val="16"/>
              </w:rPr>
            </w:pPr>
            <w:r w:rsidRPr="00781112">
              <w:rPr>
                <w:rFonts w:cs="Arial"/>
                <w:color w:val="000000" w:themeColor="text1"/>
                <w:szCs w:val="16"/>
              </w:rPr>
              <w:t xml:space="preserve">Was sampling used? </w:t>
            </w:r>
          </w:p>
        </w:tc>
        <w:tc>
          <w:tcPr>
            <w:tcW w:w="2485" w:type="dxa"/>
            <w:shd w:val="clear" w:color="auto" w:fill="auto"/>
          </w:tcPr>
          <w:p w14:paraId="0BA01DE6" w14:textId="013EE38E" w:rsidR="00763780" w:rsidRPr="00781112" w:rsidRDefault="002B7490" w:rsidP="00A018D4">
            <w:pPr>
              <w:jc w:val="center"/>
              <w:rPr>
                <w:rFonts w:cs="Arial"/>
                <w:color w:val="000000" w:themeColor="text1"/>
                <w:szCs w:val="16"/>
              </w:rPr>
            </w:pPr>
            <w:r w:rsidRPr="00781112">
              <w:rPr>
                <w:rFonts w:cs="Arial"/>
                <w:color w:val="000000" w:themeColor="text1"/>
                <w:szCs w:val="16"/>
              </w:rPr>
              <w:t>YES</w:t>
            </w:r>
          </w:p>
        </w:tc>
      </w:tr>
      <w:tr w:rsidR="005C29F8" w:rsidRPr="00781112" w14:paraId="0C61A8CE" w14:textId="761BD791" w:rsidTr="0033429D">
        <w:tc>
          <w:tcPr>
            <w:tcW w:w="8310" w:type="dxa"/>
            <w:shd w:val="clear" w:color="auto" w:fill="auto"/>
          </w:tcPr>
          <w:p w14:paraId="63248DD2" w14:textId="3FAEF8A4" w:rsidR="00763780" w:rsidRPr="00781112" w:rsidRDefault="003805D3" w:rsidP="008E31C4">
            <w:pPr>
              <w:rPr>
                <w:rFonts w:cs="Arial"/>
                <w:color w:val="000000" w:themeColor="text1"/>
                <w:szCs w:val="16"/>
              </w:rPr>
            </w:pPr>
            <w:r w:rsidRPr="00781112">
              <w:rPr>
                <w:rFonts w:cs="Arial"/>
                <w:color w:val="000000" w:themeColor="text1"/>
                <w:szCs w:val="16"/>
              </w:rPr>
              <w:t>If yes, has your previously approved sampling plan changed?</w:t>
            </w:r>
          </w:p>
        </w:tc>
        <w:tc>
          <w:tcPr>
            <w:tcW w:w="2485" w:type="dxa"/>
            <w:shd w:val="clear" w:color="auto" w:fill="auto"/>
          </w:tcPr>
          <w:p w14:paraId="76A0D255" w14:textId="0D587544" w:rsidR="00763780" w:rsidRPr="00781112" w:rsidRDefault="002B7490" w:rsidP="00A018D4">
            <w:pPr>
              <w:jc w:val="center"/>
              <w:rPr>
                <w:rFonts w:cs="Arial"/>
                <w:color w:val="000000" w:themeColor="text1"/>
                <w:szCs w:val="16"/>
              </w:rPr>
            </w:pPr>
            <w:r w:rsidRPr="00781112">
              <w:rPr>
                <w:rFonts w:cs="Arial"/>
                <w:color w:val="000000" w:themeColor="text1"/>
                <w:szCs w:val="16"/>
              </w:rPr>
              <w:t>NO</w:t>
            </w:r>
          </w:p>
        </w:tc>
      </w:tr>
    </w:tbl>
    <w:p w14:paraId="2678D062" w14:textId="7796AF41" w:rsidR="00293C7E" w:rsidRPr="00781112" w:rsidRDefault="00293C7E" w:rsidP="008E31C4">
      <w:pPr>
        <w:rPr>
          <w:rFonts w:cs="Arial"/>
          <w:b/>
          <w:color w:val="000000" w:themeColor="text1"/>
          <w:szCs w:val="16"/>
        </w:rPr>
      </w:pPr>
      <w:r w:rsidRPr="00781112">
        <w:rPr>
          <w:rFonts w:cs="Arial"/>
          <w:b/>
          <w:color w:val="000000" w:themeColor="text1"/>
          <w:szCs w:val="16"/>
        </w:rPr>
        <w:t>Describe the sampling methodology outlining how the design will yield valid and reliable estimates.</w:t>
      </w:r>
    </w:p>
    <w:p w14:paraId="03DF054A" w14:textId="7E109F53" w:rsidR="00293C7E" w:rsidRPr="00781112" w:rsidRDefault="002B7490" w:rsidP="008E31C4">
      <w:pPr>
        <w:rPr>
          <w:rFonts w:cs="Arial"/>
          <w:color w:val="000000" w:themeColor="text1"/>
          <w:szCs w:val="16"/>
        </w:rPr>
      </w:pPr>
      <w:r w:rsidRPr="00781112">
        <w:rPr>
          <w:rFonts w:cs="Arial"/>
          <w:color w:val="000000" w:themeColor="text1"/>
          <w:szCs w:val="16"/>
        </w:rPr>
        <w:t xml:space="preserve">All Administrative Units (AUs) conduct post-school interviews every year. The number of interviews is based on the total number of exiters as reported in the Special Education End of Year Collection and includes (01) Reach max age, (40) discontinued school or dropout, (90) graduated with regular diploma, (92) completed non-diploma certificate, (93) high school equivalency diploma from reporting district, and (94) student transferred to non-district run High School Equivalency Diploma (HSED) program and received HSED certificate (GED). </w:t>
      </w:r>
      <w:r w:rsidRPr="00781112">
        <w:rPr>
          <w:rFonts w:cs="Arial"/>
          <w:color w:val="000000" w:themeColor="text1"/>
          <w:szCs w:val="16"/>
        </w:rPr>
        <w:br/>
        <w:t xml:space="preserve">Colorado uses a stratified multi-stage sample design where strata are defined by AU size. Depending on the number of high </w:t>
      </w:r>
      <w:proofErr w:type="gramStart"/>
      <w:r w:rsidRPr="00781112">
        <w:rPr>
          <w:rFonts w:cs="Arial"/>
          <w:color w:val="000000" w:themeColor="text1"/>
          <w:szCs w:val="16"/>
        </w:rPr>
        <w:t>school</w:t>
      </w:r>
      <w:proofErr w:type="gramEnd"/>
      <w:r w:rsidRPr="00781112">
        <w:rPr>
          <w:rFonts w:cs="Arial"/>
          <w:color w:val="000000" w:themeColor="text1"/>
          <w:szCs w:val="16"/>
        </w:rPr>
        <w:t xml:space="preserve"> exiters in the AU, Colorado uses a combination of census and sampling for Indicator 14 data collection. All AUs are selected annually. AUs are classified into three strata: small, medium, and large AUs. The exiter sample for each AU is determined by the size of the AU. </w:t>
      </w:r>
      <w:r w:rsidRPr="00781112">
        <w:rPr>
          <w:rFonts w:cs="Arial"/>
          <w:color w:val="000000" w:themeColor="text1"/>
          <w:szCs w:val="16"/>
        </w:rPr>
        <w:br/>
        <w:t>• AUs with 0 – 100 exiters conduct a census, contacting all students.</w:t>
      </w:r>
      <w:r w:rsidRPr="00781112">
        <w:rPr>
          <w:rFonts w:cs="Arial"/>
          <w:color w:val="000000" w:themeColor="text1"/>
          <w:szCs w:val="16"/>
        </w:rPr>
        <w:br/>
        <w:t>• AUs with 101 – 200 exiters conduct 100 interviews.</w:t>
      </w:r>
      <w:r w:rsidRPr="00781112">
        <w:rPr>
          <w:rFonts w:cs="Arial"/>
          <w:color w:val="000000" w:themeColor="text1"/>
          <w:szCs w:val="16"/>
        </w:rPr>
        <w:br/>
        <w:t>• AUs with 201 or more exiters conduct 200 interviews</w:t>
      </w:r>
      <w:r w:rsidRPr="00781112">
        <w:rPr>
          <w:rFonts w:cs="Arial"/>
          <w:color w:val="000000" w:themeColor="text1"/>
          <w:szCs w:val="16"/>
        </w:rPr>
        <w:br/>
        <w:t xml:space="preserve">When AUs have 100 or fewer students who are no longer in secondary school and had IEPs in effect at the time they left school, the AUs interview all exiters (i.e., census). To ensure personally identifiable information about individual children, or where the available data are insufficient to yield statistically reliable information, Colorado suppresses data with student counts of less than 16 for all public reporting. When AUs have 101-200 exiters, they receive a list of 100 randomly selected former students to interview. AUs with more than 200 exiters receive a list of 200 randomly selected former students to interview. AUs with more than 200 exiters receive a list of 200 randomly selected former students to interview. This sampling methodology yields 4,181 number of former students (as of SY2021-22) to participate in the post-school outcome interview process out of 6,014 total exiters (as of SY2021-22). This means that CO selected 69.52% of the total exiters for the interview. If an AU wishes to interview all former students, rather than a sample, the state accommodates for that. Colorado's sampling methodology makes it possible to reduce the sample size required to achieve randomness and makes the proportionate representation in the sample more likely. In fact, in the SY2021-22 data, the demographic characteristics of the sampled former students were proportionate to the population of the former students who exited high </w:t>
      </w:r>
      <w:proofErr w:type="gramStart"/>
      <w:r w:rsidRPr="00781112">
        <w:rPr>
          <w:rFonts w:cs="Arial"/>
          <w:color w:val="000000" w:themeColor="text1"/>
          <w:szCs w:val="16"/>
        </w:rPr>
        <w:t>schools.The</w:t>
      </w:r>
      <w:proofErr w:type="gramEnd"/>
      <w:r w:rsidRPr="00781112">
        <w:rPr>
          <w:rFonts w:cs="Arial"/>
          <w:color w:val="000000" w:themeColor="text1"/>
          <w:szCs w:val="16"/>
        </w:rPr>
        <w:t xml:space="preserve"> interview responses are collected in an online post-school outcomes interview protocol in the Colorado Data Management System (DMS). A system of checks and balances is incorporated into the DMS to ensure students can efficiently and accurately complete the interview. Answering certain questions will unlock follow-up questions (skip patterns) to drive students to questions that need a response. If a question is missed, the system sends the interviewer to the question in the interview protocol that needs to be answered. Once an interview has started, and if it is not finished, the responses are saved, and the interviewer can return to complete it later. Only completed interviews can be “submitted” in the DMS and used for calculating Indicator 14 results. Data from incomplete interviews is captured in the DMS but not used for calculating Indicator 14 results. If an interview is not completed, the interviewer must provide a reason.</w:t>
      </w:r>
      <w:r w:rsidRPr="00781112">
        <w:rPr>
          <w:rFonts w:cs="Arial"/>
          <w:color w:val="000000" w:themeColor="text1"/>
          <w:szCs w:val="16"/>
        </w:rPr>
        <w:br/>
        <w:t>The functionality of the DMS provides the ability to check the validity of the data. The DMS collects data that identifies students who interviewed, interviewed but have no interview data, marked not eligible but have interview responses (e.g., deceased or returned to school), and students marked refused but “yes” for starting the survey and have survey data.</w:t>
      </w:r>
      <w:r w:rsidRPr="00781112">
        <w:rPr>
          <w:rFonts w:cs="Arial"/>
          <w:color w:val="000000" w:themeColor="text1"/>
          <w:szCs w:val="16"/>
        </w:rPr>
        <w:br/>
        <w:t xml:space="preserve">Colorado takes data quality seriously. To ensure high response rates, CO checks the data collection monthly throughout the collection period and on a weekly basis in the last month of the collection period. CDE uses multiple communication strategies including newsletters notifications to all AUs, and emails and phone calls to AUs who have low response rates. To address missing data, the </w:t>
      </w:r>
      <w:proofErr w:type="gramStart"/>
      <w:r w:rsidRPr="00781112">
        <w:rPr>
          <w:rFonts w:cs="Arial"/>
          <w:color w:val="000000" w:themeColor="text1"/>
          <w:szCs w:val="16"/>
        </w:rPr>
        <w:t>Indicator</w:t>
      </w:r>
      <w:proofErr w:type="gramEnd"/>
      <w:r w:rsidRPr="00781112">
        <w:rPr>
          <w:rFonts w:cs="Arial"/>
          <w:color w:val="000000" w:themeColor="text1"/>
          <w:szCs w:val="16"/>
        </w:rPr>
        <w:t xml:space="preserve"> 14 Lead Consultant contacts AUs who are missing data and makes sure that AUs attempt to reach all former students in their sample. CO also includes Indicator 14 participation and outcomes data in AU Determinations. Selection bias is taken cared of random sample during the stratified sampling.</w:t>
      </w:r>
      <w:r w:rsidRPr="00781112">
        <w:rPr>
          <w:rFonts w:cs="Arial"/>
          <w:color w:val="000000" w:themeColor="text1"/>
          <w:szCs w:val="16"/>
        </w:rPr>
        <w:br/>
        <w:t xml:space="preserve">Based on our stakeholder input process, in addition to former students’ race/ethnicity, we examine disability category for representativeness of the </w:t>
      </w:r>
      <w:proofErr w:type="gramStart"/>
      <w:r w:rsidRPr="00781112">
        <w:rPr>
          <w:rFonts w:cs="Arial"/>
          <w:color w:val="000000" w:themeColor="text1"/>
          <w:szCs w:val="16"/>
        </w:rPr>
        <w:t>Indicator</w:t>
      </w:r>
      <w:proofErr w:type="gramEnd"/>
      <w:r w:rsidRPr="00781112">
        <w:rPr>
          <w:rFonts w:cs="Arial"/>
          <w:color w:val="000000" w:themeColor="text1"/>
          <w:szCs w:val="16"/>
        </w:rPr>
        <w:t xml:space="preserve"> 14 results. When the demographic group’s representation in the special education population and representation among the interview respondents are greater than ±3%, the </w:t>
      </w:r>
      <w:proofErr w:type="gramStart"/>
      <w:r w:rsidRPr="00781112">
        <w:rPr>
          <w:rFonts w:cs="Arial"/>
          <w:color w:val="000000" w:themeColor="text1"/>
          <w:szCs w:val="16"/>
        </w:rPr>
        <w:t>representativeness</w:t>
      </w:r>
      <w:proofErr w:type="gramEnd"/>
      <w:r w:rsidRPr="00781112">
        <w:rPr>
          <w:rFonts w:cs="Arial"/>
          <w:color w:val="000000" w:themeColor="text1"/>
          <w:szCs w:val="16"/>
        </w:rPr>
        <w:t xml:space="preserve"> is considered inadequate. </w:t>
      </w:r>
    </w:p>
    <w:tbl>
      <w:tblPr>
        <w:tblStyle w:val="TableGrid"/>
        <w:tblW w:w="5000" w:type="pct"/>
        <w:tblLook w:val="04A0" w:firstRow="1" w:lastRow="0" w:firstColumn="1" w:lastColumn="0" w:noHBand="0" w:noVBand="1"/>
        <w:tblCaption w:val="B14SURVEYUSED"/>
      </w:tblPr>
      <w:tblGrid>
        <w:gridCol w:w="8306"/>
        <w:gridCol w:w="2484"/>
      </w:tblGrid>
      <w:tr w:rsidR="005C29F8" w:rsidRPr="00781112" w14:paraId="0E2BC2A3" w14:textId="77777777" w:rsidTr="0033429D">
        <w:trPr>
          <w:tblHeader/>
        </w:trPr>
        <w:tc>
          <w:tcPr>
            <w:tcW w:w="3849" w:type="pct"/>
            <w:tcBorders>
              <w:top w:val="single" w:sz="4" w:space="0" w:color="auto"/>
              <w:left w:val="single" w:sz="4" w:space="0" w:color="auto"/>
            </w:tcBorders>
            <w:shd w:val="clear" w:color="auto" w:fill="auto"/>
          </w:tcPr>
          <w:p w14:paraId="2EA51A3E" w14:textId="6A33A9D8" w:rsidR="00BC4655" w:rsidRPr="00781112" w:rsidRDefault="00CC2002" w:rsidP="00BA3DBE">
            <w:pPr>
              <w:jc w:val="center"/>
              <w:rPr>
                <w:rFonts w:cs="Arial"/>
                <w:b/>
                <w:bCs/>
                <w:color w:val="000000" w:themeColor="text1"/>
                <w:szCs w:val="16"/>
              </w:rPr>
            </w:pPr>
            <w:r w:rsidRPr="00781112">
              <w:rPr>
                <w:rFonts w:cs="Arial"/>
                <w:b/>
                <w:bCs/>
                <w:color w:val="000000" w:themeColor="text1"/>
                <w:szCs w:val="16"/>
              </w:rPr>
              <w:t>Survey Question</w:t>
            </w:r>
          </w:p>
        </w:tc>
        <w:tc>
          <w:tcPr>
            <w:tcW w:w="1151" w:type="pct"/>
            <w:tcBorders>
              <w:top w:val="single" w:sz="4" w:space="0" w:color="auto"/>
            </w:tcBorders>
            <w:shd w:val="clear" w:color="auto" w:fill="auto"/>
          </w:tcPr>
          <w:p w14:paraId="0EEC81FC" w14:textId="73C14A3F" w:rsidR="00BC4655" w:rsidRPr="00781112" w:rsidRDefault="00BC4655" w:rsidP="001011BB">
            <w:pPr>
              <w:jc w:val="center"/>
              <w:rPr>
                <w:rFonts w:cs="Arial"/>
                <w:b/>
                <w:color w:val="000000" w:themeColor="text1"/>
                <w:szCs w:val="16"/>
              </w:rPr>
            </w:pPr>
            <w:r w:rsidRPr="00781112">
              <w:rPr>
                <w:rFonts w:cs="Arial"/>
                <w:b/>
                <w:color w:val="000000" w:themeColor="text1"/>
                <w:szCs w:val="16"/>
              </w:rPr>
              <w:t>Yes / No</w:t>
            </w:r>
          </w:p>
        </w:tc>
      </w:tr>
      <w:tr w:rsidR="005C29F8" w:rsidRPr="00781112" w14:paraId="6901B015" w14:textId="2CE4C417" w:rsidTr="0033429D">
        <w:tc>
          <w:tcPr>
            <w:tcW w:w="3849" w:type="pct"/>
            <w:shd w:val="clear" w:color="auto" w:fill="auto"/>
          </w:tcPr>
          <w:p w14:paraId="0856121E" w14:textId="5B1AD843" w:rsidR="00BC4655" w:rsidRPr="00781112" w:rsidRDefault="00BC4655" w:rsidP="008E31C4">
            <w:pPr>
              <w:rPr>
                <w:rFonts w:cs="Arial"/>
                <w:color w:val="000000" w:themeColor="text1"/>
                <w:szCs w:val="16"/>
              </w:rPr>
            </w:pPr>
            <w:r w:rsidRPr="00781112">
              <w:rPr>
                <w:rFonts w:cs="Arial"/>
                <w:color w:val="000000" w:themeColor="text1"/>
                <w:szCs w:val="16"/>
              </w:rPr>
              <w:t xml:space="preserve">Was a survey used? </w:t>
            </w:r>
          </w:p>
        </w:tc>
        <w:tc>
          <w:tcPr>
            <w:tcW w:w="1151" w:type="pct"/>
            <w:shd w:val="clear" w:color="auto" w:fill="auto"/>
          </w:tcPr>
          <w:p w14:paraId="47AE85B8" w14:textId="2FE77A74" w:rsidR="00BC4655" w:rsidRPr="00781112" w:rsidRDefault="002B7490" w:rsidP="00A018D4">
            <w:pPr>
              <w:jc w:val="center"/>
              <w:rPr>
                <w:rFonts w:cs="Arial"/>
                <w:color w:val="000000" w:themeColor="text1"/>
                <w:szCs w:val="16"/>
              </w:rPr>
            </w:pPr>
            <w:r w:rsidRPr="00781112">
              <w:rPr>
                <w:rFonts w:cs="Arial"/>
                <w:color w:val="000000" w:themeColor="text1"/>
                <w:szCs w:val="16"/>
              </w:rPr>
              <w:t>YES</w:t>
            </w:r>
          </w:p>
        </w:tc>
      </w:tr>
      <w:tr w:rsidR="005C29F8" w:rsidRPr="00781112" w14:paraId="649D8839" w14:textId="3AAB3A92" w:rsidTr="0033429D">
        <w:tc>
          <w:tcPr>
            <w:tcW w:w="3849" w:type="pct"/>
            <w:shd w:val="clear" w:color="auto" w:fill="auto"/>
          </w:tcPr>
          <w:p w14:paraId="56C87E2E" w14:textId="1890EBD8" w:rsidR="00BC4655" w:rsidRPr="00781112" w:rsidRDefault="003805D3" w:rsidP="008E31C4">
            <w:pPr>
              <w:rPr>
                <w:rFonts w:cs="Arial"/>
                <w:color w:val="000000" w:themeColor="text1"/>
                <w:szCs w:val="16"/>
              </w:rPr>
            </w:pPr>
            <w:r w:rsidRPr="00781112">
              <w:rPr>
                <w:rFonts w:cs="Arial"/>
                <w:color w:val="000000" w:themeColor="text1"/>
                <w:szCs w:val="16"/>
              </w:rPr>
              <w:t>If yes, is it a new or revised survey?</w:t>
            </w:r>
          </w:p>
        </w:tc>
        <w:tc>
          <w:tcPr>
            <w:tcW w:w="1151" w:type="pct"/>
            <w:shd w:val="clear" w:color="auto" w:fill="auto"/>
          </w:tcPr>
          <w:p w14:paraId="53803AF8" w14:textId="54EB33AD" w:rsidR="00BC4655" w:rsidRPr="00781112" w:rsidRDefault="002B7490" w:rsidP="00A018D4">
            <w:pPr>
              <w:jc w:val="center"/>
              <w:rPr>
                <w:rFonts w:cs="Arial"/>
                <w:color w:val="000000" w:themeColor="text1"/>
                <w:szCs w:val="16"/>
              </w:rPr>
            </w:pPr>
            <w:r w:rsidRPr="00781112">
              <w:rPr>
                <w:rFonts w:cs="Arial"/>
                <w:color w:val="000000" w:themeColor="text1"/>
                <w:szCs w:val="16"/>
              </w:rPr>
              <w:t>NO</w:t>
            </w:r>
          </w:p>
        </w:tc>
      </w:tr>
    </w:tbl>
    <w:p w14:paraId="62361D73" w14:textId="77777777" w:rsidR="00644AC8" w:rsidRPr="00781112" w:rsidRDefault="00644AC8" w:rsidP="00644AC8">
      <w:pPr>
        <w:rPr>
          <w:rFonts w:cs="Arial"/>
          <w:b/>
          <w:color w:val="000000" w:themeColor="text1"/>
          <w:szCs w:val="16"/>
        </w:rPr>
      </w:pPr>
      <w:bookmarkStart w:id="88" w:name="_Toc382082390"/>
      <w:bookmarkStart w:id="89" w:name="_Toc392159339"/>
      <w:r w:rsidRPr="00781112">
        <w:rPr>
          <w:rFonts w:cs="Arial"/>
          <w:b/>
          <w:color w:val="000000" w:themeColor="text1"/>
          <w:szCs w:val="16"/>
        </w:rPr>
        <w:t>Provide additional information about this indicator (optional)</w:t>
      </w:r>
    </w:p>
    <w:p w14:paraId="30BD41D2" w14:textId="40D58B63" w:rsidR="00293C7E" w:rsidRPr="00781112" w:rsidRDefault="00293C7E" w:rsidP="007D435F">
      <w:pPr>
        <w:rPr>
          <w:rFonts w:cs="Arial"/>
          <w:color w:val="000000" w:themeColor="text1"/>
          <w:szCs w:val="16"/>
        </w:rPr>
      </w:pPr>
    </w:p>
    <w:p w14:paraId="7B9DDAF2" w14:textId="6AA9F8CA" w:rsidR="000A2C83" w:rsidRPr="00781112" w:rsidRDefault="00172058" w:rsidP="00123D76">
      <w:pPr>
        <w:pStyle w:val="Heading2"/>
      </w:pPr>
      <w:r w:rsidRPr="00781112">
        <w:t>14</w:t>
      </w:r>
      <w:r w:rsidR="001D508D" w:rsidRPr="00781112">
        <w:t xml:space="preserve"> </w:t>
      </w:r>
      <w:r w:rsidRPr="00781112">
        <w:t xml:space="preserve">- </w:t>
      </w:r>
      <w:r w:rsidR="000A2C83" w:rsidRPr="00781112">
        <w:t>Prior FFY Required Actions</w:t>
      </w:r>
    </w:p>
    <w:p w14:paraId="3812AD37" w14:textId="58CBF83D" w:rsidR="009F69E7" w:rsidRPr="00781112" w:rsidRDefault="002B7490" w:rsidP="000A2C83">
      <w:pPr>
        <w:rPr>
          <w:rFonts w:cs="Arial"/>
          <w:color w:val="000000" w:themeColor="text1"/>
          <w:szCs w:val="16"/>
        </w:rPr>
      </w:pPr>
      <w:r w:rsidRPr="00781112">
        <w:rPr>
          <w:rFonts w:cs="Arial"/>
          <w:color w:val="000000" w:themeColor="text1"/>
          <w:szCs w:val="16"/>
        </w:rPr>
        <w:t xml:space="preserve">In the FFY 2022 SPP/APR, the State must report whether the FFY 2022 data are representative of the demographics of youth who are no longer in secondary school and had IEPs in effect at the time they left school, and, if not, the actions the State is taking to address this issue. The State must also include its analysis of the extent to which the response data are representative of the demographics of youth who are no longer in secondary school and had IEPs in effect at the time they left school. </w:t>
      </w:r>
    </w:p>
    <w:p w14:paraId="09927E6D" w14:textId="77161AD6" w:rsidR="000A2C83" w:rsidRPr="00781112" w:rsidRDefault="007639D7" w:rsidP="004369B2">
      <w:pPr>
        <w:rPr>
          <w:b/>
          <w:color w:val="000000" w:themeColor="text1"/>
        </w:rPr>
      </w:pPr>
      <w:r>
        <w:rPr>
          <w:b/>
          <w:color w:val="000000" w:themeColor="text1"/>
        </w:rPr>
        <w:t>Response to actions required in FFY 2021 SPP/APR</w:t>
      </w:r>
    </w:p>
    <w:p w14:paraId="31BF0B33" w14:textId="77777777" w:rsidR="009F69E7" w:rsidRPr="00781112" w:rsidRDefault="002B7490" w:rsidP="000A2C83">
      <w:pPr>
        <w:rPr>
          <w:rFonts w:cs="Arial"/>
          <w:color w:val="000000" w:themeColor="text1"/>
          <w:szCs w:val="16"/>
        </w:rPr>
      </w:pPr>
      <w:r w:rsidRPr="00781112">
        <w:rPr>
          <w:rFonts w:cs="Arial"/>
          <w:color w:val="000000" w:themeColor="text1"/>
          <w:szCs w:val="16"/>
        </w:rPr>
        <w:t xml:space="preserve">In the FFY 2022, SPP/APR, Colorado reported on the representativeness of the demographics of youth who are no longer in secondary school and had IEPs in effect at the time they left school, and described the actions the State is taking to address this issue. Colorado also explained its examination and analysis of representativeness and nonresponse bias. </w:t>
      </w:r>
    </w:p>
    <w:p w14:paraId="5408D9B6" w14:textId="3CB80FFF" w:rsidR="000A2C83" w:rsidRPr="00781112" w:rsidRDefault="000A2C83" w:rsidP="000A2C83">
      <w:pPr>
        <w:rPr>
          <w:rFonts w:cs="Arial"/>
          <w:color w:val="000000" w:themeColor="text1"/>
          <w:szCs w:val="16"/>
        </w:rPr>
      </w:pPr>
      <w:r w:rsidRPr="00781112">
        <w:rPr>
          <w:rFonts w:cs="Arial"/>
          <w:color w:val="000000" w:themeColor="text1"/>
          <w:szCs w:val="16"/>
        </w:rPr>
        <w:t xml:space="preserve"> </w:t>
      </w:r>
    </w:p>
    <w:p w14:paraId="59CF3C2B" w14:textId="15BA3B7F" w:rsidR="00644AC8" w:rsidRPr="00781112" w:rsidRDefault="00172058" w:rsidP="00123D76">
      <w:pPr>
        <w:pStyle w:val="Heading2"/>
      </w:pPr>
      <w:r w:rsidRPr="00781112">
        <w:t>14 - OSEP Response</w:t>
      </w:r>
    </w:p>
    <w:p w14:paraId="29D70E23" w14:textId="165DA616" w:rsidR="00293C7E" w:rsidRPr="00781112" w:rsidRDefault="00293C7E" w:rsidP="001F692C">
      <w:pPr>
        <w:rPr>
          <w:rFonts w:cs="Arial"/>
          <w:color w:val="000000" w:themeColor="text1"/>
          <w:szCs w:val="16"/>
        </w:rPr>
      </w:pPr>
    </w:p>
    <w:p w14:paraId="18F151E0" w14:textId="24893002" w:rsidR="00644AC8" w:rsidRPr="00781112" w:rsidRDefault="00172058" w:rsidP="00123D76">
      <w:pPr>
        <w:pStyle w:val="Heading2"/>
      </w:pPr>
      <w:r w:rsidRPr="00781112">
        <w:t>14 - Required Actions</w:t>
      </w:r>
    </w:p>
    <w:p w14:paraId="623F356B" w14:textId="668EB2DD" w:rsidR="00293C7E" w:rsidRPr="00781112" w:rsidRDefault="002B7490" w:rsidP="001F692C">
      <w:pPr>
        <w:rPr>
          <w:rFonts w:cs="Arial"/>
          <w:color w:val="000000" w:themeColor="text1"/>
          <w:szCs w:val="16"/>
        </w:rPr>
      </w:pPr>
      <w:r w:rsidRPr="00781112">
        <w:rPr>
          <w:rFonts w:cs="Arial"/>
          <w:color w:val="000000" w:themeColor="text1"/>
          <w:szCs w:val="16"/>
        </w:rPr>
        <w:t xml:space="preserve">In the FFY 2023 SPP/APR, the State must report whether the FFY 2023 data are representative of the demographics of youth who are no longer in secondary school and had IEPs in effect at the time they left school, and, if not, the actions the State is taking to address this issue. The State must also include its analysis of the extent to which the response data are representative of the demographics of youth who are no longer in secondary school and had IEPs in effect at the time they left school. </w:t>
      </w:r>
    </w:p>
    <w:p w14:paraId="1ADD288B" w14:textId="77777777" w:rsidR="00102FA3" w:rsidRPr="00781112" w:rsidRDefault="00102FA3">
      <w:pPr>
        <w:spacing w:before="0" w:after="200" w:line="276" w:lineRule="auto"/>
        <w:rPr>
          <w:rFonts w:eastAsiaTheme="majorEastAsia" w:cs="Arial"/>
          <w:b/>
          <w:bCs/>
          <w:color w:val="000000" w:themeColor="text1"/>
          <w:szCs w:val="16"/>
        </w:rPr>
      </w:pPr>
      <w:r w:rsidRPr="00781112">
        <w:rPr>
          <w:rFonts w:cs="Arial"/>
          <w:color w:val="000000" w:themeColor="text1"/>
          <w:szCs w:val="16"/>
        </w:rPr>
        <w:br w:type="page"/>
      </w:r>
    </w:p>
    <w:p w14:paraId="7E15DEAF" w14:textId="72984127" w:rsidR="00B3462E" w:rsidRPr="00781112" w:rsidRDefault="00B3462E" w:rsidP="000444E2">
      <w:pPr>
        <w:pStyle w:val="Heading1"/>
        <w:rPr>
          <w:color w:val="000000" w:themeColor="text1"/>
          <w:sz w:val="22"/>
        </w:rPr>
      </w:pPr>
      <w:r w:rsidRPr="00781112">
        <w:rPr>
          <w:color w:val="000000" w:themeColor="text1"/>
          <w:sz w:val="22"/>
        </w:rPr>
        <w:lastRenderedPageBreak/>
        <w:t>Indicator 15: Resolution Sessions</w:t>
      </w:r>
      <w:bookmarkEnd w:id="88"/>
      <w:bookmarkEnd w:id="89"/>
    </w:p>
    <w:p w14:paraId="7EA31497" w14:textId="77777777" w:rsidR="005B0B58" w:rsidRPr="00781112" w:rsidRDefault="005B0B58" w:rsidP="00A018D4">
      <w:pPr>
        <w:rPr>
          <w:color w:val="000000" w:themeColor="text1"/>
          <w:szCs w:val="20"/>
        </w:rPr>
      </w:pPr>
      <w:bookmarkStart w:id="90" w:name="_Toc381786822"/>
      <w:bookmarkStart w:id="91" w:name="_Toc382731911"/>
      <w:bookmarkStart w:id="92" w:name="_Toc382731912"/>
      <w:bookmarkStart w:id="93" w:name="_Toc392159340"/>
      <w:bookmarkEnd w:id="90"/>
      <w:bookmarkEnd w:id="91"/>
      <w:r w:rsidRPr="00781112">
        <w:rPr>
          <w:b/>
          <w:color w:val="000000" w:themeColor="text1"/>
          <w:sz w:val="20"/>
          <w:szCs w:val="20"/>
        </w:rPr>
        <w:t>Instructions and Measurement</w:t>
      </w:r>
    </w:p>
    <w:p w14:paraId="280CD956" w14:textId="60A4C66A" w:rsidR="009B6586" w:rsidRPr="00781112" w:rsidRDefault="009B6586" w:rsidP="00206890">
      <w:pPr>
        <w:rPr>
          <w:rFonts w:cs="Arial"/>
          <w:color w:val="000000" w:themeColor="text1"/>
          <w:szCs w:val="16"/>
        </w:rPr>
      </w:pPr>
      <w:r w:rsidRPr="00781112">
        <w:rPr>
          <w:rFonts w:cs="Arial"/>
          <w:b/>
          <w:color w:val="000000" w:themeColor="text1"/>
          <w:szCs w:val="16"/>
        </w:rPr>
        <w:t>Monitoring Priority</w:t>
      </w:r>
      <w:r w:rsidRPr="00781112">
        <w:rPr>
          <w:rFonts w:cs="Arial"/>
          <w:color w:val="000000" w:themeColor="text1"/>
          <w:szCs w:val="16"/>
        </w:rPr>
        <w:t>: Effective General Supervision Part B / General Supervision</w:t>
      </w:r>
    </w:p>
    <w:p w14:paraId="676E98EE" w14:textId="77777777" w:rsidR="00692B95" w:rsidRPr="00781112" w:rsidRDefault="009B6586" w:rsidP="00206890">
      <w:pPr>
        <w:rPr>
          <w:rFonts w:cs="Arial"/>
          <w:color w:val="000000" w:themeColor="text1"/>
          <w:szCs w:val="16"/>
        </w:rPr>
      </w:pPr>
      <w:r w:rsidRPr="00781112">
        <w:rPr>
          <w:rFonts w:cs="Arial"/>
          <w:b/>
          <w:color w:val="000000" w:themeColor="text1"/>
          <w:szCs w:val="16"/>
        </w:rPr>
        <w:t>Results Indicator:</w:t>
      </w:r>
      <w:r w:rsidRPr="00781112">
        <w:rPr>
          <w:rFonts w:cs="Arial"/>
          <w:color w:val="000000" w:themeColor="text1"/>
          <w:szCs w:val="16"/>
        </w:rPr>
        <w:t xml:space="preserve"> Percent of hearing requests that went to resolution sessions that were resolved through resolution session settlement agreements.</w:t>
      </w:r>
    </w:p>
    <w:p w14:paraId="0FFA722A" w14:textId="6CF0A81F" w:rsidR="009B6586" w:rsidRPr="00781112" w:rsidRDefault="009B6586" w:rsidP="00206890">
      <w:pPr>
        <w:rPr>
          <w:rFonts w:cs="Arial"/>
          <w:color w:val="000000" w:themeColor="text1"/>
          <w:szCs w:val="16"/>
        </w:rPr>
      </w:pPr>
      <w:r w:rsidRPr="00781112">
        <w:rPr>
          <w:rFonts w:cs="Arial"/>
          <w:color w:val="000000" w:themeColor="text1"/>
          <w:szCs w:val="16"/>
        </w:rPr>
        <w:t xml:space="preserve"> (20 U.S.C. 1416(a)(3)(B))</w:t>
      </w:r>
    </w:p>
    <w:p w14:paraId="40DC2407" w14:textId="77777777" w:rsidR="00B14746" w:rsidRPr="00781112" w:rsidRDefault="00B14746" w:rsidP="004369B2">
      <w:pPr>
        <w:rPr>
          <w:color w:val="000000" w:themeColor="text1"/>
        </w:rPr>
      </w:pPr>
      <w:r w:rsidRPr="00781112">
        <w:rPr>
          <w:b/>
          <w:color w:val="000000" w:themeColor="text1"/>
        </w:rPr>
        <w:t>Data Source</w:t>
      </w:r>
    </w:p>
    <w:p w14:paraId="585EF86F" w14:textId="2E239104" w:rsidR="00B14746" w:rsidRPr="00781112" w:rsidRDefault="00B14746" w:rsidP="00206890">
      <w:pPr>
        <w:rPr>
          <w:rFonts w:cs="Arial"/>
          <w:color w:val="000000" w:themeColor="text1"/>
          <w:szCs w:val="16"/>
        </w:rPr>
      </w:pPr>
      <w:r w:rsidRPr="00781112">
        <w:rPr>
          <w:rFonts w:cs="Arial"/>
          <w:color w:val="000000" w:themeColor="text1"/>
          <w:szCs w:val="16"/>
        </w:rPr>
        <w:t>Data collected under section 618 of the IDEA (IDEA Part B Dispute Resolution Survey in the ED</w:t>
      </w:r>
      <w:r w:rsidRPr="00BA3DBE">
        <w:rPr>
          <w:rFonts w:cs="Arial"/>
          <w:i/>
          <w:iCs/>
          <w:color w:val="000000" w:themeColor="text1"/>
          <w:szCs w:val="16"/>
        </w:rPr>
        <w:t>Facts</w:t>
      </w:r>
      <w:r w:rsidRPr="00781112">
        <w:rPr>
          <w:rFonts w:cs="Arial"/>
          <w:color w:val="000000" w:themeColor="text1"/>
          <w:szCs w:val="16"/>
        </w:rPr>
        <w:t xml:space="preserve"> Metadata and Process System (E</w:t>
      </w:r>
      <w:r w:rsidR="00E65E32" w:rsidRPr="00781112">
        <w:rPr>
          <w:rFonts w:cs="Arial"/>
          <w:i/>
          <w:color w:val="000000" w:themeColor="text1"/>
          <w:szCs w:val="16"/>
        </w:rPr>
        <w:t>MAPS</w:t>
      </w:r>
      <w:r w:rsidRPr="00781112">
        <w:rPr>
          <w:rFonts w:cs="Arial"/>
          <w:color w:val="000000" w:themeColor="text1"/>
          <w:szCs w:val="16"/>
        </w:rPr>
        <w:t>)).</w:t>
      </w:r>
    </w:p>
    <w:p w14:paraId="4E6D96A3" w14:textId="77777777" w:rsidR="00B14746" w:rsidRPr="00781112" w:rsidRDefault="00B14746" w:rsidP="004369B2">
      <w:pPr>
        <w:rPr>
          <w:color w:val="000000" w:themeColor="text1"/>
        </w:rPr>
      </w:pPr>
      <w:r w:rsidRPr="00781112">
        <w:rPr>
          <w:b/>
          <w:color w:val="000000" w:themeColor="text1"/>
        </w:rPr>
        <w:t>Measurement</w:t>
      </w:r>
    </w:p>
    <w:p w14:paraId="64AA8A3E" w14:textId="743F9348" w:rsidR="00B14746" w:rsidRPr="00781112" w:rsidRDefault="00B14746" w:rsidP="00206890">
      <w:pPr>
        <w:rPr>
          <w:rFonts w:cs="Arial"/>
          <w:color w:val="000000" w:themeColor="text1"/>
          <w:szCs w:val="16"/>
        </w:rPr>
      </w:pPr>
      <w:r w:rsidRPr="00781112">
        <w:rPr>
          <w:rFonts w:cs="Arial"/>
          <w:color w:val="000000" w:themeColor="text1"/>
          <w:szCs w:val="16"/>
        </w:rPr>
        <w:t>Percent = (3.1(a) divided by 3.1) times 100.</w:t>
      </w:r>
    </w:p>
    <w:p w14:paraId="7D86471C" w14:textId="77777777" w:rsidR="00B14746" w:rsidRPr="00781112" w:rsidRDefault="00B14746" w:rsidP="004369B2">
      <w:pPr>
        <w:rPr>
          <w:color w:val="000000" w:themeColor="text1"/>
        </w:rPr>
      </w:pPr>
      <w:r w:rsidRPr="00781112">
        <w:rPr>
          <w:b/>
          <w:color w:val="000000" w:themeColor="text1"/>
        </w:rPr>
        <w:t>Instructions</w:t>
      </w:r>
    </w:p>
    <w:p w14:paraId="7F1341EF" w14:textId="77777777" w:rsidR="00B14746" w:rsidRPr="00781112" w:rsidRDefault="00B14746" w:rsidP="00286BDF">
      <w:pPr>
        <w:rPr>
          <w:rFonts w:cs="Arial"/>
          <w:i/>
          <w:iCs/>
          <w:color w:val="000000" w:themeColor="text1"/>
          <w:szCs w:val="16"/>
        </w:rPr>
      </w:pPr>
      <w:r w:rsidRPr="00781112">
        <w:rPr>
          <w:rFonts w:cs="Arial"/>
          <w:i/>
          <w:iCs/>
          <w:color w:val="000000" w:themeColor="text1"/>
          <w:szCs w:val="16"/>
        </w:rPr>
        <w:t>Sampling is not allowed.</w:t>
      </w:r>
    </w:p>
    <w:p w14:paraId="20D56B7B" w14:textId="77777777" w:rsidR="00B14746" w:rsidRPr="00781112" w:rsidRDefault="00B14746" w:rsidP="00286BDF">
      <w:pPr>
        <w:rPr>
          <w:rFonts w:cs="Arial"/>
          <w:color w:val="000000" w:themeColor="text1"/>
          <w:szCs w:val="16"/>
        </w:rPr>
      </w:pPr>
      <w:r w:rsidRPr="00781112">
        <w:rPr>
          <w:rFonts w:cs="Arial"/>
          <w:color w:val="000000" w:themeColor="text1"/>
          <w:szCs w:val="16"/>
        </w:rPr>
        <w:t>Describe the results of the calculations and compare the results to the target.</w:t>
      </w:r>
    </w:p>
    <w:p w14:paraId="368918B0" w14:textId="755A746B" w:rsidR="00B14746" w:rsidRPr="00781112" w:rsidRDefault="00B14746" w:rsidP="00286BDF">
      <w:pPr>
        <w:rPr>
          <w:rFonts w:cs="Arial"/>
          <w:color w:val="000000" w:themeColor="text1"/>
          <w:szCs w:val="16"/>
        </w:rPr>
      </w:pPr>
      <w:r w:rsidRPr="00781112">
        <w:rPr>
          <w:rFonts w:cs="Arial"/>
          <w:color w:val="000000" w:themeColor="text1"/>
          <w:szCs w:val="16"/>
        </w:rPr>
        <w:t xml:space="preserve">States are not required to establish </w:t>
      </w:r>
      <w:proofErr w:type="gramStart"/>
      <w:r w:rsidRPr="00781112">
        <w:rPr>
          <w:rFonts w:cs="Arial"/>
          <w:color w:val="000000" w:themeColor="text1"/>
          <w:szCs w:val="16"/>
        </w:rPr>
        <w:t>baseline</w:t>
      </w:r>
      <w:proofErr w:type="gramEnd"/>
      <w:r w:rsidRPr="00781112">
        <w:rPr>
          <w:rFonts w:cs="Arial"/>
          <w:color w:val="000000" w:themeColor="text1"/>
          <w:szCs w:val="16"/>
        </w:rPr>
        <w:t xml:space="preserve"> or targets if the number of resolution sessions is less than 10. In a reporting period when the number of resolution sessions reaches 10 or greater, develop baseline and targets and report on them in the corresponding SPP/APR.</w:t>
      </w:r>
    </w:p>
    <w:p w14:paraId="4484EAF5" w14:textId="77777777" w:rsidR="00B14746" w:rsidRPr="00781112" w:rsidRDefault="00B14746" w:rsidP="00286BDF">
      <w:pPr>
        <w:rPr>
          <w:rFonts w:cs="Arial"/>
          <w:color w:val="000000" w:themeColor="text1"/>
          <w:szCs w:val="16"/>
        </w:rPr>
      </w:pPr>
      <w:r w:rsidRPr="00781112">
        <w:rPr>
          <w:rFonts w:cs="Arial"/>
          <w:color w:val="000000" w:themeColor="text1"/>
          <w:szCs w:val="16"/>
        </w:rPr>
        <w:t>States may express their targets in a range (e.g., 75-85%).</w:t>
      </w:r>
    </w:p>
    <w:p w14:paraId="3A369CBC" w14:textId="77777777" w:rsidR="00B14746" w:rsidRPr="00781112" w:rsidRDefault="00B14746" w:rsidP="00286BDF">
      <w:pPr>
        <w:rPr>
          <w:rFonts w:cs="Arial"/>
          <w:color w:val="000000" w:themeColor="text1"/>
          <w:szCs w:val="16"/>
        </w:rPr>
      </w:pPr>
      <w:r w:rsidRPr="00781112">
        <w:rPr>
          <w:rFonts w:cs="Arial"/>
          <w:color w:val="000000" w:themeColor="text1"/>
          <w:szCs w:val="16"/>
        </w:rPr>
        <w:t>If the data reported in this indicator are not the same as the State’s data under IDEA section 618, explain.</w:t>
      </w:r>
    </w:p>
    <w:p w14:paraId="5C27A911" w14:textId="0F93F55A" w:rsidR="00B14746" w:rsidRPr="00781112" w:rsidRDefault="00B14746" w:rsidP="00286BDF">
      <w:pPr>
        <w:rPr>
          <w:rFonts w:cs="Arial"/>
          <w:color w:val="000000" w:themeColor="text1"/>
          <w:szCs w:val="16"/>
        </w:rPr>
      </w:pPr>
      <w:r w:rsidRPr="00781112">
        <w:rPr>
          <w:rFonts w:cs="Arial"/>
          <w:color w:val="000000" w:themeColor="text1"/>
          <w:szCs w:val="16"/>
        </w:rPr>
        <w:t>States are not required to report data at the LEA level.</w:t>
      </w:r>
    </w:p>
    <w:p w14:paraId="64F7E7AF" w14:textId="3E039165" w:rsidR="00575F02" w:rsidRPr="00781112" w:rsidRDefault="00DF2D3A" w:rsidP="00123D76">
      <w:pPr>
        <w:pStyle w:val="Heading2"/>
      </w:pPr>
      <w:r w:rsidRPr="00781112">
        <w:t>15</w:t>
      </w:r>
      <w:r w:rsidR="001D508D" w:rsidRPr="00781112">
        <w:t xml:space="preserve"> </w:t>
      </w:r>
      <w:r w:rsidRPr="00781112">
        <w:t xml:space="preserve">- </w:t>
      </w:r>
      <w:r w:rsidR="00575F02" w:rsidRPr="00781112">
        <w:t>Indicator Data</w:t>
      </w:r>
    </w:p>
    <w:p w14:paraId="787F4BF1" w14:textId="4407EA15" w:rsidR="004A33CD" w:rsidRPr="00781112" w:rsidRDefault="00E31E29" w:rsidP="004A33CD">
      <w:pPr>
        <w:rPr>
          <w:rFonts w:cs="Arial"/>
          <w:color w:val="000000" w:themeColor="text1"/>
          <w:szCs w:val="16"/>
        </w:rPr>
      </w:pPr>
      <w:r w:rsidRPr="00781112">
        <w:rPr>
          <w:rFonts w:cs="Arial"/>
          <w:color w:val="000000" w:themeColor="text1"/>
          <w:szCs w:val="16"/>
        </w:rPr>
        <w:t>Select yes to use target ranges</w:t>
      </w:r>
    </w:p>
    <w:p w14:paraId="28345E9C" w14:textId="1A461958" w:rsidR="004A33CD" w:rsidRPr="00781112" w:rsidRDefault="004A33CD" w:rsidP="004369B2">
      <w:pPr>
        <w:rPr>
          <w:color w:val="000000" w:themeColor="text1"/>
        </w:rPr>
      </w:pPr>
      <w:r w:rsidRPr="00781112">
        <w:rPr>
          <w:rFonts w:cs="Arial"/>
          <w:color w:val="000000" w:themeColor="text1"/>
          <w:szCs w:val="16"/>
        </w:rPr>
        <w:t>Target Range not used</w:t>
      </w:r>
    </w:p>
    <w:bookmarkEnd w:id="92"/>
    <w:bookmarkEnd w:id="93"/>
    <w:p w14:paraId="2C183615" w14:textId="77777777" w:rsidR="00CE0C68" w:rsidRPr="00781112" w:rsidRDefault="00CE0C68" w:rsidP="004369B2">
      <w:pPr>
        <w:rPr>
          <w:color w:val="000000" w:themeColor="text1"/>
        </w:rPr>
      </w:pPr>
    </w:p>
    <w:p w14:paraId="23EC0320" w14:textId="2C5AA27C" w:rsidR="00372DF8" w:rsidRPr="00781112" w:rsidRDefault="00372DF8" w:rsidP="004369B2">
      <w:pPr>
        <w:rPr>
          <w:color w:val="000000" w:themeColor="text1"/>
        </w:rPr>
      </w:pPr>
      <w:r w:rsidRPr="00781112">
        <w:rPr>
          <w:b/>
          <w:color w:val="000000" w:themeColor="text1"/>
        </w:rPr>
        <w:t>Prepopulated Data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Caption w:val="B15PREPOPDATA"/>
      </w:tblPr>
      <w:tblGrid>
        <w:gridCol w:w="2605"/>
        <w:gridCol w:w="2700"/>
        <w:gridCol w:w="3571"/>
        <w:gridCol w:w="1914"/>
      </w:tblGrid>
      <w:tr w:rsidR="005C29F8" w:rsidRPr="00781112" w14:paraId="6639EAF6" w14:textId="77777777" w:rsidTr="00AB0D6A">
        <w:trPr>
          <w:trHeight w:val="372"/>
          <w:tblHeader/>
        </w:trPr>
        <w:tc>
          <w:tcPr>
            <w:tcW w:w="1207" w:type="pct"/>
            <w:shd w:val="clear" w:color="auto" w:fill="auto"/>
          </w:tcPr>
          <w:p w14:paraId="3040A217" w14:textId="77777777" w:rsidR="00372DF8" w:rsidRPr="00781112" w:rsidRDefault="00372DF8" w:rsidP="008E31C4">
            <w:pPr>
              <w:spacing w:after="0"/>
              <w:jc w:val="center"/>
              <w:rPr>
                <w:rFonts w:cs="Arial"/>
                <w:b/>
                <w:color w:val="000000" w:themeColor="text1"/>
                <w:szCs w:val="16"/>
              </w:rPr>
            </w:pPr>
            <w:r w:rsidRPr="00781112">
              <w:rPr>
                <w:rFonts w:cs="Arial"/>
                <w:b/>
                <w:color w:val="000000" w:themeColor="text1"/>
                <w:szCs w:val="16"/>
              </w:rPr>
              <w:t>Source</w:t>
            </w:r>
          </w:p>
        </w:tc>
        <w:tc>
          <w:tcPr>
            <w:tcW w:w="1251" w:type="pct"/>
            <w:shd w:val="clear" w:color="auto" w:fill="auto"/>
          </w:tcPr>
          <w:p w14:paraId="3A97206D" w14:textId="77777777" w:rsidR="00372DF8" w:rsidRPr="00781112" w:rsidRDefault="00372DF8" w:rsidP="008E31C4">
            <w:pPr>
              <w:spacing w:after="0"/>
              <w:jc w:val="center"/>
              <w:rPr>
                <w:rFonts w:cs="Arial"/>
                <w:b/>
                <w:color w:val="000000" w:themeColor="text1"/>
                <w:szCs w:val="16"/>
              </w:rPr>
            </w:pPr>
            <w:r w:rsidRPr="00781112">
              <w:rPr>
                <w:rFonts w:cs="Arial"/>
                <w:b/>
                <w:color w:val="000000" w:themeColor="text1"/>
                <w:szCs w:val="16"/>
              </w:rPr>
              <w:t>Date</w:t>
            </w:r>
          </w:p>
        </w:tc>
        <w:tc>
          <w:tcPr>
            <w:tcW w:w="1655" w:type="pct"/>
            <w:shd w:val="clear" w:color="auto" w:fill="auto"/>
          </w:tcPr>
          <w:p w14:paraId="52C3C7CB" w14:textId="77777777" w:rsidR="00372DF8" w:rsidRPr="00781112" w:rsidRDefault="00372DF8" w:rsidP="008E31C4">
            <w:pPr>
              <w:spacing w:after="0"/>
              <w:jc w:val="center"/>
              <w:rPr>
                <w:rFonts w:cs="Arial"/>
                <w:b/>
                <w:color w:val="000000" w:themeColor="text1"/>
                <w:szCs w:val="16"/>
              </w:rPr>
            </w:pPr>
            <w:r w:rsidRPr="00781112">
              <w:rPr>
                <w:rFonts w:cs="Arial"/>
                <w:b/>
                <w:color w:val="000000" w:themeColor="text1"/>
                <w:szCs w:val="16"/>
              </w:rPr>
              <w:t>Description</w:t>
            </w:r>
          </w:p>
        </w:tc>
        <w:tc>
          <w:tcPr>
            <w:tcW w:w="887" w:type="pct"/>
            <w:shd w:val="clear" w:color="auto" w:fill="auto"/>
          </w:tcPr>
          <w:p w14:paraId="3BD49A8D" w14:textId="77777777" w:rsidR="00372DF8" w:rsidRPr="00781112" w:rsidRDefault="00372DF8" w:rsidP="008E31C4">
            <w:pPr>
              <w:spacing w:after="0"/>
              <w:jc w:val="center"/>
              <w:rPr>
                <w:rFonts w:cs="Arial"/>
                <w:b/>
                <w:color w:val="000000" w:themeColor="text1"/>
                <w:szCs w:val="16"/>
              </w:rPr>
            </w:pPr>
            <w:r w:rsidRPr="00781112">
              <w:rPr>
                <w:rFonts w:cs="Arial"/>
                <w:b/>
                <w:color w:val="000000" w:themeColor="text1"/>
                <w:szCs w:val="16"/>
              </w:rPr>
              <w:t>Data</w:t>
            </w:r>
          </w:p>
        </w:tc>
      </w:tr>
      <w:tr w:rsidR="005C29F8" w:rsidRPr="00781112" w14:paraId="50C4DB70" w14:textId="77777777" w:rsidTr="00AB0D6A">
        <w:trPr>
          <w:trHeight w:val="380"/>
        </w:trPr>
        <w:tc>
          <w:tcPr>
            <w:tcW w:w="1207" w:type="pct"/>
            <w:shd w:val="clear" w:color="auto" w:fill="auto"/>
          </w:tcPr>
          <w:p w14:paraId="56F7D41B" w14:textId="55A36B40" w:rsidR="001126C3" w:rsidRPr="00781112" w:rsidRDefault="002B7490" w:rsidP="001126C3">
            <w:pPr>
              <w:jc w:val="center"/>
              <w:rPr>
                <w:rFonts w:cs="Arial"/>
                <w:color w:val="000000" w:themeColor="text1"/>
                <w:szCs w:val="16"/>
              </w:rPr>
            </w:pPr>
            <w:r w:rsidRPr="00781112">
              <w:rPr>
                <w:rFonts w:cs="Arial"/>
                <w:color w:val="000000" w:themeColor="text1"/>
                <w:szCs w:val="16"/>
              </w:rPr>
              <w:t>SY 2022-23 EMAPS IDEA Part B Dispute Resolution Survey; Section C: Due Process Complaints</w:t>
            </w:r>
          </w:p>
        </w:tc>
        <w:tc>
          <w:tcPr>
            <w:tcW w:w="1251" w:type="pct"/>
            <w:shd w:val="clear" w:color="auto" w:fill="auto"/>
          </w:tcPr>
          <w:p w14:paraId="7C90E97F" w14:textId="79564898" w:rsidR="001126C3" w:rsidRPr="00781112" w:rsidRDefault="008174C3" w:rsidP="001126C3">
            <w:pPr>
              <w:jc w:val="center"/>
              <w:rPr>
                <w:rFonts w:cs="Arial"/>
                <w:color w:val="000000" w:themeColor="text1"/>
                <w:szCs w:val="16"/>
              </w:rPr>
            </w:pPr>
            <w:r w:rsidRPr="00781112">
              <w:rPr>
                <w:rFonts w:cs="Arial"/>
                <w:color w:val="000000" w:themeColor="text1"/>
                <w:szCs w:val="16"/>
              </w:rPr>
              <w:t>11/15/2023</w:t>
            </w:r>
          </w:p>
        </w:tc>
        <w:tc>
          <w:tcPr>
            <w:tcW w:w="1655" w:type="pct"/>
            <w:shd w:val="clear" w:color="auto" w:fill="auto"/>
          </w:tcPr>
          <w:p w14:paraId="5E5A973C" w14:textId="77777777" w:rsidR="001126C3" w:rsidRPr="00781112" w:rsidRDefault="001126C3" w:rsidP="001126C3">
            <w:pPr>
              <w:rPr>
                <w:rFonts w:cs="Arial"/>
                <w:color w:val="000000" w:themeColor="text1"/>
                <w:szCs w:val="16"/>
              </w:rPr>
            </w:pPr>
            <w:r w:rsidRPr="00781112">
              <w:rPr>
                <w:rFonts w:cs="Arial"/>
                <w:color w:val="000000" w:themeColor="text1"/>
                <w:szCs w:val="16"/>
              </w:rPr>
              <w:t>3.1 Number of resolution sessions</w:t>
            </w:r>
          </w:p>
        </w:tc>
        <w:tc>
          <w:tcPr>
            <w:tcW w:w="887" w:type="pct"/>
            <w:shd w:val="clear" w:color="auto" w:fill="auto"/>
          </w:tcPr>
          <w:p w14:paraId="5468BA6D" w14:textId="1A6A859B" w:rsidR="001126C3" w:rsidRPr="00781112" w:rsidRDefault="002B7490" w:rsidP="00A018D4">
            <w:pPr>
              <w:jc w:val="center"/>
              <w:rPr>
                <w:rFonts w:cs="Arial"/>
                <w:color w:val="000000" w:themeColor="text1"/>
                <w:szCs w:val="16"/>
              </w:rPr>
            </w:pPr>
            <w:r w:rsidRPr="00781112">
              <w:rPr>
                <w:rFonts w:cs="Arial"/>
                <w:color w:val="000000" w:themeColor="text1"/>
                <w:szCs w:val="16"/>
              </w:rPr>
              <w:t>5</w:t>
            </w:r>
          </w:p>
        </w:tc>
      </w:tr>
      <w:tr w:rsidR="005C29F8" w:rsidRPr="00781112" w14:paraId="2E50DA19" w14:textId="77777777" w:rsidTr="00AB0D6A">
        <w:trPr>
          <w:trHeight w:val="380"/>
        </w:trPr>
        <w:tc>
          <w:tcPr>
            <w:tcW w:w="1207" w:type="pct"/>
            <w:shd w:val="clear" w:color="auto" w:fill="auto"/>
          </w:tcPr>
          <w:p w14:paraId="2B232A7C" w14:textId="7E2BE0F5" w:rsidR="001126C3" w:rsidRPr="00781112" w:rsidRDefault="008174C3" w:rsidP="001126C3">
            <w:pPr>
              <w:jc w:val="center"/>
              <w:rPr>
                <w:rFonts w:cs="Arial"/>
                <w:color w:val="000000" w:themeColor="text1"/>
                <w:szCs w:val="16"/>
              </w:rPr>
            </w:pPr>
            <w:r w:rsidRPr="00781112">
              <w:rPr>
                <w:rFonts w:cs="Arial"/>
                <w:color w:val="000000" w:themeColor="text1"/>
                <w:szCs w:val="16"/>
              </w:rPr>
              <w:t>SY 2022-23 EMAPS IDEA Part B Dispute Resolution Survey; Section C: Due Process Complaints</w:t>
            </w:r>
          </w:p>
        </w:tc>
        <w:tc>
          <w:tcPr>
            <w:tcW w:w="1251" w:type="pct"/>
            <w:shd w:val="clear" w:color="auto" w:fill="auto"/>
          </w:tcPr>
          <w:p w14:paraId="7F21A5DE" w14:textId="74620D03" w:rsidR="001126C3" w:rsidRPr="00781112" w:rsidRDefault="008174C3" w:rsidP="001126C3">
            <w:pPr>
              <w:jc w:val="center"/>
              <w:rPr>
                <w:rFonts w:cs="Arial"/>
                <w:color w:val="000000" w:themeColor="text1"/>
                <w:szCs w:val="16"/>
              </w:rPr>
            </w:pPr>
            <w:r w:rsidRPr="00781112">
              <w:rPr>
                <w:rFonts w:cs="Arial"/>
                <w:color w:val="000000" w:themeColor="text1"/>
                <w:szCs w:val="16"/>
              </w:rPr>
              <w:t>11/15/2023</w:t>
            </w:r>
          </w:p>
        </w:tc>
        <w:tc>
          <w:tcPr>
            <w:tcW w:w="1655" w:type="pct"/>
            <w:shd w:val="clear" w:color="auto" w:fill="auto"/>
          </w:tcPr>
          <w:p w14:paraId="48E53926" w14:textId="77777777" w:rsidR="001126C3" w:rsidRPr="00781112" w:rsidRDefault="001126C3" w:rsidP="001126C3">
            <w:pPr>
              <w:rPr>
                <w:rFonts w:cs="Arial"/>
                <w:color w:val="000000" w:themeColor="text1"/>
                <w:szCs w:val="16"/>
              </w:rPr>
            </w:pPr>
            <w:r w:rsidRPr="00781112">
              <w:rPr>
                <w:rFonts w:cs="Arial"/>
                <w:color w:val="000000" w:themeColor="text1"/>
                <w:szCs w:val="16"/>
              </w:rPr>
              <w:t>3.1(a) Number resolution sessions resolved through settlement agreements</w:t>
            </w:r>
          </w:p>
        </w:tc>
        <w:tc>
          <w:tcPr>
            <w:tcW w:w="887" w:type="pct"/>
            <w:shd w:val="clear" w:color="auto" w:fill="auto"/>
          </w:tcPr>
          <w:p w14:paraId="1CCE3841" w14:textId="455ECD7A" w:rsidR="001126C3" w:rsidRPr="00781112" w:rsidRDefault="002B7490" w:rsidP="00A018D4">
            <w:pPr>
              <w:jc w:val="center"/>
              <w:rPr>
                <w:rFonts w:cs="Arial"/>
                <w:color w:val="000000" w:themeColor="text1"/>
                <w:szCs w:val="16"/>
              </w:rPr>
            </w:pPr>
            <w:r w:rsidRPr="00781112">
              <w:rPr>
                <w:rFonts w:cs="Arial"/>
                <w:color w:val="000000" w:themeColor="text1"/>
                <w:szCs w:val="16"/>
              </w:rPr>
              <w:t>2</w:t>
            </w:r>
          </w:p>
        </w:tc>
      </w:tr>
    </w:tbl>
    <w:p w14:paraId="162CEFB3" w14:textId="55A4ED3A" w:rsidR="004A33CD" w:rsidRPr="00781112" w:rsidRDefault="00E31E29">
      <w:pPr>
        <w:rPr>
          <w:b/>
          <w:color w:val="000000" w:themeColor="text1"/>
        </w:rPr>
      </w:pPr>
      <w:bookmarkStart w:id="94" w:name="_Toc382731913"/>
      <w:bookmarkStart w:id="95" w:name="_Toc392159341"/>
      <w:r w:rsidRPr="00781112">
        <w:rPr>
          <w:b/>
          <w:color w:val="000000" w:themeColor="text1"/>
        </w:rPr>
        <w:t>Select yes if the data reported in this indicator are not the same as the State’s data reported under section 618 of the IDEA.</w:t>
      </w:r>
    </w:p>
    <w:p w14:paraId="619A5AA7" w14:textId="55E9BEAB" w:rsidR="004A33CD" w:rsidRPr="00781112" w:rsidRDefault="004A33CD">
      <w:pPr>
        <w:rPr>
          <w:color w:val="000000" w:themeColor="text1"/>
        </w:rPr>
      </w:pPr>
      <w:r w:rsidRPr="00781112">
        <w:rPr>
          <w:color w:val="000000" w:themeColor="text1"/>
        </w:rPr>
        <w:t>NO</w:t>
      </w:r>
    </w:p>
    <w:p w14:paraId="25CD6A7B" w14:textId="77777777" w:rsidR="000657A8" w:rsidRPr="00781112" w:rsidRDefault="000657A8" w:rsidP="004369B2">
      <w:pPr>
        <w:rPr>
          <w:color w:val="000000" w:themeColor="text1"/>
        </w:rPr>
      </w:pPr>
    </w:p>
    <w:p w14:paraId="2AFA559A" w14:textId="46CC9076" w:rsidR="000A2C83" w:rsidRPr="00781112" w:rsidRDefault="000A2C83" w:rsidP="004369B2">
      <w:pPr>
        <w:rPr>
          <w:b/>
          <w:color w:val="000000" w:themeColor="text1"/>
        </w:rPr>
      </w:pPr>
      <w:r w:rsidRPr="00781112">
        <w:rPr>
          <w:b/>
          <w:color w:val="000000" w:themeColor="text1"/>
        </w:rPr>
        <w:t xml:space="preserve">Targets: Description of Stakeholder Input </w:t>
      </w:r>
    </w:p>
    <w:p w14:paraId="43B1695A" w14:textId="2970A905" w:rsidR="000A2C83" w:rsidRPr="00781112" w:rsidRDefault="000A2C83" w:rsidP="000A2C83">
      <w:pPr>
        <w:rPr>
          <w:rFonts w:cs="Arial"/>
          <w:color w:val="000000" w:themeColor="text1"/>
          <w:szCs w:val="16"/>
        </w:rPr>
      </w:pPr>
    </w:p>
    <w:bookmarkEnd w:id="94"/>
    <w:bookmarkEnd w:id="95"/>
    <w:p w14:paraId="3A708A87" w14:textId="77777777" w:rsidR="00CE0C68" w:rsidRPr="00781112" w:rsidRDefault="00CE0C68" w:rsidP="00127006">
      <w:pPr>
        <w:pStyle w:val="Bold"/>
        <w:rPr>
          <w:color w:val="000000" w:themeColor="text1"/>
        </w:rPr>
      </w:pPr>
    </w:p>
    <w:p w14:paraId="4E8407A2" w14:textId="6977F9EE" w:rsidR="00EC46E4" w:rsidRPr="00781112" w:rsidRDefault="00EC46E4" w:rsidP="004369B2">
      <w:pPr>
        <w:rPr>
          <w:b/>
          <w:color w:val="000000" w:themeColor="text1"/>
        </w:rPr>
      </w:pPr>
      <w:r w:rsidRPr="00781112">
        <w:rPr>
          <w:b/>
          <w:color w:val="000000" w:themeColor="text1"/>
        </w:rPr>
        <w:t>Historical Data</w:t>
      </w:r>
    </w:p>
    <w:tbl>
      <w:tblPr>
        <w:tblStyle w:val="TableGrid"/>
        <w:tblW w:w="0" w:type="auto"/>
        <w:tblLayout w:type="fixed"/>
        <w:tblLook w:val="04A0" w:firstRow="1" w:lastRow="0" w:firstColumn="1" w:lastColumn="0" w:noHBand="0" w:noVBand="1"/>
        <w:tblCaption w:val="B15BASELINEDATA"/>
      </w:tblPr>
      <w:tblGrid>
        <w:gridCol w:w="1797"/>
        <w:gridCol w:w="1798"/>
      </w:tblGrid>
      <w:tr w:rsidR="00956DFE" w:rsidRPr="00781112" w14:paraId="4BC2AEC0" w14:textId="77777777" w:rsidTr="00123D76">
        <w:trPr>
          <w:trHeight w:val="311"/>
          <w:tblHeader/>
        </w:trPr>
        <w:tc>
          <w:tcPr>
            <w:tcW w:w="1797" w:type="dxa"/>
          </w:tcPr>
          <w:p w14:paraId="5C965FC2" w14:textId="77777777" w:rsidR="00956DFE" w:rsidRPr="00781112" w:rsidRDefault="00956DFE" w:rsidP="00123D76">
            <w:pPr>
              <w:jc w:val="center"/>
              <w:rPr>
                <w:b/>
                <w:color w:val="000000" w:themeColor="text1"/>
              </w:rPr>
            </w:pPr>
            <w:r w:rsidRPr="00781112">
              <w:rPr>
                <w:rFonts w:cs="Arial"/>
                <w:b/>
                <w:color w:val="000000" w:themeColor="text1"/>
                <w:szCs w:val="16"/>
              </w:rPr>
              <w:t>Baseline Year</w:t>
            </w:r>
          </w:p>
        </w:tc>
        <w:tc>
          <w:tcPr>
            <w:tcW w:w="1798" w:type="dxa"/>
          </w:tcPr>
          <w:p w14:paraId="0FE47E01" w14:textId="77777777" w:rsidR="00956DFE" w:rsidRPr="00781112" w:rsidRDefault="00956DFE" w:rsidP="00123D76">
            <w:pPr>
              <w:jc w:val="center"/>
              <w:rPr>
                <w:b/>
                <w:color w:val="000000" w:themeColor="text1"/>
              </w:rPr>
            </w:pPr>
            <w:r w:rsidRPr="00781112">
              <w:rPr>
                <w:b/>
                <w:color w:val="000000" w:themeColor="text1"/>
              </w:rPr>
              <w:t>Baseline Data</w:t>
            </w:r>
          </w:p>
        </w:tc>
      </w:tr>
      <w:tr w:rsidR="00956DFE" w:rsidRPr="00781112" w14:paraId="4061AB26" w14:textId="77777777" w:rsidTr="00123D76">
        <w:trPr>
          <w:trHeight w:val="311"/>
        </w:trPr>
        <w:tc>
          <w:tcPr>
            <w:tcW w:w="1797" w:type="dxa"/>
            <w:vAlign w:val="center"/>
          </w:tcPr>
          <w:p w14:paraId="06B6D30C" w14:textId="2AF9B55C" w:rsidR="00956DFE" w:rsidRPr="00781112" w:rsidRDefault="00956DFE" w:rsidP="00123D76">
            <w:pPr>
              <w:jc w:val="center"/>
              <w:rPr>
                <w:bCs/>
                <w:color w:val="000000" w:themeColor="text1"/>
              </w:rPr>
            </w:pPr>
            <w:r w:rsidRPr="00781112">
              <w:rPr>
                <w:bCs/>
                <w:color w:val="000000" w:themeColor="text1"/>
              </w:rPr>
              <w:t>2005</w:t>
            </w:r>
          </w:p>
        </w:tc>
        <w:tc>
          <w:tcPr>
            <w:tcW w:w="1798" w:type="dxa"/>
            <w:vAlign w:val="center"/>
          </w:tcPr>
          <w:p w14:paraId="2ECB17ED" w14:textId="53ECEEAF" w:rsidR="00956DFE" w:rsidRPr="00781112" w:rsidRDefault="00956DFE" w:rsidP="00123D76">
            <w:pPr>
              <w:jc w:val="center"/>
              <w:rPr>
                <w:bCs/>
                <w:color w:val="000000" w:themeColor="text1"/>
              </w:rPr>
            </w:pPr>
            <w:r w:rsidRPr="00781112">
              <w:rPr>
                <w:bCs/>
                <w:color w:val="000000" w:themeColor="text1"/>
              </w:rPr>
              <w:t>100.00%</w:t>
            </w:r>
          </w:p>
        </w:tc>
      </w:tr>
    </w:tbl>
    <w:p w14:paraId="3ABC15A0" w14:textId="77777777" w:rsidR="00956DFE" w:rsidRPr="00781112" w:rsidRDefault="00956DFE" w:rsidP="004369B2">
      <w:pPr>
        <w:rPr>
          <w:color w:val="000000" w:themeColor="text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B15HISTDATA"/>
      </w:tblPr>
      <w:tblGrid>
        <w:gridCol w:w="1798"/>
        <w:gridCol w:w="1798"/>
        <w:gridCol w:w="1798"/>
        <w:gridCol w:w="1798"/>
        <w:gridCol w:w="1798"/>
        <w:gridCol w:w="1800"/>
      </w:tblGrid>
      <w:tr w:rsidR="005C29F8" w:rsidRPr="00781112" w14:paraId="4E412341" w14:textId="77777777" w:rsidTr="004B2960">
        <w:trPr>
          <w:trHeight w:val="350"/>
        </w:trPr>
        <w:tc>
          <w:tcPr>
            <w:tcW w:w="833" w:type="pct"/>
            <w:tcBorders>
              <w:bottom w:val="single" w:sz="4" w:space="0" w:color="auto"/>
            </w:tcBorders>
            <w:shd w:val="clear" w:color="auto" w:fill="auto"/>
          </w:tcPr>
          <w:p w14:paraId="3BCF53D4" w14:textId="77777777" w:rsidR="00206890" w:rsidRPr="00781112" w:rsidRDefault="00206890" w:rsidP="004369B2">
            <w:pPr>
              <w:jc w:val="center"/>
              <w:rPr>
                <w:rFonts w:cs="Arial"/>
                <w:b/>
                <w:color w:val="000000" w:themeColor="text1"/>
                <w:szCs w:val="16"/>
              </w:rPr>
            </w:pPr>
            <w:r w:rsidRPr="00781112">
              <w:rPr>
                <w:rFonts w:cs="Arial"/>
                <w:b/>
                <w:color w:val="000000" w:themeColor="text1"/>
                <w:szCs w:val="16"/>
              </w:rPr>
              <w:t>FFY</w:t>
            </w:r>
          </w:p>
        </w:tc>
        <w:tc>
          <w:tcPr>
            <w:tcW w:w="833" w:type="pct"/>
            <w:shd w:val="clear" w:color="auto" w:fill="auto"/>
          </w:tcPr>
          <w:p w14:paraId="1BCFC70E" w14:textId="1BB5B5A8" w:rsidR="00206890" w:rsidRPr="00781112" w:rsidRDefault="002B7490" w:rsidP="008E31C4">
            <w:pPr>
              <w:jc w:val="center"/>
              <w:rPr>
                <w:rFonts w:cs="Arial"/>
                <w:b/>
                <w:color w:val="000000" w:themeColor="text1"/>
                <w:szCs w:val="16"/>
              </w:rPr>
            </w:pPr>
            <w:r w:rsidRPr="00781112">
              <w:rPr>
                <w:rFonts w:cs="Arial"/>
                <w:b/>
                <w:color w:val="000000" w:themeColor="text1"/>
                <w:szCs w:val="16"/>
              </w:rPr>
              <w:t>2017</w:t>
            </w:r>
          </w:p>
        </w:tc>
        <w:tc>
          <w:tcPr>
            <w:tcW w:w="833" w:type="pct"/>
            <w:shd w:val="clear" w:color="auto" w:fill="auto"/>
          </w:tcPr>
          <w:p w14:paraId="0D14322A" w14:textId="6BD4D2D0" w:rsidR="00206890" w:rsidRPr="00781112" w:rsidRDefault="002B7490" w:rsidP="008E31C4">
            <w:pPr>
              <w:jc w:val="center"/>
              <w:rPr>
                <w:rFonts w:cs="Arial"/>
                <w:b/>
                <w:color w:val="000000" w:themeColor="text1"/>
                <w:szCs w:val="16"/>
              </w:rPr>
            </w:pPr>
            <w:r w:rsidRPr="00781112">
              <w:rPr>
                <w:rFonts w:cs="Arial"/>
                <w:b/>
                <w:color w:val="000000" w:themeColor="text1"/>
                <w:szCs w:val="16"/>
              </w:rPr>
              <w:t>2018</w:t>
            </w:r>
          </w:p>
        </w:tc>
        <w:tc>
          <w:tcPr>
            <w:tcW w:w="833" w:type="pct"/>
            <w:shd w:val="clear" w:color="auto" w:fill="auto"/>
          </w:tcPr>
          <w:p w14:paraId="5AD53313" w14:textId="5FC8C632" w:rsidR="00206890" w:rsidRPr="00781112" w:rsidRDefault="002B7490" w:rsidP="008E31C4">
            <w:pPr>
              <w:jc w:val="center"/>
              <w:rPr>
                <w:rFonts w:cs="Arial"/>
                <w:b/>
                <w:color w:val="000000" w:themeColor="text1"/>
                <w:szCs w:val="16"/>
              </w:rPr>
            </w:pPr>
            <w:r w:rsidRPr="00781112">
              <w:rPr>
                <w:rFonts w:cs="Arial"/>
                <w:b/>
                <w:color w:val="000000" w:themeColor="text1"/>
                <w:szCs w:val="16"/>
              </w:rPr>
              <w:t>2019</w:t>
            </w:r>
          </w:p>
        </w:tc>
        <w:tc>
          <w:tcPr>
            <w:tcW w:w="833" w:type="pct"/>
            <w:shd w:val="clear" w:color="auto" w:fill="auto"/>
          </w:tcPr>
          <w:p w14:paraId="4015341F" w14:textId="703AE838" w:rsidR="00206890" w:rsidRPr="00781112" w:rsidRDefault="002B7490" w:rsidP="008E31C4">
            <w:pPr>
              <w:jc w:val="center"/>
              <w:rPr>
                <w:rFonts w:cs="Arial"/>
                <w:b/>
                <w:color w:val="000000" w:themeColor="text1"/>
                <w:szCs w:val="16"/>
              </w:rPr>
            </w:pPr>
            <w:r w:rsidRPr="00781112">
              <w:rPr>
                <w:rFonts w:cs="Arial"/>
                <w:b/>
                <w:color w:val="000000" w:themeColor="text1"/>
                <w:szCs w:val="16"/>
              </w:rPr>
              <w:t>2020</w:t>
            </w:r>
          </w:p>
        </w:tc>
        <w:tc>
          <w:tcPr>
            <w:tcW w:w="834" w:type="pct"/>
            <w:shd w:val="clear" w:color="auto" w:fill="auto"/>
          </w:tcPr>
          <w:p w14:paraId="087D6966" w14:textId="6C948B8E" w:rsidR="00206890" w:rsidRPr="00781112" w:rsidRDefault="002B7490" w:rsidP="008E31C4">
            <w:pPr>
              <w:jc w:val="center"/>
              <w:rPr>
                <w:rFonts w:cs="Arial"/>
                <w:b/>
                <w:color w:val="000000" w:themeColor="text1"/>
                <w:szCs w:val="16"/>
              </w:rPr>
            </w:pPr>
            <w:r w:rsidRPr="00781112">
              <w:rPr>
                <w:rFonts w:cs="Arial"/>
                <w:b/>
                <w:color w:val="000000" w:themeColor="text1"/>
                <w:szCs w:val="16"/>
              </w:rPr>
              <w:t>2021</w:t>
            </w:r>
          </w:p>
        </w:tc>
      </w:tr>
      <w:tr w:rsidR="005C29F8" w:rsidRPr="00781112" w14:paraId="2C55BF13" w14:textId="77777777" w:rsidTr="004B2960">
        <w:trPr>
          <w:trHeight w:val="357"/>
        </w:trPr>
        <w:tc>
          <w:tcPr>
            <w:tcW w:w="833" w:type="pct"/>
            <w:shd w:val="clear" w:color="auto" w:fill="auto"/>
          </w:tcPr>
          <w:p w14:paraId="33F24D1B" w14:textId="209B7194" w:rsidR="00206890" w:rsidRPr="00781112" w:rsidRDefault="00206890" w:rsidP="00BA3DBE">
            <w:pPr>
              <w:jc w:val="center"/>
              <w:rPr>
                <w:rFonts w:cs="Arial"/>
                <w:color w:val="000000" w:themeColor="text1"/>
                <w:szCs w:val="16"/>
              </w:rPr>
            </w:pPr>
            <w:r w:rsidRPr="00781112">
              <w:rPr>
                <w:rFonts w:cs="Arial"/>
                <w:color w:val="000000" w:themeColor="text1"/>
                <w:szCs w:val="16"/>
              </w:rPr>
              <w:t>Target &gt;=</w:t>
            </w:r>
          </w:p>
        </w:tc>
        <w:tc>
          <w:tcPr>
            <w:tcW w:w="833" w:type="pct"/>
            <w:shd w:val="clear" w:color="auto" w:fill="auto"/>
          </w:tcPr>
          <w:p w14:paraId="7184CC23" w14:textId="0660F716" w:rsidR="00206890" w:rsidRPr="00781112" w:rsidRDefault="002B7490" w:rsidP="00A018D4">
            <w:pPr>
              <w:jc w:val="center"/>
              <w:rPr>
                <w:rFonts w:cs="Arial"/>
                <w:color w:val="000000" w:themeColor="text1"/>
                <w:szCs w:val="16"/>
              </w:rPr>
            </w:pPr>
            <w:r w:rsidRPr="00781112">
              <w:rPr>
                <w:rFonts w:cs="Arial"/>
                <w:color w:val="000000" w:themeColor="text1"/>
                <w:szCs w:val="16"/>
              </w:rPr>
              <w:t>52.00%</w:t>
            </w:r>
          </w:p>
        </w:tc>
        <w:tc>
          <w:tcPr>
            <w:tcW w:w="833" w:type="pct"/>
            <w:shd w:val="clear" w:color="auto" w:fill="auto"/>
          </w:tcPr>
          <w:p w14:paraId="0E9857EC" w14:textId="50F3C2EF" w:rsidR="00206890" w:rsidRPr="00781112" w:rsidRDefault="002B7490" w:rsidP="00A018D4">
            <w:pPr>
              <w:jc w:val="center"/>
              <w:rPr>
                <w:rFonts w:cs="Arial"/>
                <w:color w:val="000000" w:themeColor="text1"/>
                <w:szCs w:val="16"/>
              </w:rPr>
            </w:pPr>
            <w:r w:rsidRPr="00781112">
              <w:rPr>
                <w:rFonts w:cs="Arial"/>
                <w:color w:val="000000" w:themeColor="text1"/>
                <w:szCs w:val="16"/>
              </w:rPr>
              <w:t>53.00%</w:t>
            </w:r>
          </w:p>
        </w:tc>
        <w:tc>
          <w:tcPr>
            <w:tcW w:w="833" w:type="pct"/>
            <w:shd w:val="clear" w:color="auto" w:fill="auto"/>
            <w:vAlign w:val="center"/>
          </w:tcPr>
          <w:p w14:paraId="0571C04B" w14:textId="328A30A7" w:rsidR="00206890" w:rsidRPr="00781112" w:rsidRDefault="002B7490" w:rsidP="00A018D4">
            <w:pPr>
              <w:jc w:val="center"/>
              <w:rPr>
                <w:rFonts w:cs="Arial"/>
                <w:color w:val="000000" w:themeColor="text1"/>
                <w:szCs w:val="16"/>
              </w:rPr>
            </w:pPr>
            <w:r w:rsidRPr="00781112">
              <w:rPr>
                <w:rFonts w:cs="Arial"/>
                <w:color w:val="000000" w:themeColor="text1"/>
                <w:szCs w:val="16"/>
              </w:rPr>
              <w:t>53.00%</w:t>
            </w:r>
          </w:p>
        </w:tc>
        <w:tc>
          <w:tcPr>
            <w:tcW w:w="833" w:type="pct"/>
            <w:shd w:val="clear" w:color="auto" w:fill="auto"/>
            <w:vAlign w:val="center"/>
          </w:tcPr>
          <w:p w14:paraId="77EAC2A0" w14:textId="7A794ABC" w:rsidR="00206890" w:rsidRPr="00781112" w:rsidRDefault="00206890" w:rsidP="00A018D4">
            <w:pPr>
              <w:jc w:val="center"/>
              <w:rPr>
                <w:rFonts w:cs="Arial"/>
                <w:color w:val="000000" w:themeColor="text1"/>
                <w:szCs w:val="16"/>
              </w:rPr>
            </w:pPr>
          </w:p>
        </w:tc>
        <w:tc>
          <w:tcPr>
            <w:tcW w:w="834" w:type="pct"/>
            <w:shd w:val="clear" w:color="auto" w:fill="auto"/>
            <w:vAlign w:val="center"/>
          </w:tcPr>
          <w:p w14:paraId="04397BF9" w14:textId="1A3506DC" w:rsidR="00206890" w:rsidRPr="00781112" w:rsidRDefault="00206890" w:rsidP="00A018D4">
            <w:pPr>
              <w:jc w:val="center"/>
              <w:rPr>
                <w:rFonts w:cs="Arial"/>
                <w:color w:val="000000" w:themeColor="text1"/>
                <w:szCs w:val="16"/>
              </w:rPr>
            </w:pPr>
          </w:p>
        </w:tc>
      </w:tr>
      <w:tr w:rsidR="005C29F8" w:rsidRPr="00781112" w14:paraId="10C8B4B5" w14:textId="77777777" w:rsidTr="004B2960">
        <w:trPr>
          <w:trHeight w:val="85"/>
        </w:trPr>
        <w:tc>
          <w:tcPr>
            <w:tcW w:w="833" w:type="pct"/>
            <w:shd w:val="clear" w:color="auto" w:fill="auto"/>
          </w:tcPr>
          <w:p w14:paraId="708FF78B" w14:textId="77777777" w:rsidR="00206890" w:rsidRPr="00781112" w:rsidRDefault="00206890" w:rsidP="00BA3DBE">
            <w:pPr>
              <w:jc w:val="center"/>
              <w:rPr>
                <w:rFonts w:cs="Arial"/>
                <w:color w:val="000000" w:themeColor="text1"/>
                <w:szCs w:val="16"/>
              </w:rPr>
            </w:pPr>
            <w:r w:rsidRPr="00781112">
              <w:rPr>
                <w:rFonts w:cs="Arial"/>
                <w:color w:val="000000" w:themeColor="text1"/>
                <w:szCs w:val="16"/>
              </w:rPr>
              <w:t>Data</w:t>
            </w:r>
          </w:p>
        </w:tc>
        <w:tc>
          <w:tcPr>
            <w:tcW w:w="833" w:type="pct"/>
            <w:shd w:val="clear" w:color="auto" w:fill="auto"/>
          </w:tcPr>
          <w:p w14:paraId="5E187FD0" w14:textId="3237A264" w:rsidR="00206890" w:rsidRPr="00781112" w:rsidRDefault="002B7490" w:rsidP="00A018D4">
            <w:pPr>
              <w:jc w:val="center"/>
              <w:rPr>
                <w:rFonts w:cs="Arial"/>
                <w:color w:val="000000" w:themeColor="text1"/>
                <w:szCs w:val="16"/>
              </w:rPr>
            </w:pPr>
            <w:r w:rsidRPr="00781112">
              <w:rPr>
                <w:rFonts w:cs="Arial"/>
                <w:color w:val="000000" w:themeColor="text1"/>
                <w:szCs w:val="16"/>
              </w:rPr>
              <w:t>54.55%</w:t>
            </w:r>
          </w:p>
        </w:tc>
        <w:tc>
          <w:tcPr>
            <w:tcW w:w="833" w:type="pct"/>
            <w:shd w:val="clear" w:color="auto" w:fill="auto"/>
          </w:tcPr>
          <w:p w14:paraId="6CEC3330" w14:textId="5E8A3E06" w:rsidR="00206890" w:rsidRPr="00781112" w:rsidRDefault="002B7490" w:rsidP="00A018D4">
            <w:pPr>
              <w:jc w:val="center"/>
              <w:rPr>
                <w:rFonts w:cs="Arial"/>
                <w:color w:val="000000" w:themeColor="text1"/>
                <w:szCs w:val="16"/>
              </w:rPr>
            </w:pPr>
            <w:r w:rsidRPr="00781112">
              <w:rPr>
                <w:rFonts w:cs="Arial"/>
                <w:color w:val="000000" w:themeColor="text1"/>
                <w:szCs w:val="16"/>
              </w:rPr>
              <w:t>54.55%</w:t>
            </w:r>
          </w:p>
        </w:tc>
        <w:tc>
          <w:tcPr>
            <w:tcW w:w="833" w:type="pct"/>
            <w:tcBorders>
              <w:bottom w:val="single" w:sz="4" w:space="0" w:color="auto"/>
            </w:tcBorders>
            <w:shd w:val="clear" w:color="auto" w:fill="auto"/>
            <w:vAlign w:val="center"/>
          </w:tcPr>
          <w:p w14:paraId="3C74B678" w14:textId="22746FF8" w:rsidR="00206890" w:rsidRPr="00781112" w:rsidRDefault="002B7490" w:rsidP="00A018D4">
            <w:pPr>
              <w:jc w:val="center"/>
              <w:rPr>
                <w:rFonts w:cs="Arial"/>
                <w:color w:val="000000" w:themeColor="text1"/>
                <w:szCs w:val="16"/>
              </w:rPr>
            </w:pPr>
            <w:r w:rsidRPr="00781112">
              <w:rPr>
                <w:rFonts w:cs="Arial"/>
                <w:color w:val="000000" w:themeColor="text1"/>
                <w:szCs w:val="16"/>
              </w:rPr>
              <w:t>55.56%</w:t>
            </w:r>
          </w:p>
        </w:tc>
        <w:tc>
          <w:tcPr>
            <w:tcW w:w="833" w:type="pct"/>
            <w:tcBorders>
              <w:bottom w:val="single" w:sz="4" w:space="0" w:color="auto"/>
            </w:tcBorders>
            <w:shd w:val="clear" w:color="auto" w:fill="auto"/>
            <w:vAlign w:val="center"/>
          </w:tcPr>
          <w:p w14:paraId="6488E126" w14:textId="74B63322" w:rsidR="00206890" w:rsidRPr="00781112" w:rsidRDefault="002B7490" w:rsidP="00A018D4">
            <w:pPr>
              <w:jc w:val="center"/>
              <w:rPr>
                <w:rFonts w:cs="Arial"/>
                <w:color w:val="000000" w:themeColor="text1"/>
                <w:szCs w:val="16"/>
              </w:rPr>
            </w:pPr>
            <w:r w:rsidRPr="00781112">
              <w:rPr>
                <w:rFonts w:cs="Arial"/>
                <w:color w:val="000000" w:themeColor="text1"/>
                <w:szCs w:val="16"/>
              </w:rPr>
              <w:t>33.33%</w:t>
            </w:r>
          </w:p>
        </w:tc>
        <w:tc>
          <w:tcPr>
            <w:tcW w:w="834" w:type="pct"/>
            <w:tcBorders>
              <w:bottom w:val="single" w:sz="4" w:space="0" w:color="auto"/>
            </w:tcBorders>
            <w:shd w:val="clear" w:color="auto" w:fill="auto"/>
            <w:vAlign w:val="center"/>
          </w:tcPr>
          <w:p w14:paraId="72325A8D" w14:textId="79CE876D" w:rsidR="00206890" w:rsidRPr="00781112" w:rsidRDefault="002B7490" w:rsidP="00A018D4">
            <w:pPr>
              <w:jc w:val="center"/>
              <w:rPr>
                <w:rFonts w:cs="Arial"/>
                <w:color w:val="000000" w:themeColor="text1"/>
                <w:szCs w:val="16"/>
              </w:rPr>
            </w:pPr>
            <w:r w:rsidRPr="00781112">
              <w:rPr>
                <w:rFonts w:cs="Arial"/>
                <w:color w:val="000000" w:themeColor="text1"/>
                <w:szCs w:val="16"/>
              </w:rPr>
              <w:t>12.50%</w:t>
            </w:r>
          </w:p>
        </w:tc>
      </w:tr>
    </w:tbl>
    <w:p w14:paraId="49D45707" w14:textId="4136C190" w:rsidR="00CE0C68" w:rsidRPr="00781112" w:rsidRDefault="00CE0C68">
      <w:pPr>
        <w:rPr>
          <w:color w:val="000000" w:themeColor="text1"/>
        </w:rPr>
      </w:pPr>
    </w:p>
    <w:p w14:paraId="0B3CADC6" w14:textId="0A7F1EFC" w:rsidR="00372DF8" w:rsidRPr="00781112" w:rsidRDefault="00372DF8" w:rsidP="004369B2">
      <w:pPr>
        <w:rPr>
          <w:color w:val="000000" w:themeColor="text1"/>
        </w:rPr>
      </w:pPr>
      <w:r w:rsidRPr="00781112">
        <w:rPr>
          <w:b/>
          <w:color w:val="000000" w:themeColor="text1"/>
        </w:rPr>
        <w:t>Targets</w:t>
      </w:r>
    </w:p>
    <w:tbl>
      <w:tblPr>
        <w:tblW w:w="352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BTARGETSOPT1"/>
      </w:tblPr>
      <w:tblGrid>
        <w:gridCol w:w="918"/>
        <w:gridCol w:w="2016"/>
        <w:gridCol w:w="1554"/>
        <w:gridCol w:w="1554"/>
        <w:gridCol w:w="1554"/>
      </w:tblGrid>
      <w:tr w:rsidR="00B67FCE" w:rsidRPr="00781112" w14:paraId="5B5B06C7" w14:textId="5314EC59" w:rsidTr="00845B9B">
        <w:trPr>
          <w:trHeight w:val="431"/>
        </w:trPr>
        <w:tc>
          <w:tcPr>
            <w:tcW w:w="604" w:type="pct"/>
            <w:tcBorders>
              <w:bottom w:val="single" w:sz="4" w:space="0" w:color="auto"/>
            </w:tcBorders>
            <w:shd w:val="clear" w:color="auto" w:fill="auto"/>
          </w:tcPr>
          <w:p w14:paraId="31E34DD6" w14:textId="77777777" w:rsidR="00B67FCE" w:rsidRPr="00781112" w:rsidRDefault="00B67FCE" w:rsidP="00AF574F">
            <w:pPr>
              <w:jc w:val="center"/>
              <w:rPr>
                <w:b/>
                <w:color w:val="000000" w:themeColor="text1"/>
              </w:rPr>
            </w:pPr>
            <w:r w:rsidRPr="00781112">
              <w:rPr>
                <w:b/>
                <w:color w:val="000000" w:themeColor="text1"/>
              </w:rPr>
              <w:t>FFY</w:t>
            </w:r>
          </w:p>
        </w:tc>
        <w:tc>
          <w:tcPr>
            <w:tcW w:w="1327" w:type="pct"/>
            <w:shd w:val="clear" w:color="auto" w:fill="auto"/>
          </w:tcPr>
          <w:p w14:paraId="782DDA76" w14:textId="193A6DE4" w:rsidR="00B67FCE" w:rsidRPr="00781112" w:rsidRDefault="00B67FCE" w:rsidP="00AF574F">
            <w:pPr>
              <w:jc w:val="center"/>
              <w:rPr>
                <w:b/>
                <w:color w:val="000000" w:themeColor="text1"/>
              </w:rPr>
            </w:pPr>
            <w:r w:rsidRPr="00781112">
              <w:rPr>
                <w:b/>
                <w:color w:val="000000" w:themeColor="text1"/>
              </w:rPr>
              <w:t>2022</w:t>
            </w:r>
          </w:p>
        </w:tc>
        <w:tc>
          <w:tcPr>
            <w:tcW w:w="1023" w:type="pct"/>
          </w:tcPr>
          <w:p w14:paraId="64BBFFA7" w14:textId="5A89DD6A" w:rsidR="00B67FCE" w:rsidRPr="00781112" w:rsidRDefault="00B67FCE" w:rsidP="00AD75EE">
            <w:pPr>
              <w:spacing w:before="0" w:after="200" w:line="276" w:lineRule="auto"/>
              <w:jc w:val="center"/>
            </w:pPr>
            <w:r w:rsidRPr="00781112">
              <w:rPr>
                <w:rFonts w:cs="Arial"/>
                <w:b/>
                <w:color w:val="000000" w:themeColor="text1"/>
                <w:szCs w:val="16"/>
              </w:rPr>
              <w:t>2023</w:t>
            </w:r>
          </w:p>
        </w:tc>
        <w:tc>
          <w:tcPr>
            <w:tcW w:w="1023" w:type="pct"/>
          </w:tcPr>
          <w:p w14:paraId="1B4B8409" w14:textId="760000D9" w:rsidR="00B67FCE" w:rsidRPr="00781112" w:rsidRDefault="00B67FCE" w:rsidP="00AD75EE">
            <w:pPr>
              <w:spacing w:before="0" w:after="200" w:line="276" w:lineRule="auto"/>
              <w:jc w:val="center"/>
            </w:pPr>
            <w:r w:rsidRPr="00781112">
              <w:rPr>
                <w:rFonts w:cs="Arial"/>
                <w:b/>
                <w:color w:val="000000" w:themeColor="text1"/>
                <w:szCs w:val="16"/>
              </w:rPr>
              <w:t>2024</w:t>
            </w:r>
          </w:p>
        </w:tc>
        <w:tc>
          <w:tcPr>
            <w:tcW w:w="1023" w:type="pct"/>
          </w:tcPr>
          <w:p w14:paraId="3B1502FE" w14:textId="792D80C3" w:rsidR="00B67FCE" w:rsidRPr="00781112" w:rsidRDefault="00B67FCE" w:rsidP="00AD75EE">
            <w:pPr>
              <w:spacing w:before="0" w:after="200" w:line="276" w:lineRule="auto"/>
              <w:jc w:val="center"/>
            </w:pPr>
            <w:r w:rsidRPr="00781112">
              <w:rPr>
                <w:rFonts w:cs="Arial"/>
                <w:b/>
                <w:color w:val="000000" w:themeColor="text1"/>
                <w:szCs w:val="16"/>
              </w:rPr>
              <w:t>2025</w:t>
            </w:r>
          </w:p>
        </w:tc>
      </w:tr>
      <w:tr w:rsidR="00B67FCE" w:rsidRPr="00781112" w14:paraId="2E97FCFB" w14:textId="76FCB4DE" w:rsidTr="00845B9B">
        <w:trPr>
          <w:trHeight w:val="521"/>
        </w:trPr>
        <w:tc>
          <w:tcPr>
            <w:tcW w:w="604" w:type="pct"/>
            <w:shd w:val="clear" w:color="auto" w:fill="auto"/>
          </w:tcPr>
          <w:p w14:paraId="4E1FED50" w14:textId="35E6081C" w:rsidR="00B67FCE" w:rsidRPr="00781112" w:rsidRDefault="00B67FCE" w:rsidP="00BA3DBE">
            <w:pPr>
              <w:jc w:val="center"/>
              <w:rPr>
                <w:rFonts w:cs="Arial"/>
                <w:color w:val="000000" w:themeColor="text1"/>
                <w:szCs w:val="16"/>
              </w:rPr>
            </w:pPr>
            <w:r w:rsidRPr="00781112">
              <w:rPr>
                <w:rFonts w:cs="Arial"/>
                <w:color w:val="000000" w:themeColor="text1"/>
                <w:szCs w:val="16"/>
              </w:rPr>
              <w:t>Target &gt;=</w:t>
            </w:r>
          </w:p>
        </w:tc>
        <w:tc>
          <w:tcPr>
            <w:tcW w:w="1327" w:type="pct"/>
            <w:shd w:val="clear" w:color="auto" w:fill="auto"/>
            <w:vAlign w:val="center"/>
          </w:tcPr>
          <w:p w14:paraId="39DFFAEB" w14:textId="54D1D7D6" w:rsidR="00B67FCE" w:rsidRPr="00781112" w:rsidRDefault="00B67FCE" w:rsidP="008D24E3">
            <w:pPr>
              <w:jc w:val="center"/>
              <w:rPr>
                <w:rFonts w:cs="Arial"/>
                <w:color w:val="000000" w:themeColor="text1"/>
                <w:szCs w:val="16"/>
              </w:rPr>
            </w:pPr>
          </w:p>
        </w:tc>
        <w:tc>
          <w:tcPr>
            <w:tcW w:w="1023" w:type="pct"/>
          </w:tcPr>
          <w:p w14:paraId="57B3A075" w14:textId="21F2B25E" w:rsidR="00B67FCE" w:rsidRPr="00781112" w:rsidRDefault="00B67FCE" w:rsidP="008D24E3">
            <w:pPr>
              <w:spacing w:before="0" w:after="200" w:line="276" w:lineRule="auto"/>
              <w:jc w:val="center"/>
            </w:pPr>
          </w:p>
        </w:tc>
        <w:tc>
          <w:tcPr>
            <w:tcW w:w="1023" w:type="pct"/>
          </w:tcPr>
          <w:p w14:paraId="211F936E" w14:textId="58F0DC2F" w:rsidR="00B67FCE" w:rsidRPr="00781112" w:rsidRDefault="00B67FCE" w:rsidP="008D24E3">
            <w:pPr>
              <w:spacing w:before="0" w:after="200" w:line="276" w:lineRule="auto"/>
              <w:jc w:val="center"/>
            </w:pPr>
          </w:p>
        </w:tc>
        <w:tc>
          <w:tcPr>
            <w:tcW w:w="1023" w:type="pct"/>
          </w:tcPr>
          <w:p w14:paraId="53679E27" w14:textId="6773FF8D" w:rsidR="00B67FCE" w:rsidRPr="00781112" w:rsidRDefault="00B67FCE" w:rsidP="008D24E3">
            <w:pPr>
              <w:spacing w:before="0" w:after="200" w:line="276" w:lineRule="auto"/>
              <w:jc w:val="center"/>
            </w:pPr>
          </w:p>
        </w:tc>
      </w:tr>
    </w:tbl>
    <w:p w14:paraId="25B7ED55" w14:textId="77777777" w:rsidR="00CE0C68" w:rsidRPr="00781112" w:rsidRDefault="00CE0C68" w:rsidP="004369B2">
      <w:pPr>
        <w:rPr>
          <w:color w:val="000000" w:themeColor="text1"/>
        </w:rPr>
      </w:pPr>
    </w:p>
    <w:p w14:paraId="639445A0" w14:textId="7291BDBF" w:rsidR="00634AD8" w:rsidRPr="00781112" w:rsidRDefault="0047313F">
      <w:pPr>
        <w:rPr>
          <w:b/>
          <w:color w:val="000000" w:themeColor="text1"/>
        </w:rPr>
      </w:pPr>
      <w:r>
        <w:rPr>
          <w:b/>
          <w:color w:val="000000" w:themeColor="text1"/>
        </w:rPr>
        <w:t>FFY 2022 SPP/APR Data</w:t>
      </w:r>
    </w:p>
    <w:p w14:paraId="59EF63A0" w14:textId="77777777" w:rsidR="00127006" w:rsidRPr="00781112" w:rsidRDefault="00127006" w:rsidP="004369B2">
      <w:pPr>
        <w:rPr>
          <w:color w:val="000000" w:themeColor="text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B15CFFYAPRDATA1OPT1"/>
      </w:tblPr>
      <w:tblGrid>
        <w:gridCol w:w="1634"/>
        <w:gridCol w:w="1625"/>
        <w:gridCol w:w="1271"/>
        <w:gridCol w:w="1908"/>
        <w:gridCol w:w="1493"/>
        <w:gridCol w:w="1452"/>
        <w:gridCol w:w="1407"/>
      </w:tblGrid>
      <w:tr w:rsidR="00B21923" w:rsidRPr="00781112" w14:paraId="7CE022CD" w14:textId="689D2875" w:rsidTr="00877012">
        <w:trPr>
          <w:trHeight w:val="354"/>
          <w:tblHeader/>
        </w:trPr>
        <w:tc>
          <w:tcPr>
            <w:tcW w:w="757" w:type="pct"/>
            <w:shd w:val="clear" w:color="auto" w:fill="auto"/>
            <w:vAlign w:val="bottom"/>
          </w:tcPr>
          <w:p w14:paraId="4A4004E2" w14:textId="77777777" w:rsidR="00B21923" w:rsidRPr="00781112" w:rsidRDefault="00B21923" w:rsidP="00B21923">
            <w:pPr>
              <w:jc w:val="center"/>
              <w:rPr>
                <w:rFonts w:cs="Arial"/>
                <w:b/>
                <w:color w:val="000000" w:themeColor="text1"/>
                <w:szCs w:val="16"/>
              </w:rPr>
            </w:pPr>
            <w:r w:rsidRPr="00781112">
              <w:rPr>
                <w:rFonts w:cs="Arial"/>
                <w:b/>
                <w:color w:val="000000" w:themeColor="text1"/>
                <w:szCs w:val="16"/>
              </w:rPr>
              <w:lastRenderedPageBreak/>
              <w:t>3.1(a) Number resolutions sessions resolved through settlement agreements</w:t>
            </w:r>
          </w:p>
        </w:tc>
        <w:tc>
          <w:tcPr>
            <w:tcW w:w="753" w:type="pct"/>
            <w:shd w:val="clear" w:color="auto" w:fill="auto"/>
            <w:vAlign w:val="bottom"/>
          </w:tcPr>
          <w:p w14:paraId="15083250" w14:textId="77777777" w:rsidR="00B21923" w:rsidRPr="00781112" w:rsidRDefault="00B21923" w:rsidP="00B21923">
            <w:pPr>
              <w:jc w:val="center"/>
              <w:rPr>
                <w:rFonts w:cs="Arial"/>
                <w:b/>
                <w:color w:val="000000" w:themeColor="text1"/>
                <w:szCs w:val="16"/>
              </w:rPr>
            </w:pPr>
            <w:r w:rsidRPr="00781112">
              <w:rPr>
                <w:rFonts w:cs="Arial"/>
                <w:b/>
                <w:color w:val="000000" w:themeColor="text1"/>
                <w:szCs w:val="16"/>
              </w:rPr>
              <w:t>3.1 Number of resolutions sessions</w:t>
            </w:r>
          </w:p>
        </w:tc>
        <w:tc>
          <w:tcPr>
            <w:tcW w:w="589" w:type="pct"/>
            <w:shd w:val="clear" w:color="auto" w:fill="auto"/>
            <w:vAlign w:val="bottom"/>
          </w:tcPr>
          <w:p w14:paraId="61FCEFFA" w14:textId="5C292F43" w:rsidR="00B21923" w:rsidRPr="006D0A52" w:rsidRDefault="00B21923" w:rsidP="00B21923">
            <w:pPr>
              <w:jc w:val="center"/>
              <w:rPr>
                <w:rFonts w:cs="Arial"/>
                <w:b/>
                <w:bCs/>
                <w:color w:val="000000" w:themeColor="text1"/>
                <w:szCs w:val="16"/>
              </w:rPr>
            </w:pPr>
            <w:r w:rsidRPr="006D0A52">
              <w:rPr>
                <w:b/>
                <w:bCs/>
              </w:rPr>
              <w:t>FFY 2021 Data</w:t>
            </w:r>
          </w:p>
        </w:tc>
        <w:tc>
          <w:tcPr>
            <w:tcW w:w="884" w:type="pct"/>
            <w:shd w:val="clear" w:color="auto" w:fill="auto"/>
            <w:vAlign w:val="bottom"/>
          </w:tcPr>
          <w:p w14:paraId="5285C3DA" w14:textId="33070651" w:rsidR="00B21923" w:rsidRPr="006D0A52" w:rsidRDefault="00B21923" w:rsidP="00B21923">
            <w:pPr>
              <w:jc w:val="center"/>
              <w:rPr>
                <w:rFonts w:cs="Arial"/>
                <w:b/>
                <w:bCs/>
                <w:color w:val="000000" w:themeColor="text1"/>
                <w:szCs w:val="16"/>
              </w:rPr>
            </w:pPr>
            <w:r w:rsidRPr="006D0A52">
              <w:rPr>
                <w:b/>
                <w:bCs/>
              </w:rPr>
              <w:t>FFY 2022 Target</w:t>
            </w:r>
          </w:p>
        </w:tc>
        <w:tc>
          <w:tcPr>
            <w:tcW w:w="692" w:type="pct"/>
            <w:shd w:val="clear" w:color="auto" w:fill="auto"/>
            <w:vAlign w:val="bottom"/>
          </w:tcPr>
          <w:p w14:paraId="767EE33A" w14:textId="2F8A1743" w:rsidR="00B21923" w:rsidRPr="006D0A52" w:rsidRDefault="00B21923" w:rsidP="00B21923">
            <w:pPr>
              <w:jc w:val="center"/>
              <w:rPr>
                <w:rFonts w:cs="Arial"/>
                <w:b/>
                <w:bCs/>
                <w:color w:val="000000" w:themeColor="text1"/>
                <w:szCs w:val="16"/>
              </w:rPr>
            </w:pPr>
            <w:r w:rsidRPr="006D0A52">
              <w:rPr>
                <w:b/>
                <w:bCs/>
              </w:rPr>
              <w:t>FFY 2022 Data</w:t>
            </w:r>
          </w:p>
        </w:tc>
        <w:tc>
          <w:tcPr>
            <w:tcW w:w="673" w:type="pct"/>
            <w:shd w:val="clear" w:color="auto" w:fill="auto"/>
            <w:vAlign w:val="bottom"/>
          </w:tcPr>
          <w:p w14:paraId="3FC7FD1C" w14:textId="7EA4D921" w:rsidR="00B21923" w:rsidRPr="00781112" w:rsidRDefault="00B21923" w:rsidP="00B21923">
            <w:pPr>
              <w:jc w:val="center"/>
              <w:rPr>
                <w:rFonts w:cs="Arial"/>
                <w:b/>
                <w:color w:val="000000" w:themeColor="text1"/>
                <w:szCs w:val="16"/>
              </w:rPr>
            </w:pPr>
            <w:r w:rsidRPr="00781112">
              <w:rPr>
                <w:rFonts w:cs="Arial"/>
                <w:b/>
                <w:color w:val="000000" w:themeColor="text1"/>
                <w:szCs w:val="16"/>
              </w:rPr>
              <w:t>Status</w:t>
            </w:r>
          </w:p>
        </w:tc>
        <w:tc>
          <w:tcPr>
            <w:tcW w:w="652" w:type="pct"/>
            <w:shd w:val="clear" w:color="auto" w:fill="auto"/>
            <w:vAlign w:val="bottom"/>
          </w:tcPr>
          <w:p w14:paraId="7025F3A2" w14:textId="466A0744" w:rsidR="00B21923" w:rsidRPr="00781112" w:rsidRDefault="00B21923" w:rsidP="00B21923">
            <w:pPr>
              <w:jc w:val="center"/>
              <w:rPr>
                <w:rFonts w:cs="Arial"/>
                <w:b/>
                <w:color w:val="000000" w:themeColor="text1"/>
                <w:szCs w:val="16"/>
              </w:rPr>
            </w:pPr>
            <w:r w:rsidRPr="00781112">
              <w:rPr>
                <w:rFonts w:cs="Arial"/>
                <w:b/>
                <w:color w:val="000000" w:themeColor="text1"/>
                <w:szCs w:val="16"/>
              </w:rPr>
              <w:t>Slippage</w:t>
            </w:r>
          </w:p>
        </w:tc>
      </w:tr>
      <w:tr w:rsidR="005C29F8" w:rsidRPr="00781112" w14:paraId="104AFA36" w14:textId="7B00739A" w:rsidTr="00877012">
        <w:trPr>
          <w:trHeight w:val="361"/>
        </w:trPr>
        <w:tc>
          <w:tcPr>
            <w:tcW w:w="757" w:type="pct"/>
            <w:shd w:val="clear" w:color="auto" w:fill="auto"/>
            <w:vAlign w:val="center"/>
          </w:tcPr>
          <w:p w14:paraId="3DA400B1" w14:textId="063A879F" w:rsidR="00372DF8" w:rsidRPr="00781112" w:rsidRDefault="002B7490" w:rsidP="00A018D4">
            <w:pPr>
              <w:jc w:val="center"/>
              <w:rPr>
                <w:rFonts w:cs="Arial"/>
                <w:color w:val="000000" w:themeColor="text1"/>
                <w:szCs w:val="16"/>
              </w:rPr>
            </w:pPr>
            <w:r w:rsidRPr="00781112">
              <w:rPr>
                <w:rFonts w:cs="Arial"/>
                <w:color w:val="000000" w:themeColor="text1"/>
                <w:szCs w:val="16"/>
              </w:rPr>
              <w:t>2</w:t>
            </w:r>
          </w:p>
        </w:tc>
        <w:tc>
          <w:tcPr>
            <w:tcW w:w="753" w:type="pct"/>
            <w:shd w:val="clear" w:color="auto" w:fill="auto"/>
          </w:tcPr>
          <w:p w14:paraId="57BB67A2" w14:textId="2B997355" w:rsidR="00372DF8" w:rsidRPr="00781112" w:rsidRDefault="002B7490" w:rsidP="00A018D4">
            <w:pPr>
              <w:jc w:val="center"/>
              <w:rPr>
                <w:rFonts w:cs="Arial"/>
                <w:color w:val="000000" w:themeColor="text1"/>
                <w:szCs w:val="16"/>
              </w:rPr>
            </w:pPr>
            <w:r w:rsidRPr="00781112">
              <w:rPr>
                <w:rFonts w:cs="Arial"/>
                <w:color w:val="000000" w:themeColor="text1"/>
                <w:szCs w:val="16"/>
              </w:rPr>
              <w:t>5</w:t>
            </w:r>
          </w:p>
        </w:tc>
        <w:tc>
          <w:tcPr>
            <w:tcW w:w="589" w:type="pct"/>
            <w:shd w:val="clear" w:color="auto" w:fill="auto"/>
          </w:tcPr>
          <w:p w14:paraId="759C2AEB" w14:textId="7C5FF94E" w:rsidR="00372DF8" w:rsidRPr="00781112" w:rsidRDefault="002B7490" w:rsidP="00A018D4">
            <w:pPr>
              <w:jc w:val="center"/>
              <w:rPr>
                <w:rFonts w:cs="Arial"/>
                <w:color w:val="000000" w:themeColor="text1"/>
                <w:szCs w:val="16"/>
              </w:rPr>
            </w:pPr>
            <w:r w:rsidRPr="00781112">
              <w:rPr>
                <w:rFonts w:cs="Arial"/>
                <w:color w:val="000000" w:themeColor="text1"/>
                <w:szCs w:val="16"/>
              </w:rPr>
              <w:t>12.50%</w:t>
            </w:r>
          </w:p>
        </w:tc>
        <w:tc>
          <w:tcPr>
            <w:tcW w:w="884" w:type="pct"/>
            <w:shd w:val="clear" w:color="auto" w:fill="auto"/>
          </w:tcPr>
          <w:p w14:paraId="446CA14A" w14:textId="2AFBAFDB" w:rsidR="00372DF8" w:rsidRPr="00781112" w:rsidRDefault="00372DF8" w:rsidP="00A018D4">
            <w:pPr>
              <w:jc w:val="center"/>
              <w:rPr>
                <w:rFonts w:cs="Arial"/>
                <w:color w:val="000000" w:themeColor="text1"/>
                <w:szCs w:val="16"/>
              </w:rPr>
            </w:pPr>
          </w:p>
        </w:tc>
        <w:tc>
          <w:tcPr>
            <w:tcW w:w="692" w:type="pct"/>
            <w:shd w:val="clear" w:color="auto" w:fill="auto"/>
          </w:tcPr>
          <w:p w14:paraId="4B8389D1" w14:textId="31159250" w:rsidR="00372DF8" w:rsidRPr="00781112" w:rsidRDefault="002B7490" w:rsidP="00A018D4">
            <w:pPr>
              <w:jc w:val="center"/>
              <w:rPr>
                <w:rFonts w:cs="Arial"/>
                <w:color w:val="000000" w:themeColor="text1"/>
                <w:szCs w:val="16"/>
              </w:rPr>
            </w:pPr>
            <w:r w:rsidRPr="00781112">
              <w:rPr>
                <w:rFonts w:cs="Arial"/>
                <w:color w:val="000000" w:themeColor="text1"/>
                <w:szCs w:val="16"/>
              </w:rPr>
              <w:t>40.00%</w:t>
            </w:r>
          </w:p>
        </w:tc>
        <w:tc>
          <w:tcPr>
            <w:tcW w:w="673" w:type="pct"/>
            <w:shd w:val="clear" w:color="auto" w:fill="auto"/>
          </w:tcPr>
          <w:p w14:paraId="73DE10E2" w14:textId="0659DF1D" w:rsidR="00372DF8" w:rsidRPr="00781112" w:rsidRDefault="002B7490" w:rsidP="00A018D4">
            <w:pPr>
              <w:jc w:val="center"/>
              <w:rPr>
                <w:rFonts w:cs="Arial"/>
                <w:color w:val="000000" w:themeColor="text1"/>
                <w:szCs w:val="16"/>
              </w:rPr>
            </w:pPr>
            <w:r w:rsidRPr="00781112">
              <w:rPr>
                <w:rFonts w:cs="Arial"/>
                <w:color w:val="000000" w:themeColor="text1"/>
                <w:szCs w:val="16"/>
              </w:rPr>
              <w:t>N/A</w:t>
            </w:r>
          </w:p>
        </w:tc>
        <w:tc>
          <w:tcPr>
            <w:tcW w:w="652" w:type="pct"/>
            <w:shd w:val="clear" w:color="auto" w:fill="auto"/>
          </w:tcPr>
          <w:p w14:paraId="5B5FCE8F" w14:textId="2E877FC8" w:rsidR="00372DF8" w:rsidRPr="00781112" w:rsidRDefault="002B7490" w:rsidP="00A018D4">
            <w:pPr>
              <w:jc w:val="center"/>
              <w:rPr>
                <w:rFonts w:cs="Arial"/>
                <w:color w:val="000000" w:themeColor="text1"/>
                <w:szCs w:val="16"/>
              </w:rPr>
            </w:pPr>
            <w:r w:rsidRPr="00781112">
              <w:rPr>
                <w:rFonts w:cs="Arial"/>
                <w:color w:val="000000" w:themeColor="text1"/>
                <w:szCs w:val="16"/>
              </w:rPr>
              <w:t>N/A</w:t>
            </w:r>
          </w:p>
        </w:tc>
      </w:tr>
    </w:tbl>
    <w:p w14:paraId="41C1290A" w14:textId="0F368A1B" w:rsidR="00913A33" w:rsidRPr="00781112" w:rsidRDefault="00913A33" w:rsidP="00913A33">
      <w:pPr>
        <w:rPr>
          <w:rFonts w:cs="Arial"/>
          <w:b/>
          <w:color w:val="000000" w:themeColor="text1"/>
          <w:szCs w:val="16"/>
        </w:rPr>
      </w:pPr>
      <w:r w:rsidRPr="00781112">
        <w:rPr>
          <w:rFonts w:cs="Arial"/>
          <w:b/>
          <w:color w:val="000000" w:themeColor="text1"/>
          <w:szCs w:val="16"/>
        </w:rPr>
        <w:t>Provide additional information about this indicator (optional)</w:t>
      </w:r>
    </w:p>
    <w:p w14:paraId="225AF7B0" w14:textId="0953EFAC" w:rsidR="00293C7E" w:rsidRPr="00781112" w:rsidRDefault="00293C7E" w:rsidP="007D435F">
      <w:pPr>
        <w:rPr>
          <w:rFonts w:cs="Arial"/>
          <w:color w:val="000000" w:themeColor="text1"/>
          <w:szCs w:val="16"/>
        </w:rPr>
      </w:pPr>
    </w:p>
    <w:p w14:paraId="69486921" w14:textId="29EDB346" w:rsidR="00293C7E" w:rsidRPr="00781112" w:rsidRDefault="00DF2D3A" w:rsidP="00123D76">
      <w:pPr>
        <w:pStyle w:val="Heading2"/>
      </w:pPr>
      <w:r w:rsidRPr="00781112">
        <w:t>15</w:t>
      </w:r>
      <w:r w:rsidR="001D508D" w:rsidRPr="00781112">
        <w:t xml:space="preserve"> </w:t>
      </w:r>
      <w:r w:rsidRPr="00781112">
        <w:t xml:space="preserve">- </w:t>
      </w:r>
      <w:r w:rsidR="00293C7E" w:rsidRPr="00781112">
        <w:t>Prior FFY Required Actions</w:t>
      </w:r>
    </w:p>
    <w:p w14:paraId="19F5FEB1" w14:textId="2905DE18" w:rsidR="00293C7E" w:rsidRPr="00781112" w:rsidRDefault="002B7490" w:rsidP="00293C7E">
      <w:pPr>
        <w:rPr>
          <w:rFonts w:cs="Arial"/>
          <w:color w:val="000000" w:themeColor="text1"/>
          <w:szCs w:val="16"/>
        </w:rPr>
      </w:pPr>
      <w:r w:rsidRPr="00781112">
        <w:rPr>
          <w:rFonts w:cs="Arial"/>
          <w:color w:val="000000" w:themeColor="text1"/>
          <w:szCs w:val="16"/>
        </w:rPr>
        <w:t>None</w:t>
      </w:r>
    </w:p>
    <w:p w14:paraId="6506D351" w14:textId="1F034745" w:rsidR="00913A33" w:rsidRPr="00781112" w:rsidRDefault="00DF2D3A" w:rsidP="00123D76">
      <w:pPr>
        <w:pStyle w:val="Heading2"/>
      </w:pPr>
      <w:r w:rsidRPr="00781112">
        <w:t>15 - OSEP Response</w:t>
      </w:r>
    </w:p>
    <w:p w14:paraId="639FEA08" w14:textId="30C19155" w:rsidR="00293C7E" w:rsidRPr="00781112" w:rsidRDefault="002B7490" w:rsidP="001F692C">
      <w:pPr>
        <w:rPr>
          <w:rFonts w:cs="Arial"/>
          <w:color w:val="000000" w:themeColor="text1"/>
          <w:szCs w:val="16"/>
        </w:rPr>
      </w:pPr>
      <w:r w:rsidRPr="00781112">
        <w:rPr>
          <w:rFonts w:cs="Arial"/>
          <w:color w:val="000000" w:themeColor="text1"/>
          <w:szCs w:val="16"/>
        </w:rPr>
        <w:t>The State reported fewer than ten resolution sessions held in FFY 2022. The State is not required to provide targets until any fiscal year in which ten or more resolution sessions were held.</w:t>
      </w:r>
    </w:p>
    <w:p w14:paraId="7634025D" w14:textId="5BD1D671" w:rsidR="00913A33" w:rsidRPr="00781112" w:rsidRDefault="00DF2D3A" w:rsidP="00123D76">
      <w:pPr>
        <w:pStyle w:val="Heading2"/>
      </w:pPr>
      <w:r w:rsidRPr="00781112">
        <w:t>15 - Required Actions</w:t>
      </w:r>
    </w:p>
    <w:p w14:paraId="06C735B1" w14:textId="277EA689" w:rsidR="00293C7E" w:rsidRPr="00781112" w:rsidRDefault="00293C7E" w:rsidP="001F692C">
      <w:pPr>
        <w:rPr>
          <w:rFonts w:cs="Arial"/>
          <w:color w:val="000000" w:themeColor="text1"/>
          <w:szCs w:val="16"/>
        </w:rPr>
      </w:pPr>
    </w:p>
    <w:p w14:paraId="259DEDCC" w14:textId="77777777" w:rsidR="000C60E1" w:rsidRPr="00781112" w:rsidRDefault="000C60E1">
      <w:pPr>
        <w:spacing w:before="0" w:after="200" w:line="276" w:lineRule="auto"/>
        <w:rPr>
          <w:rFonts w:eastAsiaTheme="majorEastAsia" w:cs="Arial"/>
          <w:b/>
          <w:bCs/>
          <w:color w:val="000000" w:themeColor="text1"/>
          <w:szCs w:val="16"/>
        </w:rPr>
      </w:pPr>
      <w:r w:rsidRPr="00781112">
        <w:rPr>
          <w:rFonts w:cs="Arial"/>
          <w:color w:val="000000" w:themeColor="text1"/>
          <w:szCs w:val="16"/>
        </w:rPr>
        <w:br w:type="page"/>
      </w:r>
    </w:p>
    <w:p w14:paraId="53B0D4FE" w14:textId="095B9B99" w:rsidR="007F0CEC" w:rsidRPr="00781112" w:rsidRDefault="007F0CEC" w:rsidP="000444E2">
      <w:pPr>
        <w:pStyle w:val="Heading1"/>
        <w:rPr>
          <w:color w:val="000000" w:themeColor="text1"/>
          <w:sz w:val="22"/>
        </w:rPr>
      </w:pPr>
      <w:r w:rsidRPr="00781112">
        <w:rPr>
          <w:color w:val="000000" w:themeColor="text1"/>
          <w:sz w:val="22"/>
        </w:rPr>
        <w:lastRenderedPageBreak/>
        <w:t>Indicator 16: Mediation</w:t>
      </w:r>
    </w:p>
    <w:p w14:paraId="589E185D" w14:textId="77777777" w:rsidR="00BF232E" w:rsidRPr="00781112" w:rsidRDefault="00BF232E" w:rsidP="00A018D4">
      <w:pPr>
        <w:rPr>
          <w:color w:val="000000" w:themeColor="text1"/>
          <w:szCs w:val="20"/>
        </w:rPr>
      </w:pPr>
      <w:bookmarkStart w:id="96" w:name="_Toc382731916"/>
      <w:bookmarkStart w:id="97" w:name="_Toc392159344"/>
      <w:r w:rsidRPr="00781112">
        <w:rPr>
          <w:b/>
          <w:color w:val="000000" w:themeColor="text1"/>
          <w:sz w:val="20"/>
          <w:szCs w:val="20"/>
        </w:rPr>
        <w:t>Instructions and Measurement</w:t>
      </w:r>
    </w:p>
    <w:p w14:paraId="41E7E4F9" w14:textId="500BC36F" w:rsidR="009B6586" w:rsidRPr="00781112" w:rsidRDefault="009B6586" w:rsidP="008E31C4">
      <w:pPr>
        <w:rPr>
          <w:rFonts w:cs="Arial"/>
          <w:color w:val="000000" w:themeColor="text1"/>
          <w:szCs w:val="16"/>
        </w:rPr>
      </w:pPr>
      <w:r w:rsidRPr="00781112">
        <w:rPr>
          <w:rFonts w:cs="Arial"/>
          <w:b/>
          <w:color w:val="000000" w:themeColor="text1"/>
          <w:szCs w:val="16"/>
        </w:rPr>
        <w:t>Monitoring Priority</w:t>
      </w:r>
      <w:r w:rsidRPr="00781112">
        <w:rPr>
          <w:rFonts w:cs="Arial"/>
          <w:color w:val="000000" w:themeColor="text1"/>
          <w:szCs w:val="16"/>
        </w:rPr>
        <w:t>: Effective General Supervision Part B / General Supervision</w:t>
      </w:r>
    </w:p>
    <w:p w14:paraId="573A26D5" w14:textId="77777777" w:rsidR="00692B95" w:rsidRPr="00781112" w:rsidRDefault="009B6586" w:rsidP="008E31C4">
      <w:pPr>
        <w:rPr>
          <w:rFonts w:cs="Arial"/>
          <w:color w:val="000000" w:themeColor="text1"/>
          <w:szCs w:val="16"/>
        </w:rPr>
      </w:pPr>
      <w:r w:rsidRPr="00781112">
        <w:rPr>
          <w:rFonts w:cs="Arial"/>
          <w:b/>
          <w:color w:val="000000" w:themeColor="text1"/>
          <w:szCs w:val="16"/>
        </w:rPr>
        <w:t>Results indicator:</w:t>
      </w:r>
      <w:r w:rsidRPr="00781112">
        <w:rPr>
          <w:rFonts w:cs="Arial"/>
          <w:color w:val="000000" w:themeColor="text1"/>
          <w:szCs w:val="16"/>
        </w:rPr>
        <w:t xml:space="preserve"> Percent of mediations held that resulted in mediation agreements.</w:t>
      </w:r>
      <w:r w:rsidR="00131842" w:rsidRPr="00781112">
        <w:rPr>
          <w:rFonts w:cs="Arial"/>
          <w:color w:val="000000" w:themeColor="text1"/>
          <w:szCs w:val="16"/>
        </w:rPr>
        <w:t xml:space="preserve"> </w:t>
      </w:r>
    </w:p>
    <w:p w14:paraId="7847EFFB" w14:textId="03A11F4B" w:rsidR="009B6586" w:rsidRPr="00781112" w:rsidRDefault="009B6586" w:rsidP="008E31C4">
      <w:pPr>
        <w:rPr>
          <w:rFonts w:cs="Arial"/>
          <w:color w:val="000000" w:themeColor="text1"/>
          <w:szCs w:val="16"/>
        </w:rPr>
      </w:pPr>
      <w:r w:rsidRPr="00781112">
        <w:rPr>
          <w:rFonts w:cs="Arial"/>
          <w:color w:val="000000" w:themeColor="text1"/>
          <w:szCs w:val="16"/>
        </w:rPr>
        <w:t>(20 U.S.C. 1416(a)(3(B))</w:t>
      </w:r>
    </w:p>
    <w:p w14:paraId="0F859DBB" w14:textId="77777777" w:rsidR="00692B95" w:rsidRPr="00781112" w:rsidRDefault="00692B95" w:rsidP="004369B2">
      <w:pPr>
        <w:rPr>
          <w:color w:val="000000" w:themeColor="text1"/>
        </w:rPr>
      </w:pPr>
      <w:r w:rsidRPr="00781112">
        <w:rPr>
          <w:b/>
          <w:color w:val="000000" w:themeColor="text1"/>
        </w:rPr>
        <w:t>Data Source</w:t>
      </w:r>
    </w:p>
    <w:p w14:paraId="1400D43F" w14:textId="253D0B1A" w:rsidR="00692B95" w:rsidRPr="00781112" w:rsidRDefault="00692B95" w:rsidP="008E31C4">
      <w:pPr>
        <w:rPr>
          <w:rFonts w:cs="Arial"/>
          <w:color w:val="000000" w:themeColor="text1"/>
          <w:szCs w:val="16"/>
        </w:rPr>
      </w:pPr>
      <w:r w:rsidRPr="00781112">
        <w:rPr>
          <w:rFonts w:cs="Arial"/>
          <w:color w:val="000000" w:themeColor="text1"/>
          <w:szCs w:val="16"/>
        </w:rPr>
        <w:t>Data collected under section 618 of the IDEA (IDEA Part B Dispute Resolution Survey in the ED</w:t>
      </w:r>
      <w:r w:rsidRPr="00BA3DBE">
        <w:rPr>
          <w:rFonts w:cs="Arial"/>
          <w:i/>
          <w:iCs/>
          <w:color w:val="000000" w:themeColor="text1"/>
          <w:szCs w:val="16"/>
        </w:rPr>
        <w:t>Facts</w:t>
      </w:r>
      <w:r w:rsidRPr="00781112">
        <w:rPr>
          <w:rFonts w:cs="Arial"/>
          <w:color w:val="000000" w:themeColor="text1"/>
          <w:szCs w:val="16"/>
        </w:rPr>
        <w:t xml:space="preserve"> Metadata and Process System (E</w:t>
      </w:r>
      <w:r w:rsidR="00E65E32" w:rsidRPr="00781112">
        <w:rPr>
          <w:rFonts w:cs="Arial"/>
          <w:i/>
          <w:color w:val="000000" w:themeColor="text1"/>
          <w:szCs w:val="16"/>
        </w:rPr>
        <w:t>MAPS</w:t>
      </w:r>
      <w:r w:rsidRPr="00781112">
        <w:rPr>
          <w:rFonts w:cs="Arial"/>
          <w:color w:val="000000" w:themeColor="text1"/>
          <w:szCs w:val="16"/>
        </w:rPr>
        <w:t>)).</w:t>
      </w:r>
    </w:p>
    <w:p w14:paraId="7EDB2909" w14:textId="77777777" w:rsidR="00692B95" w:rsidRPr="00781112" w:rsidRDefault="00692B95" w:rsidP="004369B2">
      <w:pPr>
        <w:rPr>
          <w:color w:val="000000" w:themeColor="text1"/>
        </w:rPr>
      </w:pPr>
      <w:r w:rsidRPr="00781112">
        <w:rPr>
          <w:b/>
          <w:color w:val="000000" w:themeColor="text1"/>
        </w:rPr>
        <w:t>Measurement</w:t>
      </w:r>
    </w:p>
    <w:p w14:paraId="38C2284B" w14:textId="1E75D304" w:rsidR="00692B95" w:rsidRPr="00781112" w:rsidRDefault="00692B95" w:rsidP="008E31C4">
      <w:pPr>
        <w:rPr>
          <w:rFonts w:cs="Arial"/>
          <w:color w:val="000000" w:themeColor="text1"/>
          <w:szCs w:val="16"/>
        </w:rPr>
      </w:pPr>
      <w:r w:rsidRPr="00781112">
        <w:rPr>
          <w:rFonts w:cs="Arial"/>
          <w:color w:val="000000" w:themeColor="text1"/>
          <w:szCs w:val="16"/>
        </w:rPr>
        <w:t>Percent = (2.1(a)(</w:t>
      </w:r>
      <w:proofErr w:type="spellStart"/>
      <w:r w:rsidRPr="00781112">
        <w:rPr>
          <w:rFonts w:cs="Arial"/>
          <w:color w:val="000000" w:themeColor="text1"/>
          <w:szCs w:val="16"/>
        </w:rPr>
        <w:t>i</w:t>
      </w:r>
      <w:proofErr w:type="spellEnd"/>
      <w:r w:rsidRPr="00781112">
        <w:rPr>
          <w:rFonts w:cs="Arial"/>
          <w:color w:val="000000" w:themeColor="text1"/>
          <w:szCs w:val="16"/>
        </w:rPr>
        <w:t>) + 2.1(b)(</w:t>
      </w:r>
      <w:proofErr w:type="spellStart"/>
      <w:r w:rsidRPr="00781112">
        <w:rPr>
          <w:rFonts w:cs="Arial"/>
          <w:color w:val="000000" w:themeColor="text1"/>
          <w:szCs w:val="16"/>
        </w:rPr>
        <w:t>i</w:t>
      </w:r>
      <w:proofErr w:type="spellEnd"/>
      <w:r w:rsidRPr="00781112">
        <w:rPr>
          <w:rFonts w:cs="Arial"/>
          <w:color w:val="000000" w:themeColor="text1"/>
          <w:szCs w:val="16"/>
        </w:rPr>
        <w:t>)) divided by 2.1) times 100.</w:t>
      </w:r>
    </w:p>
    <w:p w14:paraId="0B909FFD" w14:textId="77777777" w:rsidR="00692B95" w:rsidRPr="00781112" w:rsidRDefault="00692B95" w:rsidP="004369B2">
      <w:pPr>
        <w:rPr>
          <w:color w:val="000000" w:themeColor="text1"/>
        </w:rPr>
      </w:pPr>
      <w:r w:rsidRPr="00781112">
        <w:rPr>
          <w:b/>
          <w:color w:val="000000" w:themeColor="text1"/>
        </w:rPr>
        <w:t>Instructions</w:t>
      </w:r>
    </w:p>
    <w:p w14:paraId="46565F1D" w14:textId="77777777" w:rsidR="00692B95" w:rsidRPr="00781112" w:rsidRDefault="00692B95" w:rsidP="00286BDF">
      <w:pPr>
        <w:rPr>
          <w:rFonts w:cs="Arial"/>
          <w:i/>
          <w:iCs/>
          <w:color w:val="000000" w:themeColor="text1"/>
          <w:szCs w:val="16"/>
        </w:rPr>
      </w:pPr>
      <w:r w:rsidRPr="00781112">
        <w:rPr>
          <w:rFonts w:cs="Arial"/>
          <w:i/>
          <w:iCs/>
          <w:color w:val="000000" w:themeColor="text1"/>
          <w:szCs w:val="16"/>
        </w:rPr>
        <w:t>Sampling is not allowed.</w:t>
      </w:r>
    </w:p>
    <w:p w14:paraId="7A8BA9D5" w14:textId="77777777" w:rsidR="00692B95" w:rsidRPr="00781112" w:rsidRDefault="00692B95" w:rsidP="00286BDF">
      <w:pPr>
        <w:rPr>
          <w:rFonts w:cs="Arial"/>
          <w:color w:val="000000" w:themeColor="text1"/>
          <w:szCs w:val="16"/>
        </w:rPr>
      </w:pPr>
      <w:r w:rsidRPr="00781112">
        <w:rPr>
          <w:rFonts w:cs="Arial"/>
          <w:color w:val="000000" w:themeColor="text1"/>
          <w:szCs w:val="16"/>
        </w:rPr>
        <w:t>Describe the results of the calculations and compare the results to the target.</w:t>
      </w:r>
    </w:p>
    <w:p w14:paraId="5AFF4976" w14:textId="5D03CBD9" w:rsidR="00692B95" w:rsidRPr="00781112" w:rsidRDefault="00692B95" w:rsidP="00286BDF">
      <w:pPr>
        <w:rPr>
          <w:rFonts w:cs="Arial"/>
          <w:color w:val="000000" w:themeColor="text1"/>
          <w:szCs w:val="16"/>
        </w:rPr>
      </w:pPr>
      <w:r w:rsidRPr="00781112">
        <w:rPr>
          <w:rFonts w:cs="Arial"/>
          <w:color w:val="000000" w:themeColor="text1"/>
          <w:szCs w:val="16"/>
        </w:rPr>
        <w:t xml:space="preserve">States are not required to establish </w:t>
      </w:r>
      <w:proofErr w:type="gramStart"/>
      <w:r w:rsidRPr="00781112">
        <w:rPr>
          <w:rFonts w:cs="Arial"/>
          <w:color w:val="000000" w:themeColor="text1"/>
          <w:szCs w:val="16"/>
        </w:rPr>
        <w:t>baseline</w:t>
      </w:r>
      <w:proofErr w:type="gramEnd"/>
      <w:r w:rsidRPr="00781112">
        <w:rPr>
          <w:rFonts w:cs="Arial"/>
          <w:color w:val="000000" w:themeColor="text1"/>
          <w:szCs w:val="16"/>
        </w:rPr>
        <w:t xml:space="preserve"> or targets if the number of </w:t>
      </w:r>
      <w:r w:rsidR="00482C3B" w:rsidRPr="00781112">
        <w:rPr>
          <w:rFonts w:cs="Arial"/>
          <w:szCs w:val="16"/>
        </w:rPr>
        <w:t>mediations</w:t>
      </w:r>
      <w:r w:rsidRPr="00781112">
        <w:rPr>
          <w:rFonts w:cs="Arial"/>
          <w:color w:val="000000" w:themeColor="text1"/>
          <w:szCs w:val="16"/>
        </w:rPr>
        <w:t xml:space="preserve"> is less than 10. In a reporting period when the number of </w:t>
      </w:r>
      <w:r w:rsidR="00DA0D8C" w:rsidRPr="00781112">
        <w:rPr>
          <w:rFonts w:cs="Arial"/>
          <w:szCs w:val="16"/>
        </w:rPr>
        <w:t xml:space="preserve">mediations reaches </w:t>
      </w:r>
      <w:r w:rsidRPr="00781112">
        <w:rPr>
          <w:rFonts w:cs="Arial"/>
          <w:color w:val="000000" w:themeColor="text1"/>
          <w:szCs w:val="16"/>
        </w:rPr>
        <w:t>10 or greater, develop baseline</w:t>
      </w:r>
      <w:r w:rsidR="00D14A1B" w:rsidRPr="00781112">
        <w:rPr>
          <w:rFonts w:cs="Arial"/>
          <w:color w:val="000000" w:themeColor="text1"/>
          <w:szCs w:val="16"/>
        </w:rPr>
        <w:t xml:space="preserve"> and</w:t>
      </w:r>
      <w:r w:rsidRPr="00781112">
        <w:rPr>
          <w:rFonts w:cs="Arial"/>
          <w:color w:val="000000" w:themeColor="text1"/>
          <w:szCs w:val="16"/>
        </w:rPr>
        <w:t xml:space="preserve"> targets and report on them in the corresponding SPP/APR.</w:t>
      </w:r>
    </w:p>
    <w:p w14:paraId="0EB22217" w14:textId="77777777" w:rsidR="00692B95" w:rsidRPr="00781112" w:rsidRDefault="00692B95" w:rsidP="00286BDF">
      <w:pPr>
        <w:rPr>
          <w:rFonts w:cs="Arial"/>
          <w:color w:val="000000" w:themeColor="text1"/>
          <w:szCs w:val="16"/>
        </w:rPr>
      </w:pPr>
      <w:r w:rsidRPr="00781112">
        <w:rPr>
          <w:rFonts w:cs="Arial"/>
          <w:color w:val="000000" w:themeColor="text1"/>
          <w:szCs w:val="16"/>
        </w:rPr>
        <w:t>States may express their targets in a range (e.g., 75-85%).</w:t>
      </w:r>
    </w:p>
    <w:p w14:paraId="62D2873F" w14:textId="77777777" w:rsidR="00692B95" w:rsidRPr="00781112" w:rsidRDefault="00692B95" w:rsidP="00286BDF">
      <w:pPr>
        <w:rPr>
          <w:rFonts w:cs="Arial"/>
          <w:color w:val="000000" w:themeColor="text1"/>
          <w:szCs w:val="16"/>
        </w:rPr>
      </w:pPr>
      <w:r w:rsidRPr="00781112">
        <w:rPr>
          <w:rFonts w:cs="Arial"/>
          <w:color w:val="000000" w:themeColor="text1"/>
          <w:szCs w:val="16"/>
        </w:rPr>
        <w:t>If the data reported in this indicator are not the same as the State’s data under IDEA section 618, explain.</w:t>
      </w:r>
    </w:p>
    <w:p w14:paraId="419B733F" w14:textId="44198020" w:rsidR="00692B95" w:rsidRPr="00781112" w:rsidRDefault="00692B95" w:rsidP="00286BDF">
      <w:pPr>
        <w:rPr>
          <w:rFonts w:cs="Arial"/>
          <w:color w:val="000000" w:themeColor="text1"/>
          <w:szCs w:val="16"/>
        </w:rPr>
      </w:pPr>
      <w:r w:rsidRPr="00781112">
        <w:rPr>
          <w:rFonts w:cs="Arial"/>
          <w:color w:val="000000" w:themeColor="text1"/>
          <w:szCs w:val="16"/>
        </w:rPr>
        <w:t>States are not required to report data at the LEA level.</w:t>
      </w:r>
    </w:p>
    <w:p w14:paraId="32179671" w14:textId="1C1C859E" w:rsidR="00B37C74" w:rsidRPr="00781112" w:rsidRDefault="001C46DC" w:rsidP="00123D76">
      <w:pPr>
        <w:pStyle w:val="Heading2"/>
      </w:pPr>
      <w:r w:rsidRPr="00781112">
        <w:t>16</w:t>
      </w:r>
      <w:r w:rsidR="001D508D" w:rsidRPr="00781112">
        <w:t xml:space="preserve"> </w:t>
      </w:r>
      <w:r w:rsidRPr="00781112">
        <w:t xml:space="preserve">- </w:t>
      </w:r>
      <w:r w:rsidR="00BF232E" w:rsidRPr="00781112">
        <w:t>Indicator Data</w:t>
      </w:r>
    </w:p>
    <w:p w14:paraId="6A39385A" w14:textId="49DFE75B" w:rsidR="00F31AD8" w:rsidRPr="00781112" w:rsidRDefault="007D219D" w:rsidP="00F31AD8">
      <w:pPr>
        <w:rPr>
          <w:rFonts w:cs="Arial"/>
          <w:b/>
          <w:color w:val="000000" w:themeColor="text1"/>
          <w:szCs w:val="16"/>
        </w:rPr>
      </w:pPr>
      <w:r w:rsidRPr="00781112">
        <w:rPr>
          <w:rFonts w:cs="Arial"/>
          <w:b/>
          <w:color w:val="000000" w:themeColor="text1"/>
          <w:szCs w:val="16"/>
        </w:rPr>
        <w:t>Select yes to use target ranges</w:t>
      </w:r>
    </w:p>
    <w:p w14:paraId="6CBE99A1" w14:textId="4EA49071" w:rsidR="00F31AD8" w:rsidRPr="00781112" w:rsidRDefault="00F31AD8" w:rsidP="004369B2">
      <w:pPr>
        <w:rPr>
          <w:color w:val="000000" w:themeColor="text1"/>
        </w:rPr>
      </w:pPr>
      <w:r w:rsidRPr="00781112">
        <w:rPr>
          <w:rFonts w:cs="Arial"/>
          <w:color w:val="000000" w:themeColor="text1"/>
          <w:szCs w:val="16"/>
        </w:rPr>
        <w:t>Target Range not used</w:t>
      </w:r>
    </w:p>
    <w:bookmarkEnd w:id="96"/>
    <w:bookmarkEnd w:id="97"/>
    <w:p w14:paraId="3951D0E9" w14:textId="77777777" w:rsidR="00DA3157" w:rsidRPr="00781112" w:rsidRDefault="00DA3157" w:rsidP="004369B2">
      <w:pPr>
        <w:rPr>
          <w:color w:val="000000" w:themeColor="text1"/>
        </w:rPr>
      </w:pPr>
    </w:p>
    <w:p w14:paraId="118840D3" w14:textId="0C4E77AD" w:rsidR="008E31C4" w:rsidRPr="00781112" w:rsidRDefault="008E31C4" w:rsidP="004369B2">
      <w:pPr>
        <w:rPr>
          <w:color w:val="000000" w:themeColor="text1"/>
        </w:rPr>
      </w:pPr>
      <w:r w:rsidRPr="00781112">
        <w:rPr>
          <w:b/>
          <w:color w:val="000000" w:themeColor="text1"/>
        </w:rPr>
        <w:t>Prepopulated Data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Caption w:val="B16PREPOP"/>
      </w:tblPr>
      <w:tblGrid>
        <w:gridCol w:w="2695"/>
        <w:gridCol w:w="2790"/>
        <w:gridCol w:w="3522"/>
        <w:gridCol w:w="1783"/>
      </w:tblGrid>
      <w:tr w:rsidR="005C29F8" w:rsidRPr="00781112" w14:paraId="61A5E3A0" w14:textId="77777777" w:rsidTr="0064117D">
        <w:trPr>
          <w:trHeight w:val="372"/>
          <w:tblHeader/>
        </w:trPr>
        <w:tc>
          <w:tcPr>
            <w:tcW w:w="1249" w:type="pct"/>
            <w:shd w:val="clear" w:color="auto" w:fill="auto"/>
          </w:tcPr>
          <w:p w14:paraId="332BA503" w14:textId="77777777" w:rsidR="008E31C4" w:rsidRPr="00781112" w:rsidRDefault="008E31C4" w:rsidP="008E31C4">
            <w:pPr>
              <w:spacing w:after="0"/>
              <w:jc w:val="center"/>
              <w:rPr>
                <w:rFonts w:cs="Arial"/>
                <w:b/>
                <w:color w:val="000000" w:themeColor="text1"/>
                <w:szCs w:val="16"/>
              </w:rPr>
            </w:pPr>
            <w:r w:rsidRPr="00781112">
              <w:rPr>
                <w:rFonts w:cs="Arial"/>
                <w:b/>
                <w:color w:val="000000" w:themeColor="text1"/>
                <w:szCs w:val="16"/>
              </w:rPr>
              <w:t>Source</w:t>
            </w:r>
          </w:p>
        </w:tc>
        <w:tc>
          <w:tcPr>
            <w:tcW w:w="1293" w:type="pct"/>
            <w:shd w:val="clear" w:color="auto" w:fill="auto"/>
          </w:tcPr>
          <w:p w14:paraId="2C662D12" w14:textId="77777777" w:rsidR="008E31C4" w:rsidRPr="00781112" w:rsidRDefault="008E31C4" w:rsidP="008E31C4">
            <w:pPr>
              <w:spacing w:after="0"/>
              <w:jc w:val="center"/>
              <w:rPr>
                <w:rFonts w:cs="Arial"/>
                <w:b/>
                <w:color w:val="000000" w:themeColor="text1"/>
                <w:szCs w:val="16"/>
              </w:rPr>
            </w:pPr>
            <w:r w:rsidRPr="00781112">
              <w:rPr>
                <w:rFonts w:cs="Arial"/>
                <w:b/>
                <w:color w:val="000000" w:themeColor="text1"/>
                <w:szCs w:val="16"/>
              </w:rPr>
              <w:t>Date</w:t>
            </w:r>
          </w:p>
        </w:tc>
        <w:tc>
          <w:tcPr>
            <w:tcW w:w="1632" w:type="pct"/>
            <w:shd w:val="clear" w:color="auto" w:fill="auto"/>
          </w:tcPr>
          <w:p w14:paraId="66DBE23B" w14:textId="77777777" w:rsidR="008E31C4" w:rsidRPr="00781112" w:rsidRDefault="008E31C4" w:rsidP="008E31C4">
            <w:pPr>
              <w:spacing w:after="0"/>
              <w:jc w:val="center"/>
              <w:rPr>
                <w:rFonts w:cs="Arial"/>
                <w:b/>
                <w:color w:val="000000" w:themeColor="text1"/>
                <w:szCs w:val="16"/>
              </w:rPr>
            </w:pPr>
            <w:r w:rsidRPr="00781112">
              <w:rPr>
                <w:rFonts w:cs="Arial"/>
                <w:b/>
                <w:color w:val="000000" w:themeColor="text1"/>
                <w:szCs w:val="16"/>
              </w:rPr>
              <w:t>Description</w:t>
            </w:r>
          </w:p>
        </w:tc>
        <w:tc>
          <w:tcPr>
            <w:tcW w:w="826" w:type="pct"/>
            <w:shd w:val="clear" w:color="auto" w:fill="auto"/>
          </w:tcPr>
          <w:p w14:paraId="1C82D158" w14:textId="77777777" w:rsidR="008E31C4" w:rsidRPr="00781112" w:rsidRDefault="008E31C4" w:rsidP="008E31C4">
            <w:pPr>
              <w:spacing w:after="0"/>
              <w:jc w:val="center"/>
              <w:rPr>
                <w:rFonts w:cs="Arial"/>
                <w:b/>
                <w:color w:val="000000" w:themeColor="text1"/>
                <w:szCs w:val="16"/>
              </w:rPr>
            </w:pPr>
            <w:r w:rsidRPr="00781112">
              <w:rPr>
                <w:rFonts w:cs="Arial"/>
                <w:b/>
                <w:color w:val="000000" w:themeColor="text1"/>
                <w:szCs w:val="16"/>
              </w:rPr>
              <w:t>Data</w:t>
            </w:r>
          </w:p>
        </w:tc>
      </w:tr>
      <w:tr w:rsidR="005C29F8" w:rsidRPr="00781112" w14:paraId="0EB08E99" w14:textId="77777777" w:rsidTr="0064117D">
        <w:trPr>
          <w:trHeight w:val="380"/>
        </w:trPr>
        <w:tc>
          <w:tcPr>
            <w:tcW w:w="1249" w:type="pct"/>
            <w:shd w:val="clear" w:color="auto" w:fill="auto"/>
          </w:tcPr>
          <w:p w14:paraId="341A55FB" w14:textId="389190B6" w:rsidR="001126C3" w:rsidRPr="00781112" w:rsidRDefault="002B7490" w:rsidP="001126C3">
            <w:pPr>
              <w:jc w:val="center"/>
              <w:rPr>
                <w:rFonts w:cs="Arial"/>
                <w:color w:val="000000" w:themeColor="text1"/>
                <w:szCs w:val="16"/>
              </w:rPr>
            </w:pPr>
            <w:r w:rsidRPr="00781112">
              <w:rPr>
                <w:rFonts w:cs="Arial"/>
                <w:color w:val="000000" w:themeColor="text1"/>
                <w:szCs w:val="16"/>
              </w:rPr>
              <w:t>SY 2022-23 EMAPS IDEA Part B Dispute Resolution Survey; Section B: Mediation Requests</w:t>
            </w:r>
          </w:p>
        </w:tc>
        <w:tc>
          <w:tcPr>
            <w:tcW w:w="1293" w:type="pct"/>
            <w:shd w:val="clear" w:color="auto" w:fill="auto"/>
          </w:tcPr>
          <w:p w14:paraId="71614464" w14:textId="4369755A" w:rsidR="001126C3" w:rsidRPr="00781112" w:rsidRDefault="008174C3" w:rsidP="001126C3">
            <w:pPr>
              <w:jc w:val="center"/>
              <w:rPr>
                <w:rFonts w:cs="Arial"/>
                <w:color w:val="000000" w:themeColor="text1"/>
                <w:szCs w:val="16"/>
              </w:rPr>
            </w:pPr>
            <w:r w:rsidRPr="00781112">
              <w:rPr>
                <w:rFonts w:cs="Arial"/>
                <w:color w:val="000000" w:themeColor="text1"/>
                <w:szCs w:val="16"/>
              </w:rPr>
              <w:t>11/15/2023</w:t>
            </w:r>
          </w:p>
        </w:tc>
        <w:tc>
          <w:tcPr>
            <w:tcW w:w="1632" w:type="pct"/>
            <w:shd w:val="clear" w:color="auto" w:fill="auto"/>
          </w:tcPr>
          <w:p w14:paraId="3B8991BC" w14:textId="35D24A7C" w:rsidR="001126C3" w:rsidRPr="00781112" w:rsidRDefault="001126C3" w:rsidP="001126C3">
            <w:pPr>
              <w:rPr>
                <w:rFonts w:cs="Arial"/>
                <w:color w:val="000000" w:themeColor="text1"/>
                <w:szCs w:val="16"/>
              </w:rPr>
            </w:pPr>
            <w:r w:rsidRPr="00781112">
              <w:rPr>
                <w:rFonts w:cs="Arial"/>
                <w:color w:val="000000" w:themeColor="text1"/>
                <w:szCs w:val="16"/>
              </w:rPr>
              <w:t>2.1 Mediations held</w:t>
            </w:r>
          </w:p>
        </w:tc>
        <w:tc>
          <w:tcPr>
            <w:tcW w:w="826" w:type="pct"/>
            <w:shd w:val="clear" w:color="auto" w:fill="auto"/>
          </w:tcPr>
          <w:p w14:paraId="27A8B83C" w14:textId="708549A5" w:rsidR="001126C3" w:rsidRPr="00781112" w:rsidRDefault="002B7490" w:rsidP="00A018D4">
            <w:pPr>
              <w:jc w:val="center"/>
              <w:rPr>
                <w:rFonts w:cs="Arial"/>
                <w:color w:val="000000" w:themeColor="text1"/>
                <w:szCs w:val="16"/>
              </w:rPr>
            </w:pPr>
            <w:r w:rsidRPr="00781112">
              <w:rPr>
                <w:rFonts w:cs="Arial"/>
                <w:color w:val="000000" w:themeColor="text1"/>
                <w:szCs w:val="16"/>
              </w:rPr>
              <w:t>50</w:t>
            </w:r>
          </w:p>
        </w:tc>
      </w:tr>
      <w:tr w:rsidR="005C29F8" w:rsidRPr="00781112" w14:paraId="438B012B" w14:textId="77777777" w:rsidTr="0064117D">
        <w:trPr>
          <w:trHeight w:val="380"/>
        </w:trPr>
        <w:tc>
          <w:tcPr>
            <w:tcW w:w="1249" w:type="pct"/>
            <w:shd w:val="clear" w:color="auto" w:fill="auto"/>
          </w:tcPr>
          <w:p w14:paraId="265B2AEC" w14:textId="3FC7D25D" w:rsidR="001126C3" w:rsidRPr="00781112" w:rsidRDefault="008174C3" w:rsidP="001126C3">
            <w:pPr>
              <w:jc w:val="center"/>
              <w:rPr>
                <w:rFonts w:cs="Arial"/>
                <w:color w:val="000000" w:themeColor="text1"/>
                <w:szCs w:val="16"/>
              </w:rPr>
            </w:pPr>
            <w:r w:rsidRPr="00781112">
              <w:rPr>
                <w:rFonts w:cs="Arial"/>
                <w:color w:val="000000" w:themeColor="text1"/>
                <w:szCs w:val="16"/>
              </w:rPr>
              <w:t>SY 2022-23 EMAPS IDEA Part B Dispute Resolution Survey; Section B: Mediation Requests</w:t>
            </w:r>
          </w:p>
        </w:tc>
        <w:tc>
          <w:tcPr>
            <w:tcW w:w="1293" w:type="pct"/>
            <w:shd w:val="clear" w:color="auto" w:fill="auto"/>
          </w:tcPr>
          <w:p w14:paraId="128A6113" w14:textId="6FDE1D5D" w:rsidR="001126C3" w:rsidRPr="00781112" w:rsidRDefault="008174C3" w:rsidP="001126C3">
            <w:pPr>
              <w:jc w:val="center"/>
              <w:rPr>
                <w:rFonts w:cs="Arial"/>
                <w:color w:val="000000" w:themeColor="text1"/>
                <w:szCs w:val="16"/>
              </w:rPr>
            </w:pPr>
            <w:r w:rsidRPr="00781112">
              <w:rPr>
                <w:rFonts w:cs="Arial"/>
                <w:color w:val="000000" w:themeColor="text1"/>
                <w:szCs w:val="16"/>
              </w:rPr>
              <w:t>11/15/2023</w:t>
            </w:r>
          </w:p>
        </w:tc>
        <w:tc>
          <w:tcPr>
            <w:tcW w:w="1632" w:type="pct"/>
            <w:shd w:val="clear" w:color="auto" w:fill="auto"/>
          </w:tcPr>
          <w:p w14:paraId="61BAD85D" w14:textId="300FEE8B" w:rsidR="001126C3" w:rsidRPr="00781112" w:rsidRDefault="001126C3" w:rsidP="001126C3">
            <w:pPr>
              <w:rPr>
                <w:rFonts w:cs="Arial"/>
                <w:color w:val="000000" w:themeColor="text1"/>
                <w:szCs w:val="16"/>
              </w:rPr>
            </w:pPr>
            <w:r w:rsidRPr="00781112">
              <w:rPr>
                <w:rFonts w:cs="Arial"/>
                <w:color w:val="000000" w:themeColor="text1"/>
                <w:szCs w:val="16"/>
              </w:rPr>
              <w:t>2.1.a.i Mediations agreements related to due process complaints</w:t>
            </w:r>
          </w:p>
        </w:tc>
        <w:tc>
          <w:tcPr>
            <w:tcW w:w="826" w:type="pct"/>
            <w:shd w:val="clear" w:color="auto" w:fill="auto"/>
          </w:tcPr>
          <w:p w14:paraId="580B460B" w14:textId="49FBB0F1" w:rsidR="001126C3" w:rsidRPr="00781112" w:rsidRDefault="002B7490" w:rsidP="00A018D4">
            <w:pPr>
              <w:jc w:val="center"/>
              <w:rPr>
                <w:rFonts w:cs="Arial"/>
                <w:color w:val="000000" w:themeColor="text1"/>
                <w:szCs w:val="16"/>
              </w:rPr>
            </w:pPr>
            <w:r w:rsidRPr="00781112">
              <w:rPr>
                <w:rFonts w:cs="Arial"/>
                <w:color w:val="000000" w:themeColor="text1"/>
                <w:szCs w:val="16"/>
              </w:rPr>
              <w:t>7</w:t>
            </w:r>
          </w:p>
        </w:tc>
      </w:tr>
      <w:tr w:rsidR="005C29F8" w:rsidRPr="00781112" w14:paraId="53310D0D" w14:textId="77777777" w:rsidTr="0064117D">
        <w:trPr>
          <w:trHeight w:val="380"/>
        </w:trPr>
        <w:tc>
          <w:tcPr>
            <w:tcW w:w="1249" w:type="pct"/>
            <w:shd w:val="clear" w:color="auto" w:fill="auto"/>
          </w:tcPr>
          <w:p w14:paraId="295563AC" w14:textId="371961FC" w:rsidR="001126C3" w:rsidRPr="00781112" w:rsidRDefault="008174C3" w:rsidP="001126C3">
            <w:pPr>
              <w:jc w:val="center"/>
              <w:rPr>
                <w:rFonts w:cs="Arial"/>
                <w:color w:val="000000" w:themeColor="text1"/>
                <w:szCs w:val="16"/>
              </w:rPr>
            </w:pPr>
            <w:r w:rsidRPr="00781112">
              <w:rPr>
                <w:rFonts w:cs="Arial"/>
                <w:color w:val="000000" w:themeColor="text1"/>
                <w:szCs w:val="16"/>
              </w:rPr>
              <w:t>SY 2022-23 EMAPS IDEA Part B Dispute Resolution Survey; Section B: Mediation Requests</w:t>
            </w:r>
          </w:p>
        </w:tc>
        <w:tc>
          <w:tcPr>
            <w:tcW w:w="1293" w:type="pct"/>
            <w:shd w:val="clear" w:color="auto" w:fill="auto"/>
          </w:tcPr>
          <w:p w14:paraId="4BDD8D48" w14:textId="63D0DB48" w:rsidR="001126C3" w:rsidRPr="00781112" w:rsidRDefault="008174C3" w:rsidP="001126C3">
            <w:pPr>
              <w:jc w:val="center"/>
              <w:rPr>
                <w:rFonts w:cs="Arial"/>
                <w:color w:val="000000" w:themeColor="text1"/>
                <w:szCs w:val="16"/>
              </w:rPr>
            </w:pPr>
            <w:r w:rsidRPr="00781112">
              <w:rPr>
                <w:rFonts w:cs="Arial"/>
                <w:color w:val="000000" w:themeColor="text1"/>
                <w:szCs w:val="16"/>
              </w:rPr>
              <w:t>11/15/2023</w:t>
            </w:r>
          </w:p>
        </w:tc>
        <w:tc>
          <w:tcPr>
            <w:tcW w:w="1632" w:type="pct"/>
            <w:shd w:val="clear" w:color="auto" w:fill="auto"/>
          </w:tcPr>
          <w:p w14:paraId="0D81EE28" w14:textId="0901AFA3" w:rsidR="001126C3" w:rsidRPr="00781112" w:rsidRDefault="001126C3" w:rsidP="001126C3">
            <w:pPr>
              <w:rPr>
                <w:rFonts w:cs="Arial"/>
                <w:color w:val="000000" w:themeColor="text1"/>
                <w:szCs w:val="16"/>
              </w:rPr>
            </w:pPr>
            <w:r w:rsidRPr="00781112">
              <w:rPr>
                <w:rFonts w:cs="Arial"/>
                <w:color w:val="000000" w:themeColor="text1"/>
                <w:szCs w:val="16"/>
              </w:rPr>
              <w:t>2.1.b.i Mediations agreements not related to due process complaints</w:t>
            </w:r>
          </w:p>
        </w:tc>
        <w:tc>
          <w:tcPr>
            <w:tcW w:w="826" w:type="pct"/>
            <w:shd w:val="clear" w:color="auto" w:fill="auto"/>
          </w:tcPr>
          <w:p w14:paraId="4C9A36B1" w14:textId="285B67BA" w:rsidR="001126C3" w:rsidRPr="00781112" w:rsidRDefault="002B7490" w:rsidP="00A018D4">
            <w:pPr>
              <w:jc w:val="center"/>
              <w:rPr>
                <w:rFonts w:cs="Arial"/>
                <w:color w:val="000000" w:themeColor="text1"/>
                <w:szCs w:val="16"/>
              </w:rPr>
            </w:pPr>
            <w:r w:rsidRPr="00781112">
              <w:rPr>
                <w:rFonts w:cs="Arial"/>
                <w:color w:val="000000" w:themeColor="text1"/>
                <w:szCs w:val="16"/>
              </w:rPr>
              <w:t>27</w:t>
            </w:r>
          </w:p>
        </w:tc>
      </w:tr>
    </w:tbl>
    <w:p w14:paraId="2C4CE14C" w14:textId="5AC27D72" w:rsidR="00E8514E" w:rsidRPr="00781112" w:rsidRDefault="007D219D">
      <w:pPr>
        <w:rPr>
          <w:b/>
          <w:color w:val="000000" w:themeColor="text1"/>
        </w:rPr>
      </w:pPr>
      <w:r w:rsidRPr="00781112">
        <w:rPr>
          <w:b/>
          <w:color w:val="000000" w:themeColor="text1"/>
        </w:rPr>
        <w:t>Select yes if the data reported in this indicator are not the same as the State’s data reported under section 618 of the IDEA.</w:t>
      </w:r>
    </w:p>
    <w:p w14:paraId="69D1C140" w14:textId="4BF355D3" w:rsidR="00E8514E" w:rsidRPr="00781112" w:rsidRDefault="00E8514E">
      <w:pPr>
        <w:rPr>
          <w:color w:val="000000" w:themeColor="text1"/>
        </w:rPr>
      </w:pPr>
      <w:r w:rsidRPr="00781112">
        <w:rPr>
          <w:color w:val="000000" w:themeColor="text1"/>
        </w:rPr>
        <w:t>NO</w:t>
      </w:r>
    </w:p>
    <w:p w14:paraId="1451EE58" w14:textId="77777777" w:rsidR="00945274" w:rsidRPr="00781112" w:rsidRDefault="00945274" w:rsidP="004369B2">
      <w:pPr>
        <w:rPr>
          <w:color w:val="000000" w:themeColor="text1"/>
        </w:rPr>
      </w:pPr>
    </w:p>
    <w:p w14:paraId="58C79350" w14:textId="310C06FF" w:rsidR="000A2C83" w:rsidRPr="00781112" w:rsidRDefault="000A2C83" w:rsidP="004369B2">
      <w:pPr>
        <w:rPr>
          <w:b/>
          <w:color w:val="000000" w:themeColor="text1"/>
        </w:rPr>
      </w:pPr>
      <w:r w:rsidRPr="00781112">
        <w:rPr>
          <w:b/>
          <w:color w:val="000000" w:themeColor="text1"/>
        </w:rPr>
        <w:t xml:space="preserve">Targets: Description of Stakeholder Input </w:t>
      </w:r>
    </w:p>
    <w:p w14:paraId="5F0F979C" w14:textId="2A86F023" w:rsidR="000A2C83" w:rsidRPr="00781112" w:rsidRDefault="000A2C83" w:rsidP="000A2C83">
      <w:pPr>
        <w:rPr>
          <w:rFonts w:cs="Arial"/>
          <w:color w:val="000000" w:themeColor="text1"/>
          <w:szCs w:val="16"/>
        </w:rPr>
      </w:pPr>
    </w:p>
    <w:p w14:paraId="2C7ACE11" w14:textId="77777777" w:rsidR="00E8514E" w:rsidRPr="00781112" w:rsidRDefault="00E8514E" w:rsidP="000A2C83">
      <w:pPr>
        <w:rPr>
          <w:rFonts w:cs="Arial"/>
          <w:color w:val="000000" w:themeColor="text1"/>
          <w:szCs w:val="16"/>
        </w:rPr>
      </w:pPr>
    </w:p>
    <w:p w14:paraId="48B9C9FE" w14:textId="3C4BDA67" w:rsidR="008E31C4" w:rsidRPr="00781112" w:rsidRDefault="008E31C4" w:rsidP="004369B2">
      <w:pPr>
        <w:rPr>
          <w:b/>
          <w:color w:val="000000" w:themeColor="text1"/>
        </w:rPr>
      </w:pPr>
      <w:r w:rsidRPr="00781112">
        <w:rPr>
          <w:b/>
          <w:color w:val="000000" w:themeColor="text1"/>
        </w:rPr>
        <w:t>Historical Data</w:t>
      </w:r>
    </w:p>
    <w:tbl>
      <w:tblPr>
        <w:tblStyle w:val="TableGrid"/>
        <w:tblW w:w="0" w:type="auto"/>
        <w:tblLayout w:type="fixed"/>
        <w:tblLook w:val="04A0" w:firstRow="1" w:lastRow="0" w:firstColumn="1" w:lastColumn="0" w:noHBand="0" w:noVBand="1"/>
        <w:tblCaption w:val="B16BASELINEDATA"/>
      </w:tblPr>
      <w:tblGrid>
        <w:gridCol w:w="1797"/>
        <w:gridCol w:w="1798"/>
      </w:tblGrid>
      <w:tr w:rsidR="00D75351" w:rsidRPr="00781112" w14:paraId="57AEABC0" w14:textId="77777777" w:rsidTr="00123D76">
        <w:trPr>
          <w:trHeight w:val="311"/>
          <w:tblHeader/>
        </w:trPr>
        <w:tc>
          <w:tcPr>
            <w:tcW w:w="1797" w:type="dxa"/>
          </w:tcPr>
          <w:p w14:paraId="38CE882B" w14:textId="77777777" w:rsidR="00D75351" w:rsidRPr="00781112" w:rsidRDefault="00D75351" w:rsidP="00123D76">
            <w:pPr>
              <w:jc w:val="center"/>
              <w:rPr>
                <w:b/>
                <w:color w:val="000000" w:themeColor="text1"/>
              </w:rPr>
            </w:pPr>
            <w:r w:rsidRPr="00781112">
              <w:rPr>
                <w:rFonts w:cs="Arial"/>
                <w:b/>
                <w:color w:val="000000" w:themeColor="text1"/>
                <w:szCs w:val="16"/>
              </w:rPr>
              <w:t>Baseline Year</w:t>
            </w:r>
          </w:p>
        </w:tc>
        <w:tc>
          <w:tcPr>
            <w:tcW w:w="1798" w:type="dxa"/>
          </w:tcPr>
          <w:p w14:paraId="664A9E7A" w14:textId="77777777" w:rsidR="00D75351" w:rsidRPr="00781112" w:rsidRDefault="00D75351" w:rsidP="00123D76">
            <w:pPr>
              <w:jc w:val="center"/>
              <w:rPr>
                <w:b/>
                <w:color w:val="000000" w:themeColor="text1"/>
              </w:rPr>
            </w:pPr>
            <w:r w:rsidRPr="00781112">
              <w:rPr>
                <w:b/>
                <w:color w:val="000000" w:themeColor="text1"/>
              </w:rPr>
              <w:t>Baseline Data</w:t>
            </w:r>
          </w:p>
        </w:tc>
      </w:tr>
      <w:tr w:rsidR="00D75351" w:rsidRPr="00781112" w14:paraId="2B59BCB7" w14:textId="77777777" w:rsidTr="00123D76">
        <w:trPr>
          <w:trHeight w:val="311"/>
        </w:trPr>
        <w:tc>
          <w:tcPr>
            <w:tcW w:w="1797" w:type="dxa"/>
            <w:vAlign w:val="center"/>
          </w:tcPr>
          <w:p w14:paraId="62FFC123" w14:textId="008A4386" w:rsidR="00D75351" w:rsidRPr="00781112" w:rsidRDefault="00D75351" w:rsidP="00123D76">
            <w:pPr>
              <w:jc w:val="center"/>
              <w:rPr>
                <w:bCs/>
                <w:color w:val="000000" w:themeColor="text1"/>
              </w:rPr>
            </w:pPr>
            <w:r w:rsidRPr="00781112">
              <w:rPr>
                <w:bCs/>
                <w:color w:val="000000" w:themeColor="text1"/>
              </w:rPr>
              <w:t>2018</w:t>
            </w:r>
          </w:p>
        </w:tc>
        <w:tc>
          <w:tcPr>
            <w:tcW w:w="1798" w:type="dxa"/>
            <w:vAlign w:val="center"/>
          </w:tcPr>
          <w:p w14:paraId="08A13422" w14:textId="52DBDA3E" w:rsidR="00D75351" w:rsidRPr="00781112" w:rsidRDefault="00D75351" w:rsidP="00123D76">
            <w:pPr>
              <w:jc w:val="center"/>
              <w:rPr>
                <w:bCs/>
                <w:color w:val="000000" w:themeColor="text1"/>
              </w:rPr>
            </w:pPr>
            <w:r w:rsidRPr="00781112">
              <w:rPr>
                <w:bCs/>
                <w:color w:val="000000" w:themeColor="text1"/>
              </w:rPr>
              <w:t>54.35%</w:t>
            </w:r>
          </w:p>
        </w:tc>
      </w:tr>
    </w:tbl>
    <w:p w14:paraId="450682C0" w14:textId="77777777" w:rsidR="00D75351" w:rsidRPr="00781112" w:rsidRDefault="00D75351" w:rsidP="004369B2">
      <w:pPr>
        <w:rPr>
          <w:color w:val="000000" w:themeColor="text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B16HISTDATA"/>
      </w:tblPr>
      <w:tblGrid>
        <w:gridCol w:w="1615"/>
        <w:gridCol w:w="1799"/>
        <w:gridCol w:w="1981"/>
        <w:gridCol w:w="1798"/>
        <w:gridCol w:w="1709"/>
        <w:gridCol w:w="1888"/>
      </w:tblGrid>
      <w:tr w:rsidR="005C29F8" w:rsidRPr="00781112" w14:paraId="3061AAFC" w14:textId="77777777" w:rsidTr="004B2960">
        <w:trPr>
          <w:trHeight w:val="350"/>
        </w:trPr>
        <w:tc>
          <w:tcPr>
            <w:tcW w:w="748" w:type="pct"/>
            <w:tcBorders>
              <w:bottom w:val="single" w:sz="4" w:space="0" w:color="auto"/>
            </w:tcBorders>
            <w:shd w:val="clear" w:color="auto" w:fill="auto"/>
          </w:tcPr>
          <w:p w14:paraId="6D321354" w14:textId="77777777" w:rsidR="008E31C4" w:rsidRPr="00781112" w:rsidRDefault="008E31C4" w:rsidP="004369B2">
            <w:pPr>
              <w:jc w:val="center"/>
              <w:rPr>
                <w:rFonts w:cs="Arial"/>
                <w:b/>
                <w:color w:val="000000" w:themeColor="text1"/>
                <w:szCs w:val="16"/>
              </w:rPr>
            </w:pPr>
            <w:r w:rsidRPr="00781112">
              <w:rPr>
                <w:rFonts w:cs="Arial"/>
                <w:b/>
                <w:color w:val="000000" w:themeColor="text1"/>
                <w:szCs w:val="16"/>
              </w:rPr>
              <w:t>FFY</w:t>
            </w:r>
          </w:p>
        </w:tc>
        <w:tc>
          <w:tcPr>
            <w:tcW w:w="833" w:type="pct"/>
            <w:shd w:val="clear" w:color="auto" w:fill="auto"/>
          </w:tcPr>
          <w:p w14:paraId="351C61C5" w14:textId="1A27A18C" w:rsidR="008E31C4" w:rsidRPr="00781112" w:rsidRDefault="002B7490" w:rsidP="008E31C4">
            <w:pPr>
              <w:jc w:val="center"/>
              <w:rPr>
                <w:rFonts w:cs="Arial"/>
                <w:b/>
                <w:color w:val="000000" w:themeColor="text1"/>
                <w:szCs w:val="16"/>
              </w:rPr>
            </w:pPr>
            <w:r w:rsidRPr="00781112">
              <w:rPr>
                <w:rFonts w:cs="Arial"/>
                <w:b/>
                <w:color w:val="000000" w:themeColor="text1"/>
                <w:szCs w:val="16"/>
              </w:rPr>
              <w:t>2017</w:t>
            </w:r>
          </w:p>
        </w:tc>
        <w:tc>
          <w:tcPr>
            <w:tcW w:w="918" w:type="pct"/>
            <w:shd w:val="clear" w:color="auto" w:fill="auto"/>
          </w:tcPr>
          <w:p w14:paraId="1CDF9DE8" w14:textId="0FE9038E" w:rsidR="008E31C4" w:rsidRPr="00781112" w:rsidRDefault="002B7490" w:rsidP="008E31C4">
            <w:pPr>
              <w:jc w:val="center"/>
              <w:rPr>
                <w:rFonts w:cs="Arial"/>
                <w:b/>
                <w:color w:val="000000" w:themeColor="text1"/>
                <w:szCs w:val="16"/>
              </w:rPr>
            </w:pPr>
            <w:r w:rsidRPr="00781112">
              <w:rPr>
                <w:rFonts w:cs="Arial"/>
                <w:b/>
                <w:color w:val="000000" w:themeColor="text1"/>
                <w:szCs w:val="16"/>
              </w:rPr>
              <w:t>2018</w:t>
            </w:r>
          </w:p>
        </w:tc>
        <w:tc>
          <w:tcPr>
            <w:tcW w:w="833" w:type="pct"/>
            <w:shd w:val="clear" w:color="auto" w:fill="auto"/>
          </w:tcPr>
          <w:p w14:paraId="49B990DE" w14:textId="2B6E5021" w:rsidR="008E31C4" w:rsidRPr="00781112" w:rsidRDefault="002B7490" w:rsidP="008E31C4">
            <w:pPr>
              <w:jc w:val="center"/>
              <w:rPr>
                <w:rFonts w:cs="Arial"/>
                <w:b/>
                <w:color w:val="000000" w:themeColor="text1"/>
                <w:szCs w:val="16"/>
              </w:rPr>
            </w:pPr>
            <w:r w:rsidRPr="00781112">
              <w:rPr>
                <w:rFonts w:cs="Arial"/>
                <w:b/>
                <w:color w:val="000000" w:themeColor="text1"/>
                <w:szCs w:val="16"/>
              </w:rPr>
              <w:t>2019</w:t>
            </w:r>
          </w:p>
        </w:tc>
        <w:tc>
          <w:tcPr>
            <w:tcW w:w="792" w:type="pct"/>
            <w:shd w:val="clear" w:color="auto" w:fill="auto"/>
          </w:tcPr>
          <w:p w14:paraId="6EF76857" w14:textId="0F124C26" w:rsidR="008E31C4" w:rsidRPr="00781112" w:rsidRDefault="002B7490" w:rsidP="008E31C4">
            <w:pPr>
              <w:jc w:val="center"/>
              <w:rPr>
                <w:rFonts w:cs="Arial"/>
                <w:b/>
                <w:color w:val="000000" w:themeColor="text1"/>
                <w:szCs w:val="16"/>
              </w:rPr>
            </w:pPr>
            <w:r w:rsidRPr="00781112">
              <w:rPr>
                <w:rFonts w:cs="Arial"/>
                <w:b/>
                <w:color w:val="000000" w:themeColor="text1"/>
                <w:szCs w:val="16"/>
              </w:rPr>
              <w:t>2020</w:t>
            </w:r>
          </w:p>
        </w:tc>
        <w:tc>
          <w:tcPr>
            <w:tcW w:w="875" w:type="pct"/>
            <w:shd w:val="clear" w:color="auto" w:fill="auto"/>
          </w:tcPr>
          <w:p w14:paraId="246ACDB0" w14:textId="7F251A7E" w:rsidR="008E31C4" w:rsidRPr="00781112" w:rsidRDefault="002B7490" w:rsidP="008E31C4">
            <w:pPr>
              <w:jc w:val="center"/>
              <w:rPr>
                <w:rFonts w:cs="Arial"/>
                <w:b/>
                <w:color w:val="000000" w:themeColor="text1"/>
                <w:szCs w:val="16"/>
              </w:rPr>
            </w:pPr>
            <w:r w:rsidRPr="00781112">
              <w:rPr>
                <w:rFonts w:cs="Arial"/>
                <w:b/>
                <w:color w:val="000000" w:themeColor="text1"/>
                <w:szCs w:val="16"/>
              </w:rPr>
              <w:t>2021</w:t>
            </w:r>
          </w:p>
        </w:tc>
      </w:tr>
      <w:tr w:rsidR="005C29F8" w:rsidRPr="00781112" w14:paraId="2A876A9F" w14:textId="77777777" w:rsidTr="004B2960">
        <w:trPr>
          <w:trHeight w:val="357"/>
        </w:trPr>
        <w:tc>
          <w:tcPr>
            <w:tcW w:w="748" w:type="pct"/>
            <w:shd w:val="clear" w:color="auto" w:fill="auto"/>
          </w:tcPr>
          <w:p w14:paraId="2DE95B6B" w14:textId="04DB6250" w:rsidR="008E31C4" w:rsidRPr="00781112" w:rsidRDefault="008E31C4" w:rsidP="00BA3DBE">
            <w:pPr>
              <w:jc w:val="center"/>
              <w:rPr>
                <w:rFonts w:cs="Arial"/>
                <w:color w:val="000000" w:themeColor="text1"/>
                <w:szCs w:val="16"/>
              </w:rPr>
            </w:pPr>
            <w:r w:rsidRPr="00781112">
              <w:rPr>
                <w:rFonts w:cs="Arial"/>
                <w:color w:val="000000" w:themeColor="text1"/>
                <w:szCs w:val="16"/>
              </w:rPr>
              <w:t>Target &gt;=</w:t>
            </w:r>
          </w:p>
        </w:tc>
        <w:tc>
          <w:tcPr>
            <w:tcW w:w="833" w:type="pct"/>
            <w:shd w:val="clear" w:color="auto" w:fill="auto"/>
          </w:tcPr>
          <w:p w14:paraId="6C64D17D" w14:textId="6F575CE5" w:rsidR="008E31C4" w:rsidRPr="00781112" w:rsidRDefault="002B7490">
            <w:pPr>
              <w:jc w:val="center"/>
              <w:rPr>
                <w:rFonts w:cs="Arial"/>
                <w:color w:val="000000" w:themeColor="text1"/>
                <w:szCs w:val="16"/>
              </w:rPr>
            </w:pPr>
            <w:r w:rsidRPr="00781112">
              <w:rPr>
                <w:rFonts w:cs="Arial"/>
                <w:color w:val="000000" w:themeColor="text1"/>
                <w:szCs w:val="16"/>
              </w:rPr>
              <w:t>63.00%</w:t>
            </w:r>
          </w:p>
        </w:tc>
        <w:tc>
          <w:tcPr>
            <w:tcW w:w="918" w:type="pct"/>
            <w:shd w:val="clear" w:color="auto" w:fill="auto"/>
          </w:tcPr>
          <w:p w14:paraId="72C59C65" w14:textId="44E721D8" w:rsidR="008E31C4" w:rsidRPr="00781112" w:rsidRDefault="002B7490">
            <w:pPr>
              <w:jc w:val="center"/>
              <w:rPr>
                <w:rFonts w:cs="Arial"/>
                <w:color w:val="000000" w:themeColor="text1"/>
                <w:szCs w:val="16"/>
              </w:rPr>
            </w:pPr>
            <w:r w:rsidRPr="00781112">
              <w:rPr>
                <w:rFonts w:cs="Arial"/>
                <w:color w:val="000000" w:themeColor="text1"/>
                <w:szCs w:val="16"/>
              </w:rPr>
              <w:t>64.00%</w:t>
            </w:r>
          </w:p>
        </w:tc>
        <w:tc>
          <w:tcPr>
            <w:tcW w:w="833" w:type="pct"/>
            <w:shd w:val="clear" w:color="auto" w:fill="auto"/>
            <w:vAlign w:val="center"/>
          </w:tcPr>
          <w:p w14:paraId="220DD5CA" w14:textId="720A36A7" w:rsidR="008E31C4" w:rsidRPr="00781112" w:rsidRDefault="002B7490">
            <w:pPr>
              <w:jc w:val="center"/>
              <w:rPr>
                <w:rFonts w:cs="Arial"/>
                <w:color w:val="000000" w:themeColor="text1"/>
                <w:szCs w:val="16"/>
              </w:rPr>
            </w:pPr>
            <w:r w:rsidRPr="00781112">
              <w:rPr>
                <w:rFonts w:cs="Arial"/>
                <w:color w:val="000000" w:themeColor="text1"/>
                <w:szCs w:val="16"/>
              </w:rPr>
              <w:t>64.00%</w:t>
            </w:r>
          </w:p>
        </w:tc>
        <w:tc>
          <w:tcPr>
            <w:tcW w:w="792" w:type="pct"/>
            <w:shd w:val="clear" w:color="auto" w:fill="auto"/>
            <w:vAlign w:val="center"/>
          </w:tcPr>
          <w:p w14:paraId="07CF6D0B" w14:textId="0CDFA70C" w:rsidR="008E31C4" w:rsidRPr="00781112" w:rsidRDefault="002B7490">
            <w:pPr>
              <w:jc w:val="center"/>
              <w:rPr>
                <w:rFonts w:cs="Arial"/>
                <w:color w:val="000000" w:themeColor="text1"/>
                <w:szCs w:val="16"/>
              </w:rPr>
            </w:pPr>
            <w:r w:rsidRPr="00781112">
              <w:rPr>
                <w:rFonts w:cs="Arial"/>
                <w:color w:val="000000" w:themeColor="text1"/>
                <w:szCs w:val="16"/>
              </w:rPr>
              <w:t>54.35%</w:t>
            </w:r>
          </w:p>
        </w:tc>
        <w:tc>
          <w:tcPr>
            <w:tcW w:w="875" w:type="pct"/>
            <w:shd w:val="clear" w:color="auto" w:fill="auto"/>
            <w:vAlign w:val="center"/>
          </w:tcPr>
          <w:p w14:paraId="3B96FD7D" w14:textId="7B182CEE" w:rsidR="008E31C4" w:rsidRPr="00781112" w:rsidRDefault="002B7490">
            <w:pPr>
              <w:jc w:val="center"/>
              <w:rPr>
                <w:rFonts w:cs="Arial"/>
                <w:color w:val="000000" w:themeColor="text1"/>
                <w:szCs w:val="16"/>
              </w:rPr>
            </w:pPr>
            <w:r w:rsidRPr="00781112">
              <w:rPr>
                <w:rFonts w:cs="Arial"/>
                <w:color w:val="000000" w:themeColor="text1"/>
                <w:szCs w:val="16"/>
              </w:rPr>
              <w:t>54.35%</w:t>
            </w:r>
          </w:p>
        </w:tc>
      </w:tr>
      <w:tr w:rsidR="005C29F8" w:rsidRPr="00781112" w14:paraId="34F84ECE" w14:textId="77777777" w:rsidTr="004B2960">
        <w:trPr>
          <w:trHeight w:val="85"/>
        </w:trPr>
        <w:tc>
          <w:tcPr>
            <w:tcW w:w="748" w:type="pct"/>
            <w:shd w:val="clear" w:color="auto" w:fill="auto"/>
          </w:tcPr>
          <w:p w14:paraId="281210CF" w14:textId="77777777" w:rsidR="008E31C4" w:rsidRPr="00781112" w:rsidRDefault="008E31C4" w:rsidP="00BA3DBE">
            <w:pPr>
              <w:jc w:val="center"/>
              <w:rPr>
                <w:rFonts w:cs="Arial"/>
                <w:color w:val="000000" w:themeColor="text1"/>
                <w:szCs w:val="16"/>
              </w:rPr>
            </w:pPr>
            <w:r w:rsidRPr="00781112">
              <w:rPr>
                <w:rFonts w:cs="Arial"/>
                <w:color w:val="000000" w:themeColor="text1"/>
                <w:szCs w:val="16"/>
              </w:rPr>
              <w:t>Data</w:t>
            </w:r>
          </w:p>
        </w:tc>
        <w:tc>
          <w:tcPr>
            <w:tcW w:w="833" w:type="pct"/>
            <w:shd w:val="clear" w:color="auto" w:fill="auto"/>
          </w:tcPr>
          <w:p w14:paraId="581B8DC5" w14:textId="4F71DCFC" w:rsidR="008E31C4" w:rsidRPr="00781112" w:rsidRDefault="002B7490">
            <w:pPr>
              <w:jc w:val="center"/>
              <w:rPr>
                <w:rFonts w:cs="Arial"/>
                <w:color w:val="000000" w:themeColor="text1"/>
                <w:szCs w:val="16"/>
              </w:rPr>
            </w:pPr>
            <w:r w:rsidRPr="00781112">
              <w:rPr>
                <w:rFonts w:cs="Arial"/>
                <w:color w:val="000000" w:themeColor="text1"/>
                <w:szCs w:val="16"/>
              </w:rPr>
              <w:t>62.96%</w:t>
            </w:r>
          </w:p>
        </w:tc>
        <w:tc>
          <w:tcPr>
            <w:tcW w:w="918" w:type="pct"/>
            <w:shd w:val="clear" w:color="auto" w:fill="auto"/>
          </w:tcPr>
          <w:p w14:paraId="341A9DBA" w14:textId="51769052" w:rsidR="008E31C4" w:rsidRPr="00781112" w:rsidRDefault="002B7490">
            <w:pPr>
              <w:jc w:val="center"/>
              <w:rPr>
                <w:rFonts w:cs="Arial"/>
                <w:color w:val="000000" w:themeColor="text1"/>
                <w:szCs w:val="16"/>
              </w:rPr>
            </w:pPr>
            <w:r w:rsidRPr="00781112">
              <w:rPr>
                <w:rFonts w:cs="Arial"/>
                <w:color w:val="000000" w:themeColor="text1"/>
                <w:szCs w:val="16"/>
              </w:rPr>
              <w:t>54.35%</w:t>
            </w:r>
          </w:p>
        </w:tc>
        <w:tc>
          <w:tcPr>
            <w:tcW w:w="833" w:type="pct"/>
            <w:tcBorders>
              <w:bottom w:val="single" w:sz="4" w:space="0" w:color="auto"/>
            </w:tcBorders>
            <w:shd w:val="clear" w:color="auto" w:fill="auto"/>
            <w:vAlign w:val="center"/>
          </w:tcPr>
          <w:p w14:paraId="7C21B645" w14:textId="348DEE4D" w:rsidR="008E31C4" w:rsidRPr="00781112" w:rsidRDefault="002B7490">
            <w:pPr>
              <w:jc w:val="center"/>
              <w:rPr>
                <w:rFonts w:cs="Arial"/>
                <w:color w:val="000000" w:themeColor="text1"/>
                <w:szCs w:val="16"/>
              </w:rPr>
            </w:pPr>
            <w:r w:rsidRPr="00781112">
              <w:rPr>
                <w:rFonts w:cs="Arial"/>
                <w:color w:val="000000" w:themeColor="text1"/>
                <w:szCs w:val="16"/>
              </w:rPr>
              <w:t>56.82%</w:t>
            </w:r>
          </w:p>
        </w:tc>
        <w:tc>
          <w:tcPr>
            <w:tcW w:w="792" w:type="pct"/>
            <w:tcBorders>
              <w:bottom w:val="single" w:sz="4" w:space="0" w:color="auto"/>
            </w:tcBorders>
            <w:shd w:val="clear" w:color="auto" w:fill="auto"/>
            <w:vAlign w:val="center"/>
          </w:tcPr>
          <w:p w14:paraId="345A5CC5" w14:textId="67CE713B" w:rsidR="008E31C4" w:rsidRPr="00781112" w:rsidRDefault="002B7490">
            <w:pPr>
              <w:jc w:val="center"/>
              <w:rPr>
                <w:rFonts w:cs="Arial"/>
                <w:color w:val="000000" w:themeColor="text1"/>
                <w:szCs w:val="16"/>
              </w:rPr>
            </w:pPr>
            <w:r w:rsidRPr="00781112">
              <w:rPr>
                <w:rFonts w:cs="Arial"/>
                <w:color w:val="000000" w:themeColor="text1"/>
                <w:szCs w:val="16"/>
              </w:rPr>
              <w:t>48.89%</w:t>
            </w:r>
          </w:p>
        </w:tc>
        <w:tc>
          <w:tcPr>
            <w:tcW w:w="875" w:type="pct"/>
            <w:tcBorders>
              <w:bottom w:val="single" w:sz="4" w:space="0" w:color="auto"/>
            </w:tcBorders>
            <w:shd w:val="clear" w:color="auto" w:fill="auto"/>
            <w:vAlign w:val="center"/>
          </w:tcPr>
          <w:p w14:paraId="09A5B408" w14:textId="4B0EB3D1" w:rsidR="008E31C4" w:rsidRPr="00781112" w:rsidRDefault="002B7490">
            <w:pPr>
              <w:jc w:val="center"/>
              <w:rPr>
                <w:rFonts w:cs="Arial"/>
                <w:color w:val="000000" w:themeColor="text1"/>
                <w:szCs w:val="16"/>
              </w:rPr>
            </w:pPr>
            <w:r w:rsidRPr="00781112">
              <w:rPr>
                <w:rFonts w:cs="Arial"/>
                <w:color w:val="000000" w:themeColor="text1"/>
                <w:szCs w:val="16"/>
              </w:rPr>
              <w:t>63.08%</w:t>
            </w:r>
          </w:p>
        </w:tc>
      </w:tr>
    </w:tbl>
    <w:p w14:paraId="2B5B5701" w14:textId="2BB5836C" w:rsidR="00DA3157" w:rsidRPr="00781112" w:rsidRDefault="00DA3157">
      <w:pPr>
        <w:rPr>
          <w:color w:val="000000" w:themeColor="text1"/>
        </w:rPr>
      </w:pPr>
    </w:p>
    <w:p w14:paraId="0F09B55F" w14:textId="55F1767C" w:rsidR="008E31C4" w:rsidRPr="00781112" w:rsidRDefault="008E31C4" w:rsidP="004369B2">
      <w:pPr>
        <w:rPr>
          <w:color w:val="000000" w:themeColor="text1"/>
        </w:rPr>
      </w:pPr>
      <w:r w:rsidRPr="00781112">
        <w:rPr>
          <w:b/>
          <w:color w:val="000000" w:themeColor="text1"/>
        </w:rPr>
        <w:t>Targets</w:t>
      </w:r>
    </w:p>
    <w:tbl>
      <w:tblPr>
        <w:tblW w:w="347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B16TARGETSOPT1"/>
      </w:tblPr>
      <w:tblGrid>
        <w:gridCol w:w="773"/>
        <w:gridCol w:w="1684"/>
        <w:gridCol w:w="1683"/>
        <w:gridCol w:w="1683"/>
        <w:gridCol w:w="1683"/>
      </w:tblGrid>
      <w:tr w:rsidR="00B67FCE" w:rsidRPr="00781112" w14:paraId="7D6724D3" w14:textId="3FE2AE32" w:rsidTr="00845B9B">
        <w:trPr>
          <w:trHeight w:val="161"/>
        </w:trPr>
        <w:tc>
          <w:tcPr>
            <w:tcW w:w="515" w:type="pct"/>
            <w:tcBorders>
              <w:bottom w:val="single" w:sz="4" w:space="0" w:color="auto"/>
            </w:tcBorders>
            <w:shd w:val="clear" w:color="auto" w:fill="auto"/>
          </w:tcPr>
          <w:p w14:paraId="027FBB7B" w14:textId="77777777" w:rsidR="00B67FCE" w:rsidRPr="00781112" w:rsidRDefault="00B67FCE" w:rsidP="00C91F30">
            <w:pPr>
              <w:jc w:val="center"/>
              <w:rPr>
                <w:b/>
                <w:color w:val="000000" w:themeColor="text1"/>
              </w:rPr>
            </w:pPr>
            <w:r w:rsidRPr="00781112">
              <w:rPr>
                <w:b/>
                <w:color w:val="000000" w:themeColor="text1"/>
              </w:rPr>
              <w:t>FFY</w:t>
            </w:r>
          </w:p>
        </w:tc>
        <w:tc>
          <w:tcPr>
            <w:tcW w:w="1122" w:type="pct"/>
            <w:shd w:val="clear" w:color="auto" w:fill="auto"/>
          </w:tcPr>
          <w:p w14:paraId="79481979" w14:textId="1C95D22E" w:rsidR="00B67FCE" w:rsidRPr="00781112" w:rsidRDefault="00B67FCE" w:rsidP="00C91F30">
            <w:pPr>
              <w:jc w:val="center"/>
              <w:rPr>
                <w:b/>
                <w:color w:val="000000" w:themeColor="text1"/>
              </w:rPr>
            </w:pPr>
            <w:r w:rsidRPr="00781112">
              <w:rPr>
                <w:b/>
                <w:color w:val="000000" w:themeColor="text1"/>
              </w:rPr>
              <w:t>2022</w:t>
            </w:r>
          </w:p>
        </w:tc>
        <w:tc>
          <w:tcPr>
            <w:tcW w:w="1121" w:type="pct"/>
          </w:tcPr>
          <w:p w14:paraId="7641993D" w14:textId="318DCACC" w:rsidR="00B67FCE" w:rsidRPr="00781112" w:rsidRDefault="00B67FCE" w:rsidP="00C91F30">
            <w:pPr>
              <w:jc w:val="center"/>
              <w:rPr>
                <w:b/>
                <w:color w:val="000000" w:themeColor="text1"/>
              </w:rPr>
            </w:pPr>
            <w:r w:rsidRPr="00781112">
              <w:rPr>
                <w:rFonts w:cs="Arial"/>
                <w:b/>
                <w:color w:val="000000" w:themeColor="text1"/>
                <w:szCs w:val="16"/>
              </w:rPr>
              <w:t>2023</w:t>
            </w:r>
          </w:p>
        </w:tc>
        <w:tc>
          <w:tcPr>
            <w:tcW w:w="1121" w:type="pct"/>
          </w:tcPr>
          <w:p w14:paraId="4DA0BAA3" w14:textId="27A9B6F2" w:rsidR="00B67FCE" w:rsidRPr="00781112" w:rsidRDefault="00B67FCE" w:rsidP="00C91F30">
            <w:pPr>
              <w:jc w:val="center"/>
              <w:rPr>
                <w:b/>
                <w:color w:val="000000" w:themeColor="text1"/>
              </w:rPr>
            </w:pPr>
            <w:r w:rsidRPr="00781112">
              <w:rPr>
                <w:rFonts w:cs="Arial"/>
                <w:b/>
                <w:color w:val="000000" w:themeColor="text1"/>
                <w:szCs w:val="16"/>
              </w:rPr>
              <w:t>2024</w:t>
            </w:r>
          </w:p>
        </w:tc>
        <w:tc>
          <w:tcPr>
            <w:tcW w:w="1121" w:type="pct"/>
          </w:tcPr>
          <w:p w14:paraId="2A24D443" w14:textId="34DC3CA7" w:rsidR="00B67FCE" w:rsidRPr="00781112" w:rsidRDefault="00B67FCE" w:rsidP="00C91F30">
            <w:pPr>
              <w:jc w:val="center"/>
              <w:rPr>
                <w:b/>
                <w:color w:val="000000" w:themeColor="text1"/>
              </w:rPr>
            </w:pPr>
            <w:r w:rsidRPr="00781112">
              <w:rPr>
                <w:rFonts w:cs="Arial"/>
                <w:b/>
                <w:color w:val="000000" w:themeColor="text1"/>
                <w:szCs w:val="16"/>
              </w:rPr>
              <w:t>2025</w:t>
            </w:r>
          </w:p>
        </w:tc>
      </w:tr>
      <w:tr w:rsidR="00B67FCE" w:rsidRPr="00781112" w14:paraId="3CA53C0F" w14:textId="2DEE5BE6" w:rsidTr="00845B9B">
        <w:trPr>
          <w:trHeight w:val="60"/>
        </w:trPr>
        <w:tc>
          <w:tcPr>
            <w:tcW w:w="515" w:type="pct"/>
            <w:shd w:val="clear" w:color="auto" w:fill="auto"/>
          </w:tcPr>
          <w:p w14:paraId="78FC9CAC" w14:textId="6980A1CA" w:rsidR="00B67FCE" w:rsidRPr="00781112" w:rsidRDefault="00B67FCE" w:rsidP="00C91F30">
            <w:pPr>
              <w:jc w:val="center"/>
              <w:rPr>
                <w:rFonts w:cs="Arial"/>
                <w:color w:val="000000" w:themeColor="text1"/>
                <w:szCs w:val="16"/>
              </w:rPr>
            </w:pPr>
            <w:r w:rsidRPr="00781112">
              <w:rPr>
                <w:rFonts w:cs="Arial"/>
                <w:color w:val="000000" w:themeColor="text1"/>
                <w:szCs w:val="16"/>
              </w:rPr>
              <w:t>Target &gt;=</w:t>
            </w:r>
          </w:p>
        </w:tc>
        <w:tc>
          <w:tcPr>
            <w:tcW w:w="1122" w:type="pct"/>
            <w:shd w:val="clear" w:color="auto" w:fill="auto"/>
            <w:vAlign w:val="center"/>
          </w:tcPr>
          <w:p w14:paraId="0E137397" w14:textId="06CBC1FD" w:rsidR="00B67FCE" w:rsidRPr="00781112" w:rsidRDefault="00B67FCE" w:rsidP="00C91F30">
            <w:pPr>
              <w:jc w:val="center"/>
              <w:rPr>
                <w:rFonts w:cs="Arial"/>
                <w:color w:val="000000" w:themeColor="text1"/>
                <w:szCs w:val="16"/>
              </w:rPr>
            </w:pPr>
            <w:r w:rsidRPr="00781112">
              <w:rPr>
                <w:rFonts w:cs="Arial"/>
                <w:color w:val="000000" w:themeColor="text1"/>
                <w:szCs w:val="16"/>
              </w:rPr>
              <w:t>54.35%</w:t>
            </w:r>
          </w:p>
        </w:tc>
        <w:tc>
          <w:tcPr>
            <w:tcW w:w="1121" w:type="pct"/>
          </w:tcPr>
          <w:p w14:paraId="2C484D83" w14:textId="77BCE060" w:rsidR="00B67FCE" w:rsidRPr="00781112" w:rsidRDefault="00B67FCE" w:rsidP="00C91F30">
            <w:pPr>
              <w:jc w:val="center"/>
              <w:rPr>
                <w:rFonts w:cs="Arial"/>
                <w:color w:val="000000" w:themeColor="text1"/>
                <w:szCs w:val="16"/>
              </w:rPr>
            </w:pPr>
            <w:r w:rsidRPr="00781112">
              <w:rPr>
                <w:color w:val="000000" w:themeColor="text1"/>
                <w:szCs w:val="16"/>
              </w:rPr>
              <w:t>54.35%</w:t>
            </w:r>
          </w:p>
        </w:tc>
        <w:tc>
          <w:tcPr>
            <w:tcW w:w="1121" w:type="pct"/>
          </w:tcPr>
          <w:p w14:paraId="6CD274F3" w14:textId="076582AE" w:rsidR="00B67FCE" w:rsidRPr="00781112" w:rsidRDefault="00B67FCE" w:rsidP="00C91F30">
            <w:pPr>
              <w:jc w:val="center"/>
              <w:rPr>
                <w:rFonts w:cs="Arial"/>
                <w:color w:val="000000" w:themeColor="text1"/>
                <w:szCs w:val="16"/>
              </w:rPr>
            </w:pPr>
            <w:r w:rsidRPr="00781112">
              <w:rPr>
                <w:color w:val="000000" w:themeColor="text1"/>
                <w:szCs w:val="16"/>
              </w:rPr>
              <w:t>54.35%</w:t>
            </w:r>
          </w:p>
        </w:tc>
        <w:tc>
          <w:tcPr>
            <w:tcW w:w="1121" w:type="pct"/>
          </w:tcPr>
          <w:p w14:paraId="60DD90BA" w14:textId="5816204A" w:rsidR="00B67FCE" w:rsidRPr="00781112" w:rsidRDefault="00B67FCE" w:rsidP="00C91F30">
            <w:pPr>
              <w:jc w:val="center"/>
              <w:rPr>
                <w:rFonts w:cs="Arial"/>
                <w:color w:val="000000" w:themeColor="text1"/>
                <w:szCs w:val="16"/>
              </w:rPr>
            </w:pPr>
            <w:r w:rsidRPr="00781112">
              <w:rPr>
                <w:color w:val="000000" w:themeColor="text1"/>
                <w:szCs w:val="16"/>
              </w:rPr>
              <w:t>54.35%</w:t>
            </w:r>
          </w:p>
        </w:tc>
      </w:tr>
    </w:tbl>
    <w:p w14:paraId="3BC65958" w14:textId="77777777" w:rsidR="00DA3157" w:rsidRPr="00781112" w:rsidRDefault="00DA3157" w:rsidP="004369B2">
      <w:pPr>
        <w:rPr>
          <w:color w:val="000000" w:themeColor="text1"/>
        </w:rPr>
      </w:pPr>
    </w:p>
    <w:p w14:paraId="29FDEA16" w14:textId="1A292C90" w:rsidR="008E31C4" w:rsidRPr="00781112" w:rsidRDefault="0047313F">
      <w:pPr>
        <w:rPr>
          <w:b/>
          <w:color w:val="000000" w:themeColor="text1"/>
        </w:rPr>
      </w:pPr>
      <w:r>
        <w:rPr>
          <w:b/>
          <w:color w:val="000000" w:themeColor="text1"/>
        </w:rPr>
        <w:t>FFY 2022 SPP/APR Data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B16CFFYAPRDATA1OPT1"/>
      </w:tblPr>
      <w:tblGrid>
        <w:gridCol w:w="1438"/>
        <w:gridCol w:w="1437"/>
        <w:gridCol w:w="1405"/>
        <w:gridCol w:w="1107"/>
        <w:gridCol w:w="1640"/>
        <w:gridCol w:w="1290"/>
        <w:gridCol w:w="1256"/>
        <w:gridCol w:w="1217"/>
      </w:tblGrid>
      <w:tr w:rsidR="00B21923" w:rsidRPr="00781112" w14:paraId="30B18EC1" w14:textId="77777777" w:rsidTr="0033429D">
        <w:trPr>
          <w:trHeight w:val="354"/>
          <w:tblHeader/>
        </w:trPr>
        <w:tc>
          <w:tcPr>
            <w:tcW w:w="666" w:type="pct"/>
            <w:shd w:val="clear" w:color="auto" w:fill="auto"/>
          </w:tcPr>
          <w:p w14:paraId="2285C16D" w14:textId="593BA89E" w:rsidR="00B21923" w:rsidRPr="00781112" w:rsidRDefault="00B21923" w:rsidP="00B21923">
            <w:pPr>
              <w:jc w:val="center"/>
              <w:rPr>
                <w:rFonts w:cs="Arial"/>
                <w:b/>
                <w:color w:val="000000" w:themeColor="text1"/>
                <w:szCs w:val="16"/>
              </w:rPr>
            </w:pPr>
            <w:r w:rsidRPr="00781112">
              <w:rPr>
                <w:rFonts w:cs="Arial"/>
                <w:b/>
                <w:color w:val="000000" w:themeColor="text1"/>
                <w:szCs w:val="16"/>
              </w:rPr>
              <w:lastRenderedPageBreak/>
              <w:t>2.1.a.i Mediation agreements related to due process complaints</w:t>
            </w:r>
          </w:p>
        </w:tc>
        <w:tc>
          <w:tcPr>
            <w:tcW w:w="666" w:type="pct"/>
            <w:shd w:val="clear" w:color="auto" w:fill="auto"/>
            <w:vAlign w:val="bottom"/>
          </w:tcPr>
          <w:p w14:paraId="0D0A1148" w14:textId="5AB9157D" w:rsidR="00B21923" w:rsidRPr="00781112" w:rsidRDefault="00B21923" w:rsidP="00B21923">
            <w:pPr>
              <w:jc w:val="center"/>
              <w:rPr>
                <w:rFonts w:cs="Arial"/>
                <w:b/>
                <w:color w:val="000000" w:themeColor="text1"/>
                <w:szCs w:val="16"/>
              </w:rPr>
            </w:pPr>
            <w:r w:rsidRPr="00781112">
              <w:rPr>
                <w:rFonts w:cs="Arial"/>
                <w:b/>
                <w:color w:val="000000" w:themeColor="text1"/>
                <w:szCs w:val="16"/>
              </w:rPr>
              <w:t>2.1.b.i Mediation agreements not related to due process complaints</w:t>
            </w:r>
          </w:p>
        </w:tc>
        <w:tc>
          <w:tcPr>
            <w:tcW w:w="651" w:type="pct"/>
            <w:shd w:val="clear" w:color="auto" w:fill="auto"/>
            <w:vAlign w:val="bottom"/>
          </w:tcPr>
          <w:p w14:paraId="5645AEFA" w14:textId="3277104A" w:rsidR="00B21923" w:rsidRPr="00781112" w:rsidRDefault="00B21923" w:rsidP="00B21923">
            <w:pPr>
              <w:jc w:val="center"/>
              <w:rPr>
                <w:rFonts w:cs="Arial"/>
                <w:b/>
                <w:color w:val="000000" w:themeColor="text1"/>
                <w:szCs w:val="16"/>
              </w:rPr>
            </w:pPr>
            <w:r w:rsidRPr="00781112">
              <w:rPr>
                <w:rFonts w:cs="Arial"/>
                <w:b/>
                <w:color w:val="000000" w:themeColor="text1"/>
                <w:szCs w:val="16"/>
              </w:rPr>
              <w:t>2.1 Number of mediations held</w:t>
            </w:r>
          </w:p>
        </w:tc>
        <w:tc>
          <w:tcPr>
            <w:tcW w:w="513" w:type="pct"/>
            <w:shd w:val="clear" w:color="auto" w:fill="auto"/>
            <w:vAlign w:val="bottom"/>
          </w:tcPr>
          <w:p w14:paraId="4A569306" w14:textId="389F40DE" w:rsidR="00B21923" w:rsidRPr="006D0A52" w:rsidRDefault="00B21923" w:rsidP="00B21923">
            <w:pPr>
              <w:jc w:val="center"/>
              <w:rPr>
                <w:rFonts w:cs="Arial"/>
                <w:b/>
                <w:bCs/>
                <w:color w:val="000000" w:themeColor="text1"/>
                <w:szCs w:val="16"/>
              </w:rPr>
            </w:pPr>
            <w:r w:rsidRPr="006D0A52">
              <w:rPr>
                <w:b/>
                <w:bCs/>
              </w:rPr>
              <w:t>FFY 2021 Data</w:t>
            </w:r>
          </w:p>
        </w:tc>
        <w:tc>
          <w:tcPr>
            <w:tcW w:w="760" w:type="pct"/>
            <w:shd w:val="clear" w:color="auto" w:fill="auto"/>
            <w:vAlign w:val="bottom"/>
          </w:tcPr>
          <w:p w14:paraId="76531DBA" w14:textId="50885319" w:rsidR="00B21923" w:rsidRPr="006D0A52" w:rsidRDefault="00B21923" w:rsidP="00B21923">
            <w:pPr>
              <w:jc w:val="center"/>
              <w:rPr>
                <w:rFonts w:cs="Arial"/>
                <w:b/>
                <w:bCs/>
                <w:color w:val="000000" w:themeColor="text1"/>
                <w:szCs w:val="16"/>
              </w:rPr>
            </w:pPr>
            <w:r w:rsidRPr="006D0A52">
              <w:rPr>
                <w:b/>
                <w:bCs/>
              </w:rPr>
              <w:t>FFY 2022 Target</w:t>
            </w:r>
          </w:p>
        </w:tc>
        <w:tc>
          <w:tcPr>
            <w:tcW w:w="598" w:type="pct"/>
            <w:shd w:val="clear" w:color="auto" w:fill="auto"/>
            <w:vAlign w:val="bottom"/>
          </w:tcPr>
          <w:p w14:paraId="6DA84C86" w14:textId="18E8C6BE" w:rsidR="00B21923" w:rsidRPr="006D0A52" w:rsidRDefault="00B21923" w:rsidP="00B21923">
            <w:pPr>
              <w:jc w:val="center"/>
              <w:rPr>
                <w:rFonts w:cs="Arial"/>
                <w:b/>
                <w:bCs/>
                <w:color w:val="000000" w:themeColor="text1"/>
                <w:szCs w:val="16"/>
              </w:rPr>
            </w:pPr>
            <w:r w:rsidRPr="006D0A52">
              <w:rPr>
                <w:b/>
                <w:bCs/>
              </w:rPr>
              <w:t>FFY 2022 Data</w:t>
            </w:r>
          </w:p>
        </w:tc>
        <w:tc>
          <w:tcPr>
            <w:tcW w:w="582" w:type="pct"/>
            <w:shd w:val="clear" w:color="auto" w:fill="auto"/>
            <w:vAlign w:val="bottom"/>
          </w:tcPr>
          <w:p w14:paraId="6C8C9681" w14:textId="77777777" w:rsidR="00B21923" w:rsidRPr="00781112" w:rsidRDefault="00B21923" w:rsidP="00B21923">
            <w:pPr>
              <w:jc w:val="center"/>
              <w:rPr>
                <w:rFonts w:cs="Arial"/>
                <w:b/>
                <w:color w:val="000000" w:themeColor="text1"/>
                <w:szCs w:val="16"/>
              </w:rPr>
            </w:pPr>
            <w:r w:rsidRPr="00781112">
              <w:rPr>
                <w:rFonts w:cs="Arial"/>
                <w:b/>
                <w:color w:val="000000" w:themeColor="text1"/>
                <w:szCs w:val="16"/>
              </w:rPr>
              <w:t>Status</w:t>
            </w:r>
          </w:p>
        </w:tc>
        <w:tc>
          <w:tcPr>
            <w:tcW w:w="564" w:type="pct"/>
            <w:shd w:val="clear" w:color="auto" w:fill="auto"/>
            <w:vAlign w:val="bottom"/>
          </w:tcPr>
          <w:p w14:paraId="6876CD5E" w14:textId="77777777" w:rsidR="00B21923" w:rsidRPr="00781112" w:rsidRDefault="00B21923" w:rsidP="00B21923">
            <w:pPr>
              <w:jc w:val="center"/>
              <w:rPr>
                <w:rFonts w:cs="Arial"/>
                <w:b/>
                <w:color w:val="000000" w:themeColor="text1"/>
                <w:szCs w:val="16"/>
              </w:rPr>
            </w:pPr>
            <w:r w:rsidRPr="00781112">
              <w:rPr>
                <w:rFonts w:cs="Arial"/>
                <w:b/>
                <w:color w:val="000000" w:themeColor="text1"/>
                <w:szCs w:val="16"/>
              </w:rPr>
              <w:t>Slippage</w:t>
            </w:r>
          </w:p>
        </w:tc>
      </w:tr>
      <w:tr w:rsidR="005C29F8" w:rsidRPr="00781112" w14:paraId="580CADA4" w14:textId="77777777" w:rsidTr="00326814">
        <w:trPr>
          <w:trHeight w:val="361"/>
        </w:trPr>
        <w:tc>
          <w:tcPr>
            <w:tcW w:w="666" w:type="pct"/>
            <w:shd w:val="clear" w:color="auto" w:fill="auto"/>
          </w:tcPr>
          <w:p w14:paraId="229DBD16" w14:textId="3985AF14" w:rsidR="00ED71A6" w:rsidRPr="00781112" w:rsidRDefault="002B7490" w:rsidP="004369B2">
            <w:pPr>
              <w:jc w:val="center"/>
              <w:rPr>
                <w:rFonts w:cs="Arial"/>
                <w:color w:val="000000" w:themeColor="text1"/>
                <w:szCs w:val="16"/>
              </w:rPr>
            </w:pPr>
            <w:r w:rsidRPr="00781112">
              <w:rPr>
                <w:rFonts w:cs="Arial"/>
                <w:color w:val="000000" w:themeColor="text1"/>
                <w:szCs w:val="16"/>
              </w:rPr>
              <w:t>7</w:t>
            </w:r>
          </w:p>
        </w:tc>
        <w:tc>
          <w:tcPr>
            <w:tcW w:w="666" w:type="pct"/>
            <w:shd w:val="clear" w:color="auto" w:fill="auto"/>
          </w:tcPr>
          <w:p w14:paraId="26BE4267" w14:textId="64153881" w:rsidR="00ED71A6" w:rsidRPr="00781112" w:rsidRDefault="002B7490" w:rsidP="004369B2">
            <w:pPr>
              <w:jc w:val="center"/>
              <w:rPr>
                <w:rFonts w:cs="Arial"/>
                <w:color w:val="000000" w:themeColor="text1"/>
                <w:szCs w:val="16"/>
              </w:rPr>
            </w:pPr>
            <w:r w:rsidRPr="00781112">
              <w:rPr>
                <w:rFonts w:cs="Arial"/>
                <w:color w:val="000000" w:themeColor="text1"/>
                <w:szCs w:val="16"/>
              </w:rPr>
              <w:t>27</w:t>
            </w:r>
          </w:p>
        </w:tc>
        <w:tc>
          <w:tcPr>
            <w:tcW w:w="651" w:type="pct"/>
            <w:shd w:val="clear" w:color="auto" w:fill="auto"/>
            <w:vAlign w:val="center"/>
          </w:tcPr>
          <w:p w14:paraId="6C063D69" w14:textId="6595E94B" w:rsidR="00ED71A6" w:rsidRPr="00781112" w:rsidRDefault="002B7490" w:rsidP="004369B2">
            <w:pPr>
              <w:jc w:val="center"/>
              <w:rPr>
                <w:rFonts w:cs="Arial"/>
                <w:color w:val="000000" w:themeColor="text1"/>
                <w:szCs w:val="16"/>
              </w:rPr>
            </w:pPr>
            <w:r w:rsidRPr="00781112">
              <w:rPr>
                <w:rFonts w:cs="Arial"/>
                <w:color w:val="000000" w:themeColor="text1"/>
                <w:szCs w:val="16"/>
              </w:rPr>
              <w:t>50</w:t>
            </w:r>
          </w:p>
        </w:tc>
        <w:tc>
          <w:tcPr>
            <w:tcW w:w="513" w:type="pct"/>
            <w:shd w:val="clear" w:color="auto" w:fill="auto"/>
          </w:tcPr>
          <w:p w14:paraId="466ED6BC" w14:textId="5349E9C8" w:rsidR="00ED71A6" w:rsidRPr="00781112" w:rsidRDefault="002B7490" w:rsidP="004369B2">
            <w:pPr>
              <w:jc w:val="center"/>
              <w:rPr>
                <w:rFonts w:cs="Arial"/>
                <w:color w:val="000000" w:themeColor="text1"/>
                <w:szCs w:val="16"/>
              </w:rPr>
            </w:pPr>
            <w:r w:rsidRPr="00781112">
              <w:rPr>
                <w:rFonts w:cs="Arial"/>
                <w:color w:val="000000" w:themeColor="text1"/>
                <w:szCs w:val="16"/>
              </w:rPr>
              <w:t>63.08%</w:t>
            </w:r>
          </w:p>
        </w:tc>
        <w:tc>
          <w:tcPr>
            <w:tcW w:w="760" w:type="pct"/>
            <w:shd w:val="clear" w:color="auto" w:fill="auto"/>
          </w:tcPr>
          <w:p w14:paraId="2530D239" w14:textId="21181E1F" w:rsidR="00ED71A6" w:rsidRPr="00781112" w:rsidRDefault="002B7490" w:rsidP="004369B2">
            <w:pPr>
              <w:jc w:val="center"/>
              <w:rPr>
                <w:rFonts w:cs="Arial"/>
                <w:color w:val="000000" w:themeColor="text1"/>
                <w:szCs w:val="16"/>
              </w:rPr>
            </w:pPr>
            <w:r w:rsidRPr="00781112">
              <w:rPr>
                <w:rFonts w:cs="Arial"/>
                <w:color w:val="000000" w:themeColor="text1"/>
                <w:szCs w:val="16"/>
              </w:rPr>
              <w:t>54.35%</w:t>
            </w:r>
          </w:p>
        </w:tc>
        <w:tc>
          <w:tcPr>
            <w:tcW w:w="598" w:type="pct"/>
            <w:shd w:val="clear" w:color="auto" w:fill="auto"/>
          </w:tcPr>
          <w:p w14:paraId="5CFDAC12" w14:textId="030BF46B" w:rsidR="00ED71A6" w:rsidRPr="00781112" w:rsidRDefault="002B7490" w:rsidP="004369B2">
            <w:pPr>
              <w:jc w:val="center"/>
              <w:rPr>
                <w:rFonts w:cs="Arial"/>
                <w:color w:val="000000" w:themeColor="text1"/>
                <w:szCs w:val="16"/>
              </w:rPr>
            </w:pPr>
            <w:r w:rsidRPr="00781112">
              <w:rPr>
                <w:rFonts w:cs="Arial"/>
                <w:color w:val="000000" w:themeColor="text1"/>
                <w:szCs w:val="16"/>
              </w:rPr>
              <w:t>68.00%</w:t>
            </w:r>
          </w:p>
        </w:tc>
        <w:tc>
          <w:tcPr>
            <w:tcW w:w="582" w:type="pct"/>
            <w:shd w:val="clear" w:color="auto" w:fill="auto"/>
          </w:tcPr>
          <w:p w14:paraId="0ABF26CD" w14:textId="7C384528" w:rsidR="00ED71A6" w:rsidRPr="00781112" w:rsidRDefault="002B7490" w:rsidP="004369B2">
            <w:pPr>
              <w:jc w:val="center"/>
              <w:rPr>
                <w:rFonts w:cs="Arial"/>
                <w:color w:val="000000" w:themeColor="text1"/>
                <w:szCs w:val="16"/>
              </w:rPr>
            </w:pPr>
            <w:r w:rsidRPr="00781112">
              <w:rPr>
                <w:rFonts w:cs="Arial"/>
                <w:color w:val="000000" w:themeColor="text1"/>
                <w:szCs w:val="16"/>
              </w:rPr>
              <w:t>Met target</w:t>
            </w:r>
          </w:p>
        </w:tc>
        <w:tc>
          <w:tcPr>
            <w:tcW w:w="564" w:type="pct"/>
            <w:shd w:val="clear" w:color="auto" w:fill="auto"/>
          </w:tcPr>
          <w:p w14:paraId="62404E67" w14:textId="522FE20B" w:rsidR="00ED71A6" w:rsidRPr="00781112" w:rsidRDefault="002B7490" w:rsidP="004369B2">
            <w:pPr>
              <w:jc w:val="center"/>
              <w:rPr>
                <w:rFonts w:cs="Arial"/>
                <w:color w:val="000000" w:themeColor="text1"/>
                <w:szCs w:val="16"/>
              </w:rPr>
            </w:pPr>
            <w:r w:rsidRPr="00781112">
              <w:rPr>
                <w:rFonts w:cs="Arial"/>
                <w:color w:val="000000" w:themeColor="text1"/>
                <w:szCs w:val="16"/>
              </w:rPr>
              <w:t>No Slippage</w:t>
            </w:r>
          </w:p>
        </w:tc>
      </w:tr>
    </w:tbl>
    <w:p w14:paraId="03422290" w14:textId="77777777" w:rsidR="00BB79DA" w:rsidRPr="00781112" w:rsidRDefault="00BB79DA">
      <w:pPr>
        <w:rPr>
          <w:color w:val="000000" w:themeColor="text1"/>
        </w:rPr>
      </w:pPr>
    </w:p>
    <w:p w14:paraId="7653BA1E" w14:textId="77777777" w:rsidR="00913A33" w:rsidRPr="00781112" w:rsidRDefault="00913A33" w:rsidP="00913A33">
      <w:pPr>
        <w:rPr>
          <w:rFonts w:cs="Arial"/>
          <w:b/>
          <w:color w:val="000000" w:themeColor="text1"/>
          <w:szCs w:val="16"/>
        </w:rPr>
      </w:pPr>
      <w:r w:rsidRPr="00781112">
        <w:rPr>
          <w:rFonts w:cs="Arial"/>
          <w:b/>
          <w:color w:val="000000" w:themeColor="text1"/>
          <w:szCs w:val="16"/>
        </w:rPr>
        <w:t>Provide additional information about this indicator (optional)</w:t>
      </w:r>
    </w:p>
    <w:p w14:paraId="609BD927" w14:textId="47FAE461" w:rsidR="00293C7E" w:rsidRPr="00781112" w:rsidRDefault="00293C7E" w:rsidP="007D435F">
      <w:pPr>
        <w:rPr>
          <w:rFonts w:cs="Arial"/>
          <w:color w:val="000000" w:themeColor="text1"/>
          <w:szCs w:val="16"/>
        </w:rPr>
      </w:pPr>
    </w:p>
    <w:p w14:paraId="01544738" w14:textId="0D3ECCB4" w:rsidR="00293C7E" w:rsidRPr="00781112" w:rsidRDefault="001C46DC" w:rsidP="00123D76">
      <w:pPr>
        <w:pStyle w:val="Heading2"/>
      </w:pPr>
      <w:r w:rsidRPr="00781112">
        <w:t>16</w:t>
      </w:r>
      <w:r w:rsidR="001D508D" w:rsidRPr="00781112">
        <w:t xml:space="preserve"> </w:t>
      </w:r>
      <w:r w:rsidRPr="00781112">
        <w:t xml:space="preserve">- </w:t>
      </w:r>
      <w:r w:rsidR="00293C7E" w:rsidRPr="00781112">
        <w:t>Prior FFY Required Actions</w:t>
      </w:r>
    </w:p>
    <w:p w14:paraId="7049B053" w14:textId="64040937" w:rsidR="009F69E7" w:rsidRPr="00781112" w:rsidRDefault="002B7490" w:rsidP="00293C7E">
      <w:pPr>
        <w:rPr>
          <w:rFonts w:cs="Arial"/>
          <w:color w:val="000000" w:themeColor="text1"/>
          <w:szCs w:val="16"/>
        </w:rPr>
      </w:pPr>
      <w:r w:rsidRPr="00781112">
        <w:rPr>
          <w:rFonts w:cs="Arial"/>
          <w:color w:val="000000" w:themeColor="text1"/>
          <w:szCs w:val="16"/>
        </w:rPr>
        <w:t>None</w:t>
      </w:r>
    </w:p>
    <w:p w14:paraId="169C5129" w14:textId="3D3FC1C0" w:rsidR="00913A33" w:rsidRPr="00781112" w:rsidRDefault="001C46DC" w:rsidP="00123D76">
      <w:pPr>
        <w:pStyle w:val="Heading2"/>
      </w:pPr>
      <w:r w:rsidRPr="00781112">
        <w:t>16 - OSEP Response</w:t>
      </w:r>
    </w:p>
    <w:p w14:paraId="5F7A0890" w14:textId="4F76A7D5" w:rsidR="00293C7E" w:rsidRPr="00781112" w:rsidRDefault="00293C7E" w:rsidP="001F692C">
      <w:pPr>
        <w:rPr>
          <w:rFonts w:cs="Arial"/>
          <w:color w:val="000000" w:themeColor="text1"/>
          <w:szCs w:val="16"/>
        </w:rPr>
      </w:pPr>
    </w:p>
    <w:p w14:paraId="55A8CDDB" w14:textId="51F8AA9B" w:rsidR="00913A33" w:rsidRPr="00781112" w:rsidRDefault="001C46DC" w:rsidP="00123D76">
      <w:pPr>
        <w:pStyle w:val="Heading2"/>
      </w:pPr>
      <w:r w:rsidRPr="00781112">
        <w:t>16 - Required Actions</w:t>
      </w:r>
    </w:p>
    <w:p w14:paraId="72813E4E" w14:textId="532E1944" w:rsidR="00293C7E" w:rsidRPr="00781112" w:rsidRDefault="00293C7E" w:rsidP="001F692C">
      <w:pPr>
        <w:rPr>
          <w:rFonts w:cs="Arial"/>
          <w:color w:val="000000" w:themeColor="text1"/>
          <w:szCs w:val="16"/>
        </w:rPr>
      </w:pPr>
    </w:p>
    <w:p w14:paraId="79966887" w14:textId="11440645" w:rsidR="00755AF7" w:rsidRPr="00781112" w:rsidRDefault="00755AF7">
      <w:pPr>
        <w:spacing w:before="0" w:after="200" w:line="276" w:lineRule="auto"/>
        <w:rPr>
          <w:rFonts w:cs="Arial"/>
          <w:color w:val="000000" w:themeColor="text1"/>
          <w:szCs w:val="16"/>
        </w:rPr>
      </w:pPr>
    </w:p>
    <w:p w14:paraId="40F6AE64" w14:textId="77777777" w:rsidR="00AE1972" w:rsidRPr="00781112" w:rsidRDefault="00AE1972">
      <w:pPr>
        <w:spacing w:before="0" w:after="200" w:line="276" w:lineRule="auto"/>
        <w:rPr>
          <w:color w:val="000000" w:themeColor="text1"/>
        </w:rPr>
      </w:pPr>
      <w:r w:rsidRPr="00781112">
        <w:rPr>
          <w:color w:val="000000" w:themeColor="text1"/>
        </w:rPr>
        <w:br w:type="page"/>
      </w:r>
    </w:p>
    <w:p w14:paraId="528D0D37" w14:textId="5C401108" w:rsidR="00AE1972" w:rsidRPr="00781112" w:rsidRDefault="00AE1972" w:rsidP="00AE1972">
      <w:pPr>
        <w:pStyle w:val="Heading1"/>
        <w:rPr>
          <w:color w:val="000000" w:themeColor="text1"/>
        </w:rPr>
      </w:pPr>
      <w:r w:rsidRPr="00781112">
        <w:rPr>
          <w:color w:val="000000" w:themeColor="text1"/>
        </w:rPr>
        <w:lastRenderedPageBreak/>
        <w:t>Indicator 17: State Systemic Improvement Plan</w:t>
      </w:r>
    </w:p>
    <w:p w14:paraId="0840DD7C" w14:textId="77777777" w:rsidR="00AE1972" w:rsidRPr="00781112" w:rsidRDefault="00AE1972" w:rsidP="00AE1972">
      <w:pPr>
        <w:rPr>
          <w:color w:val="000000" w:themeColor="text1"/>
          <w:szCs w:val="20"/>
        </w:rPr>
      </w:pPr>
      <w:r w:rsidRPr="00781112">
        <w:rPr>
          <w:b/>
          <w:color w:val="000000" w:themeColor="text1"/>
          <w:sz w:val="20"/>
          <w:szCs w:val="20"/>
        </w:rPr>
        <w:t>Instructions and Measurement</w:t>
      </w:r>
    </w:p>
    <w:p w14:paraId="3B7DA41B" w14:textId="77777777" w:rsidR="00AE1972" w:rsidRPr="00781112" w:rsidRDefault="00AE1972" w:rsidP="00AE1972">
      <w:pPr>
        <w:rPr>
          <w:color w:val="000000" w:themeColor="text1"/>
          <w:szCs w:val="16"/>
        </w:rPr>
      </w:pPr>
      <w:r w:rsidRPr="00781112">
        <w:rPr>
          <w:b/>
          <w:color w:val="000000" w:themeColor="text1"/>
          <w:szCs w:val="16"/>
        </w:rPr>
        <w:t xml:space="preserve">Monitoring Priority: </w:t>
      </w:r>
      <w:r w:rsidRPr="00781112">
        <w:rPr>
          <w:color w:val="000000" w:themeColor="text1"/>
          <w:szCs w:val="16"/>
        </w:rPr>
        <w:t xml:space="preserve">General Supervision </w:t>
      </w:r>
    </w:p>
    <w:p w14:paraId="5E0D7347" w14:textId="77777777" w:rsidR="00AE1972" w:rsidRPr="00781112" w:rsidRDefault="00AE1972" w:rsidP="00AE1972">
      <w:pPr>
        <w:rPr>
          <w:b/>
          <w:color w:val="000000" w:themeColor="text1"/>
          <w:szCs w:val="16"/>
        </w:rPr>
      </w:pPr>
      <w:r w:rsidRPr="00781112">
        <w:rPr>
          <w:color w:val="000000" w:themeColor="text1"/>
          <w:szCs w:val="16"/>
        </w:rPr>
        <w:t>The State’s SPP/APR includes a State Systemic Improvement Plan (SSIP) that meets the requirements set forth for this indicator.</w:t>
      </w:r>
    </w:p>
    <w:p w14:paraId="450C51F8" w14:textId="77777777" w:rsidR="00AE1972" w:rsidRPr="00781112" w:rsidRDefault="00AE1972" w:rsidP="00AE1972">
      <w:pPr>
        <w:rPr>
          <w:b/>
          <w:color w:val="000000" w:themeColor="text1"/>
        </w:rPr>
      </w:pPr>
      <w:r w:rsidRPr="00781112">
        <w:rPr>
          <w:b/>
          <w:color w:val="000000" w:themeColor="text1"/>
        </w:rPr>
        <w:t>Measurement</w:t>
      </w:r>
    </w:p>
    <w:p w14:paraId="04B17582" w14:textId="6FB0482A" w:rsidR="00AE1972" w:rsidRPr="00781112" w:rsidRDefault="00AE1972" w:rsidP="00AE1972">
      <w:r w:rsidRPr="00781112">
        <w:t xml:space="preserve">The State’s SPP/APR includes an SSIP that is a comprehensive, ambitious, yet achievable multi-year plan for improving results </w:t>
      </w:r>
      <w:r w:rsidR="00002E37" w:rsidRPr="00651E83">
        <w:rPr>
          <w:rFonts w:cs="Arial"/>
          <w:szCs w:val="16"/>
        </w:rPr>
        <w:t xml:space="preserve">for </w:t>
      </w:r>
      <w:r w:rsidR="006B5750">
        <w:rPr>
          <w:rFonts w:cs="Arial"/>
          <w:szCs w:val="16"/>
        </w:rPr>
        <w:t>children</w:t>
      </w:r>
      <w:r w:rsidR="006B5750" w:rsidRPr="00651E83">
        <w:rPr>
          <w:rFonts w:cs="Arial"/>
          <w:szCs w:val="16"/>
        </w:rPr>
        <w:t xml:space="preserve"> </w:t>
      </w:r>
      <w:r w:rsidR="00002E37" w:rsidRPr="00651E83">
        <w:rPr>
          <w:rFonts w:cs="Arial"/>
          <w:szCs w:val="16"/>
        </w:rPr>
        <w:t>with disabilities</w:t>
      </w:r>
      <w:r w:rsidRPr="00781112">
        <w:t>. The SSIP includes each of the components described below.</w:t>
      </w:r>
    </w:p>
    <w:p w14:paraId="26F5AA9C" w14:textId="77777777" w:rsidR="00AE1972" w:rsidRPr="00781112" w:rsidRDefault="00AE1972" w:rsidP="00AE1972">
      <w:pPr>
        <w:rPr>
          <w:b/>
          <w:color w:val="000000" w:themeColor="text1"/>
        </w:rPr>
      </w:pPr>
      <w:r w:rsidRPr="00781112">
        <w:rPr>
          <w:b/>
          <w:color w:val="000000" w:themeColor="text1"/>
        </w:rPr>
        <w:t>Instructions</w:t>
      </w:r>
    </w:p>
    <w:p w14:paraId="399EE6DB" w14:textId="5C211478" w:rsidR="00AE1972" w:rsidRPr="00781112" w:rsidRDefault="00AE1972" w:rsidP="00AE1972">
      <w:r w:rsidRPr="00781112">
        <w:rPr>
          <w:b/>
          <w:iCs/>
          <w:u w:val="single"/>
        </w:rPr>
        <w:t>Baseline Data</w:t>
      </w:r>
      <w:r w:rsidRPr="00781112">
        <w:rPr>
          <w:b/>
          <w:i/>
        </w:rPr>
        <w:t>:</w:t>
      </w:r>
      <w:r w:rsidRPr="00781112">
        <w:t xml:space="preserve"> The State must provide baseline data that must be expressed as a </w:t>
      </w:r>
      <w:proofErr w:type="gramStart"/>
      <w:r w:rsidRPr="00781112">
        <w:t>percentage</w:t>
      </w:r>
      <w:proofErr w:type="gramEnd"/>
      <w:r w:rsidRPr="00781112">
        <w:t xml:space="preserve"> and which is aligned with the State-identified Measurable Result(s) </w:t>
      </w:r>
      <w:r w:rsidR="00EE0EC5">
        <w:t>(</w:t>
      </w:r>
      <w:proofErr w:type="spellStart"/>
      <w:r w:rsidR="00EE0EC5">
        <w:t>SiMR</w:t>
      </w:r>
      <w:proofErr w:type="spellEnd"/>
      <w:r w:rsidR="00EE0EC5">
        <w:t xml:space="preserve">) </w:t>
      </w:r>
      <w:r w:rsidRPr="00781112">
        <w:t xml:space="preserve">for </w:t>
      </w:r>
      <w:r w:rsidR="00B00A11" w:rsidRPr="00781112">
        <w:rPr>
          <w:rFonts w:cs="Arial"/>
          <w:szCs w:val="16"/>
        </w:rPr>
        <w:t>Children with Disabilities.</w:t>
      </w:r>
    </w:p>
    <w:p w14:paraId="200B44A4" w14:textId="667A0BAA" w:rsidR="00AE1972" w:rsidRPr="00781112" w:rsidRDefault="00AE1972" w:rsidP="00AE1972">
      <w:r w:rsidRPr="00781112">
        <w:rPr>
          <w:b/>
          <w:iCs/>
          <w:u w:val="single"/>
        </w:rPr>
        <w:t>Targets</w:t>
      </w:r>
      <w:r w:rsidRPr="00781112">
        <w:rPr>
          <w:b/>
          <w:i/>
        </w:rPr>
        <w:t>:</w:t>
      </w:r>
      <w:r w:rsidRPr="00781112">
        <w:t xml:space="preserve"> </w:t>
      </w:r>
      <w:r w:rsidR="00E101A7" w:rsidRPr="00781112">
        <w:rPr>
          <w:rFonts w:cs="Arial"/>
          <w:szCs w:val="16"/>
        </w:rPr>
        <w:t xml:space="preserve">In its </w:t>
      </w:r>
      <w:r w:rsidR="0047313F">
        <w:rPr>
          <w:rFonts w:cs="Arial"/>
          <w:szCs w:val="16"/>
        </w:rPr>
        <w:t>FFY 202</w:t>
      </w:r>
      <w:r w:rsidR="00B632B8">
        <w:rPr>
          <w:rFonts w:cs="Arial"/>
          <w:szCs w:val="16"/>
        </w:rPr>
        <w:t>0</w:t>
      </w:r>
      <w:r w:rsidR="0047313F">
        <w:rPr>
          <w:rFonts w:cs="Arial"/>
          <w:szCs w:val="16"/>
        </w:rPr>
        <w:t xml:space="preserve"> SPP/APR, due </w:t>
      </w:r>
      <w:r w:rsidR="00AD1B29">
        <w:rPr>
          <w:rFonts w:cs="Arial"/>
          <w:szCs w:val="16"/>
        </w:rPr>
        <w:t>February 1, 202</w:t>
      </w:r>
      <w:r w:rsidR="00B632B8">
        <w:rPr>
          <w:rFonts w:cs="Arial"/>
          <w:szCs w:val="16"/>
        </w:rPr>
        <w:t>2</w:t>
      </w:r>
      <w:r w:rsidR="00E101A7" w:rsidRPr="00781112">
        <w:rPr>
          <w:rFonts w:cs="Arial"/>
          <w:szCs w:val="16"/>
        </w:rPr>
        <w:t xml:space="preserve">, the State must provide measurable and rigorous targets (expressed as percentages) for each of the </w:t>
      </w:r>
      <w:r w:rsidR="00F35094">
        <w:rPr>
          <w:rFonts w:cs="Arial"/>
          <w:szCs w:val="16"/>
        </w:rPr>
        <w:t xml:space="preserve">six </w:t>
      </w:r>
      <w:r w:rsidR="00E101A7" w:rsidRPr="00781112">
        <w:rPr>
          <w:rFonts w:cs="Arial"/>
          <w:szCs w:val="16"/>
        </w:rPr>
        <w:t xml:space="preserve">years from FFY </w:t>
      </w:r>
      <w:r w:rsidR="00B21923" w:rsidRPr="00781112">
        <w:rPr>
          <w:rFonts w:cs="Arial"/>
          <w:szCs w:val="16"/>
        </w:rPr>
        <w:t>202</w:t>
      </w:r>
      <w:r w:rsidR="00B632B8">
        <w:rPr>
          <w:rFonts w:cs="Arial"/>
          <w:szCs w:val="16"/>
        </w:rPr>
        <w:t>0</w:t>
      </w:r>
      <w:r w:rsidR="00B21923" w:rsidRPr="00781112">
        <w:rPr>
          <w:rFonts w:cs="Arial"/>
          <w:szCs w:val="16"/>
        </w:rPr>
        <w:t xml:space="preserve"> </w:t>
      </w:r>
      <w:r w:rsidR="00E101A7" w:rsidRPr="00781112">
        <w:rPr>
          <w:rFonts w:cs="Arial"/>
          <w:szCs w:val="16"/>
        </w:rPr>
        <w:t>through FFY 2025. The State’s FFY 2025 target must demonstrate improvement over the State’s</w:t>
      </w:r>
      <w:r w:rsidR="00635660" w:rsidRPr="00635660">
        <w:rPr>
          <w:rFonts w:cs="Arial"/>
          <w:szCs w:val="16"/>
        </w:rPr>
        <w:t xml:space="preserve"> </w:t>
      </w:r>
      <w:r w:rsidR="00635660">
        <w:rPr>
          <w:rFonts w:cs="Arial"/>
          <w:szCs w:val="16"/>
        </w:rPr>
        <w:t>b</w:t>
      </w:r>
      <w:r w:rsidR="00E101A7" w:rsidRPr="00781112">
        <w:rPr>
          <w:rFonts w:cs="Arial"/>
          <w:szCs w:val="16"/>
        </w:rPr>
        <w:t>aseline data.</w:t>
      </w:r>
      <w:r w:rsidR="00404B50">
        <w:rPr>
          <w:rFonts w:cs="Arial"/>
          <w:szCs w:val="16"/>
        </w:rPr>
        <w:t xml:space="preserve"> </w:t>
      </w:r>
    </w:p>
    <w:p w14:paraId="6B54FC53" w14:textId="315A84E3" w:rsidR="00AE1972" w:rsidRPr="00781112" w:rsidRDefault="00AE1972" w:rsidP="00AE1972">
      <w:r w:rsidRPr="00781112">
        <w:rPr>
          <w:b/>
          <w:iCs/>
          <w:u w:val="single"/>
        </w:rPr>
        <w:t>Updated Data:</w:t>
      </w:r>
      <w:r w:rsidRPr="00781112">
        <w:t xml:space="preserve"> </w:t>
      </w:r>
      <w:r w:rsidR="00B00A11" w:rsidRPr="00781112">
        <w:rPr>
          <w:rFonts w:cs="Arial"/>
          <w:szCs w:val="16"/>
        </w:rPr>
        <w:t xml:space="preserve">In its FFYs </w:t>
      </w:r>
      <w:r w:rsidR="00935E2F" w:rsidRPr="00781112">
        <w:rPr>
          <w:rFonts w:cs="Arial"/>
          <w:szCs w:val="16"/>
        </w:rPr>
        <w:t>202</w:t>
      </w:r>
      <w:r w:rsidR="00935E2F">
        <w:rPr>
          <w:rFonts w:cs="Arial"/>
          <w:szCs w:val="16"/>
        </w:rPr>
        <w:t>0</w:t>
      </w:r>
      <w:r w:rsidR="00935E2F" w:rsidRPr="00781112">
        <w:rPr>
          <w:rFonts w:cs="Arial"/>
          <w:szCs w:val="16"/>
        </w:rPr>
        <w:t xml:space="preserve"> </w:t>
      </w:r>
      <w:r w:rsidR="00B00A11" w:rsidRPr="00781112">
        <w:rPr>
          <w:rFonts w:cs="Arial"/>
          <w:szCs w:val="16"/>
        </w:rPr>
        <w:t xml:space="preserve">through FFY 2025 SPPs/APRs, due </w:t>
      </w:r>
      <w:r w:rsidR="00AD1B29">
        <w:rPr>
          <w:rFonts w:cs="Arial"/>
          <w:szCs w:val="16"/>
        </w:rPr>
        <w:t xml:space="preserve">February </w:t>
      </w:r>
      <w:r w:rsidR="00935E2F">
        <w:rPr>
          <w:rFonts w:cs="Arial"/>
          <w:szCs w:val="16"/>
        </w:rPr>
        <w:t>2022 through February 2027</w:t>
      </w:r>
      <w:r w:rsidR="00B00A11" w:rsidRPr="00781112">
        <w:rPr>
          <w:rFonts w:cs="Arial"/>
          <w:szCs w:val="16"/>
        </w:rPr>
        <w:t>, the State must provide updated data for that specific FFY (expressed as percentages</w:t>
      </w:r>
      <w:proofErr w:type="gramStart"/>
      <w:r w:rsidR="00B00A11" w:rsidRPr="00781112">
        <w:rPr>
          <w:rFonts w:cs="Arial"/>
          <w:szCs w:val="16"/>
        </w:rPr>
        <w:t>)</w:t>
      </w:r>
      <w:proofErr w:type="gramEnd"/>
      <w:r w:rsidR="00B00A11" w:rsidRPr="00781112">
        <w:rPr>
          <w:rFonts w:cs="Arial"/>
          <w:szCs w:val="16"/>
        </w:rPr>
        <w:t xml:space="preserve"> and that data must be aligned with the State-identified Measurable Result(s) </w:t>
      </w:r>
      <w:r w:rsidR="00F35094">
        <w:rPr>
          <w:rFonts w:cs="Arial"/>
          <w:szCs w:val="16"/>
        </w:rPr>
        <w:t xml:space="preserve">Children with Disabilities. </w:t>
      </w:r>
      <w:r w:rsidR="00B00A11" w:rsidRPr="00781112">
        <w:rPr>
          <w:rFonts w:cs="Arial"/>
          <w:szCs w:val="16"/>
        </w:rPr>
        <w:t>In its FFY</w:t>
      </w:r>
      <w:r w:rsidR="00F35094">
        <w:rPr>
          <w:rFonts w:cs="Arial"/>
          <w:szCs w:val="16"/>
        </w:rPr>
        <w:t>s</w:t>
      </w:r>
      <w:r w:rsidR="00B00A11" w:rsidRPr="00781112">
        <w:rPr>
          <w:rFonts w:cs="Arial"/>
          <w:szCs w:val="16"/>
        </w:rPr>
        <w:t xml:space="preserve"> </w:t>
      </w:r>
      <w:r w:rsidR="00935E2F">
        <w:rPr>
          <w:rFonts w:cs="Arial"/>
          <w:szCs w:val="16"/>
        </w:rPr>
        <w:t>2020</w:t>
      </w:r>
      <w:r w:rsidR="00B21923" w:rsidRPr="00781112">
        <w:rPr>
          <w:rFonts w:cs="Arial"/>
          <w:szCs w:val="16"/>
        </w:rPr>
        <w:t xml:space="preserve"> </w:t>
      </w:r>
      <w:r w:rsidR="00B00A11" w:rsidRPr="00781112">
        <w:rPr>
          <w:rFonts w:cs="Arial"/>
          <w:szCs w:val="16"/>
        </w:rPr>
        <w:t>through FFY 2025 SPPs/APRs, the State must report on whether it met its target.</w:t>
      </w:r>
    </w:p>
    <w:p w14:paraId="3660F78F" w14:textId="77777777" w:rsidR="00AE1972" w:rsidRPr="00781112" w:rsidRDefault="00AE1972" w:rsidP="00AE1972">
      <w:pPr>
        <w:pStyle w:val="Subhed"/>
      </w:pPr>
      <w:r w:rsidRPr="00781112">
        <w:t>Overview of the Three Phases of the SSIP</w:t>
      </w:r>
    </w:p>
    <w:p w14:paraId="41060915" w14:textId="1038334F" w:rsidR="00AE1972" w:rsidRPr="00781112" w:rsidRDefault="00B00A11" w:rsidP="00AE1972">
      <w:pPr>
        <w:rPr>
          <w:rFonts w:cs="Arial"/>
          <w:szCs w:val="16"/>
        </w:rPr>
      </w:pPr>
      <w:r w:rsidRPr="00781112">
        <w:rPr>
          <w:rFonts w:cs="Arial"/>
          <w:szCs w:val="16"/>
        </w:rPr>
        <w:t>It is of the utmost importance to improve results for children with disabilities by improving educational services, including special education and related services. Stakeholders, including parents of children with disabilities, local educational agencies, the State Advisory Panel, and others, are critical participants in improving results for children with disabilities and should be included in developing, implementing, evaluating, and revising the SSIP and included in establishing the State’s targets under Indicator 17. The SSIP should include information about stakeholder involvement in all three phases.</w:t>
      </w:r>
    </w:p>
    <w:p w14:paraId="1F974632" w14:textId="656B04EE" w:rsidR="00AE1972" w:rsidRPr="00781112" w:rsidRDefault="00AE1972" w:rsidP="00AE1972">
      <w:pPr>
        <w:pStyle w:val="Subhed"/>
        <w:rPr>
          <w:b w:val="0"/>
        </w:rPr>
      </w:pPr>
      <w:r w:rsidRPr="00781112">
        <w:rPr>
          <w:i/>
        </w:rPr>
        <w:t>Phase I: Analysis:</w:t>
      </w:r>
      <w:r w:rsidRPr="00781112">
        <w:rPr>
          <w:b w:val="0"/>
        </w:rPr>
        <w:t xml:space="preserve"> </w:t>
      </w:r>
    </w:p>
    <w:p w14:paraId="096C9E4B" w14:textId="77777777" w:rsidR="00AE1972" w:rsidRPr="00781112" w:rsidRDefault="00AE1972" w:rsidP="00AE1972">
      <w:pPr>
        <w:ind w:left="360"/>
      </w:pPr>
      <w:r w:rsidRPr="00781112">
        <w:t xml:space="preserve">- Data </w:t>
      </w:r>
      <w:proofErr w:type="gramStart"/>
      <w:r w:rsidRPr="00781112">
        <w:t>Analysis;</w:t>
      </w:r>
      <w:proofErr w:type="gramEnd"/>
    </w:p>
    <w:p w14:paraId="27016A94" w14:textId="77777777" w:rsidR="00AE1972" w:rsidRPr="00781112" w:rsidRDefault="00AE1972" w:rsidP="00AE1972">
      <w:pPr>
        <w:ind w:left="360"/>
      </w:pPr>
      <w:r w:rsidRPr="00781112">
        <w:t xml:space="preserve">- Analysis of State Infrastructure to Support Improvement and Build </w:t>
      </w:r>
      <w:proofErr w:type="gramStart"/>
      <w:r w:rsidRPr="00781112">
        <w:t>Capacity;</w:t>
      </w:r>
      <w:proofErr w:type="gramEnd"/>
    </w:p>
    <w:p w14:paraId="7C62869B" w14:textId="77122CAD" w:rsidR="00AE1972" w:rsidRPr="00781112" w:rsidRDefault="00AE1972" w:rsidP="00AE1972">
      <w:pPr>
        <w:ind w:left="360"/>
      </w:pPr>
      <w:r w:rsidRPr="00781112">
        <w:t xml:space="preserve">- State-identified Measurable Result(s) for </w:t>
      </w:r>
      <w:r w:rsidR="00B00A11" w:rsidRPr="00781112">
        <w:rPr>
          <w:rFonts w:cs="Arial"/>
          <w:szCs w:val="16"/>
        </w:rPr>
        <w:t xml:space="preserve">Children with </w:t>
      </w:r>
      <w:proofErr w:type="gramStart"/>
      <w:r w:rsidR="00B00A11" w:rsidRPr="00781112">
        <w:rPr>
          <w:rFonts w:cs="Arial"/>
          <w:szCs w:val="16"/>
        </w:rPr>
        <w:t>Disabilities</w:t>
      </w:r>
      <w:r w:rsidRPr="00781112">
        <w:t>;</w:t>
      </w:r>
      <w:proofErr w:type="gramEnd"/>
    </w:p>
    <w:p w14:paraId="6AD2D627" w14:textId="77777777" w:rsidR="00AE1972" w:rsidRPr="00781112" w:rsidRDefault="00AE1972" w:rsidP="00AE1972">
      <w:pPr>
        <w:ind w:left="360"/>
      </w:pPr>
      <w:r w:rsidRPr="00781112">
        <w:t>- Selection of Coherent Improvement Strategies; and</w:t>
      </w:r>
    </w:p>
    <w:p w14:paraId="356E7B19" w14:textId="77777777" w:rsidR="00AE1972" w:rsidRPr="00781112" w:rsidRDefault="00AE1972" w:rsidP="00AE1972">
      <w:pPr>
        <w:ind w:left="360"/>
      </w:pPr>
      <w:r w:rsidRPr="00781112">
        <w:t>- Theory of Action.</w:t>
      </w:r>
    </w:p>
    <w:p w14:paraId="6A753B55" w14:textId="02BE0D90" w:rsidR="00AE1972" w:rsidRPr="00781112" w:rsidRDefault="00AE1972" w:rsidP="00AE1972">
      <w:pPr>
        <w:pStyle w:val="Subhed"/>
        <w:rPr>
          <w:b w:val="0"/>
        </w:rPr>
      </w:pPr>
      <w:r w:rsidRPr="00781112">
        <w:rPr>
          <w:i/>
        </w:rPr>
        <w:t>Phase II: Plan</w:t>
      </w:r>
      <w:r w:rsidRPr="00781112">
        <w:rPr>
          <w:b w:val="0"/>
        </w:rPr>
        <w:t xml:space="preserve"> (which, </w:t>
      </w:r>
      <w:r w:rsidR="00D14A1B" w:rsidRPr="00781112">
        <w:rPr>
          <w:b w:val="0"/>
        </w:rPr>
        <w:t xml:space="preserve">is </w:t>
      </w:r>
      <w:r w:rsidRPr="00781112">
        <w:rPr>
          <w:b w:val="0"/>
        </w:rPr>
        <w:t>in addition to the Phase I content (including any updates)</w:t>
      </w:r>
      <w:r w:rsidR="00F35094">
        <w:rPr>
          <w:b w:val="0"/>
        </w:rPr>
        <w:t>)</w:t>
      </w:r>
      <w:r w:rsidRPr="00781112">
        <w:rPr>
          <w:b w:val="0"/>
        </w:rPr>
        <w:t xml:space="preserve"> outlined above</w:t>
      </w:r>
      <w:r w:rsidR="00F35094">
        <w:rPr>
          <w:b w:val="0"/>
        </w:rPr>
        <w:t>)</w:t>
      </w:r>
      <w:r w:rsidRPr="00781112">
        <w:rPr>
          <w:b w:val="0"/>
        </w:rPr>
        <w:t>:</w:t>
      </w:r>
    </w:p>
    <w:p w14:paraId="0A22BE99" w14:textId="77777777" w:rsidR="006B5750" w:rsidRDefault="00756B33" w:rsidP="008877E3">
      <w:pPr>
        <w:ind w:left="360"/>
      </w:pPr>
      <w:r w:rsidRPr="00781112">
        <w:t xml:space="preserve">- </w:t>
      </w:r>
      <w:r w:rsidR="00AE1972" w:rsidRPr="00781112">
        <w:t xml:space="preserve">Infrastructure </w:t>
      </w:r>
      <w:proofErr w:type="gramStart"/>
      <w:r w:rsidR="00AE1972" w:rsidRPr="00781112">
        <w:t>Development;</w:t>
      </w:r>
      <w:proofErr w:type="gramEnd"/>
    </w:p>
    <w:p w14:paraId="66997D61" w14:textId="59DC7764" w:rsidR="006B5750" w:rsidRDefault="006B5750" w:rsidP="008877E3">
      <w:pPr>
        <w:ind w:left="360"/>
      </w:pPr>
      <w:r>
        <w:t>- Support for local educational agency (LEA)</w:t>
      </w:r>
      <w:r w:rsidDel="006B5750">
        <w:t xml:space="preserve"> </w:t>
      </w:r>
      <w:r>
        <w:t>Implementation of Evidence-Based Practices; and</w:t>
      </w:r>
      <w:r w:rsidRPr="00781112">
        <w:t xml:space="preserve"> </w:t>
      </w:r>
    </w:p>
    <w:p w14:paraId="38176125" w14:textId="4276E770" w:rsidR="00AE1972" w:rsidRPr="00781112" w:rsidRDefault="00756B33" w:rsidP="008877E3">
      <w:pPr>
        <w:ind w:left="360"/>
      </w:pPr>
      <w:r w:rsidRPr="00781112">
        <w:t xml:space="preserve">- </w:t>
      </w:r>
      <w:r w:rsidR="00AE1972" w:rsidRPr="00781112">
        <w:t>Evaluation.</w:t>
      </w:r>
    </w:p>
    <w:p w14:paraId="73F6A460" w14:textId="0BCB7E98" w:rsidR="00AE1972" w:rsidRPr="00781112" w:rsidRDefault="00AE1972" w:rsidP="00AE1972">
      <w:pPr>
        <w:pStyle w:val="Subhed"/>
        <w:rPr>
          <w:b w:val="0"/>
        </w:rPr>
      </w:pPr>
      <w:r w:rsidRPr="00781112">
        <w:rPr>
          <w:i/>
        </w:rPr>
        <w:t>Phase III: Implementation and Evaluation</w:t>
      </w:r>
      <w:r w:rsidRPr="00781112">
        <w:rPr>
          <w:b w:val="0"/>
        </w:rPr>
        <w:t xml:space="preserve"> (which, </w:t>
      </w:r>
      <w:r w:rsidR="00D14A1B" w:rsidRPr="00781112">
        <w:rPr>
          <w:b w:val="0"/>
        </w:rPr>
        <w:t xml:space="preserve">is </w:t>
      </w:r>
      <w:r w:rsidRPr="00781112">
        <w:rPr>
          <w:b w:val="0"/>
        </w:rPr>
        <w:t>in addition to the Phase I and Phase II content (including any updates)</w:t>
      </w:r>
      <w:r w:rsidR="00F35094">
        <w:rPr>
          <w:b w:val="0"/>
        </w:rPr>
        <w:t>)</w:t>
      </w:r>
      <w:r w:rsidRPr="00781112">
        <w:rPr>
          <w:b w:val="0"/>
        </w:rPr>
        <w:t xml:space="preserve"> outlined above</w:t>
      </w:r>
      <w:r w:rsidR="00F35094">
        <w:rPr>
          <w:b w:val="0"/>
        </w:rPr>
        <w:t>)</w:t>
      </w:r>
      <w:r w:rsidRPr="00781112">
        <w:rPr>
          <w:b w:val="0"/>
        </w:rPr>
        <w:t>:</w:t>
      </w:r>
    </w:p>
    <w:p w14:paraId="580CF235" w14:textId="77777777" w:rsidR="00AE1972" w:rsidRPr="00781112" w:rsidRDefault="00AE1972" w:rsidP="00AE1972">
      <w:pPr>
        <w:ind w:left="360"/>
      </w:pPr>
      <w:r w:rsidRPr="00781112">
        <w:t>- Results of Ongoing Evaluation and Revisions to the SSIP.</w:t>
      </w:r>
    </w:p>
    <w:p w14:paraId="03B4B47F" w14:textId="77777777" w:rsidR="00AE1972" w:rsidRPr="00781112" w:rsidRDefault="00AE1972" w:rsidP="00AE1972">
      <w:pPr>
        <w:rPr>
          <w:b/>
        </w:rPr>
      </w:pPr>
      <w:r w:rsidRPr="00781112">
        <w:rPr>
          <w:b/>
        </w:rPr>
        <w:t>Specific Content of Each Phase of the SSIP</w:t>
      </w:r>
    </w:p>
    <w:p w14:paraId="467D2C6D" w14:textId="3F55CFEA" w:rsidR="00AE1972" w:rsidRPr="00781112" w:rsidRDefault="00AE1972" w:rsidP="00AE1972">
      <w:r w:rsidRPr="00781112">
        <w:t>Refer to FFY 2013-2015 Measurement Table for detailed requirements of Phase I and Phase II SSIP submissions.</w:t>
      </w:r>
    </w:p>
    <w:p w14:paraId="4B1E2598" w14:textId="77777777" w:rsidR="00AE1972" w:rsidRPr="00781112" w:rsidRDefault="00AE1972" w:rsidP="00AE1972">
      <w:r w:rsidRPr="00781112">
        <w:t>Phase III should only include information from Phase I or Phase II if changes or revisions are being made by the State and/or if information previously required in Phase I or Phase II was not reported.</w:t>
      </w:r>
    </w:p>
    <w:p w14:paraId="5E950372" w14:textId="77777777" w:rsidR="00AE1972" w:rsidRPr="00781112" w:rsidRDefault="00AE1972" w:rsidP="00AE1972">
      <w:pPr>
        <w:rPr>
          <w:b/>
          <w:i/>
        </w:rPr>
      </w:pPr>
      <w:r w:rsidRPr="00781112">
        <w:rPr>
          <w:b/>
          <w:i/>
        </w:rPr>
        <w:t>Phase III: Implementation and Evaluation</w:t>
      </w:r>
    </w:p>
    <w:p w14:paraId="2ACE13F7" w14:textId="77777777" w:rsidR="00496EF6" w:rsidRPr="00781112" w:rsidRDefault="00496EF6" w:rsidP="00496EF6">
      <w:pPr>
        <w:rPr>
          <w:rFonts w:cs="Arial"/>
          <w:szCs w:val="16"/>
        </w:rPr>
      </w:pPr>
      <w:r w:rsidRPr="00781112">
        <w:rPr>
          <w:rFonts w:cs="Arial"/>
          <w:szCs w:val="16"/>
        </w:rPr>
        <w:t>In Phase III, the State must, consistent with its evaluation plan described in Phase II, assess and report on its progress implementing the SSIP. This includes: (A) data and analysis on the extent to which the State has made progress toward and/or met the State-established short-term and long-term outcomes or objectives for implementation of the SSIP and its progress toward achieving the State-identified Measurable Result(s) for Children with Disabilities (</w:t>
      </w:r>
      <w:proofErr w:type="spellStart"/>
      <w:r w:rsidRPr="00781112">
        <w:rPr>
          <w:rFonts w:cs="Arial"/>
          <w:szCs w:val="16"/>
        </w:rPr>
        <w:t>SiMR</w:t>
      </w:r>
      <w:proofErr w:type="spellEnd"/>
      <w:r w:rsidRPr="00781112">
        <w:rPr>
          <w:rFonts w:cs="Arial"/>
          <w:szCs w:val="16"/>
        </w:rPr>
        <w:t>); (B) the rationale for any revisions that were made, or that the State intends to make, to the SSIP as the result of implementation, analysis, and evaluation; and (C) a description of the meaningful stakeholder engagement. If the State intends to continue implementing the SSIP without modifications, the State must describe how the data from the evaluation support this decision.</w:t>
      </w:r>
    </w:p>
    <w:p w14:paraId="6BC324F8" w14:textId="77777777" w:rsidR="00AE1972" w:rsidRPr="00781112" w:rsidRDefault="00AE1972" w:rsidP="00AE1972">
      <w:pPr>
        <w:tabs>
          <w:tab w:val="left" w:pos="270"/>
          <w:tab w:val="left" w:pos="630"/>
        </w:tabs>
      </w:pPr>
      <w:r w:rsidRPr="00781112">
        <w:t xml:space="preserve">A. </w:t>
      </w:r>
      <w:r w:rsidRPr="00781112">
        <w:tab/>
        <w:t>Data Analysis</w:t>
      </w:r>
    </w:p>
    <w:p w14:paraId="7509FEFA" w14:textId="2E939262" w:rsidR="000063AC" w:rsidRPr="00781112" w:rsidRDefault="000063AC" w:rsidP="000063AC">
      <w:pPr>
        <w:rPr>
          <w:rFonts w:cs="Arial"/>
          <w:szCs w:val="16"/>
        </w:rPr>
      </w:pPr>
      <w:r w:rsidRPr="00781112">
        <w:rPr>
          <w:rFonts w:cs="Arial"/>
          <w:szCs w:val="16"/>
        </w:rPr>
        <w:t>As required in the Instructions for the Indicator/Measurement, in its FFYs 2020 through 2025 SPP</w:t>
      </w:r>
      <w:r w:rsidR="00F35094">
        <w:rPr>
          <w:rFonts w:cs="Arial"/>
          <w:szCs w:val="16"/>
        </w:rPr>
        <w:t>s</w:t>
      </w:r>
      <w:r w:rsidRPr="00781112">
        <w:rPr>
          <w:rFonts w:cs="Arial"/>
          <w:szCs w:val="16"/>
        </w:rPr>
        <w:t>/APR</w:t>
      </w:r>
      <w:r w:rsidR="00F35094">
        <w:rPr>
          <w:rFonts w:cs="Arial"/>
          <w:szCs w:val="16"/>
        </w:rPr>
        <w:t>s</w:t>
      </w:r>
      <w:r w:rsidRPr="00781112">
        <w:rPr>
          <w:rFonts w:cs="Arial"/>
          <w:szCs w:val="16"/>
        </w:rPr>
        <w:t xml:space="preserve">, the State must report data for that specific FFY (expressed as actual numbers and percentages) that are aligned with the </w:t>
      </w:r>
      <w:proofErr w:type="spellStart"/>
      <w:r w:rsidRPr="00781112">
        <w:rPr>
          <w:rFonts w:cs="Arial"/>
          <w:szCs w:val="16"/>
        </w:rPr>
        <w:t>SiMR</w:t>
      </w:r>
      <w:proofErr w:type="spellEnd"/>
      <w:r w:rsidRPr="00781112">
        <w:rPr>
          <w:rFonts w:cs="Arial"/>
          <w:szCs w:val="16"/>
        </w:rPr>
        <w:t xml:space="preserve">. The State must report on whether the State met its target. In addition, the State may report on any additional data (e.g., progress monitoring data) that were collected and analyzed that would suggest progress toward the </w:t>
      </w:r>
      <w:proofErr w:type="spellStart"/>
      <w:r w:rsidRPr="00781112">
        <w:rPr>
          <w:rFonts w:cs="Arial"/>
          <w:szCs w:val="16"/>
        </w:rPr>
        <w:t>SiMR</w:t>
      </w:r>
      <w:proofErr w:type="spellEnd"/>
      <w:r w:rsidRPr="00781112">
        <w:rPr>
          <w:rFonts w:cs="Arial"/>
          <w:szCs w:val="16"/>
        </w:rPr>
        <w:t xml:space="preserve">. States using a subset of the population from the indicator (e.g., a sample, cohort model) should describe how data are collected and analyzed for the </w:t>
      </w:r>
      <w:proofErr w:type="spellStart"/>
      <w:r w:rsidRPr="00781112">
        <w:rPr>
          <w:rFonts w:cs="Arial"/>
          <w:szCs w:val="16"/>
        </w:rPr>
        <w:t>SiMR</w:t>
      </w:r>
      <w:proofErr w:type="spellEnd"/>
      <w:r w:rsidRPr="00781112">
        <w:rPr>
          <w:rFonts w:cs="Arial"/>
          <w:szCs w:val="16"/>
        </w:rPr>
        <w:t xml:space="preserve"> if that was not described in Phase I or Phase II of the SSIP.</w:t>
      </w:r>
    </w:p>
    <w:p w14:paraId="77280910" w14:textId="77777777" w:rsidR="00AE1972" w:rsidRPr="00781112" w:rsidRDefault="00AE1972" w:rsidP="00AE1972">
      <w:pPr>
        <w:tabs>
          <w:tab w:val="left" w:pos="360"/>
        </w:tabs>
      </w:pPr>
      <w:r w:rsidRPr="00781112">
        <w:t xml:space="preserve">B. </w:t>
      </w:r>
      <w:r w:rsidRPr="00781112">
        <w:tab/>
        <w:t>Phase III Implementation, Analysis and Evaluation</w:t>
      </w:r>
    </w:p>
    <w:p w14:paraId="55F09A01" w14:textId="78A8CFAE" w:rsidR="00AE1972" w:rsidRPr="00781112" w:rsidRDefault="00AE1972" w:rsidP="00AE1972">
      <w:r w:rsidRPr="00781112">
        <w:t xml:space="preserve">The State must provide a narrative or graphic representation, </w:t>
      </w:r>
      <w:r w:rsidR="00F35094">
        <w:t>(</w:t>
      </w:r>
      <w:r w:rsidRPr="00781112">
        <w:t>e.g., a logic model</w:t>
      </w:r>
      <w:r w:rsidR="00F35094">
        <w:t>)</w:t>
      </w:r>
      <w:r w:rsidRPr="00781112">
        <w:t xml:space="preserve"> of the principal activities, measures and outcomes that were implemented since the State’s last SSIP submission (i.e., </w:t>
      </w:r>
      <w:r w:rsidR="00F302A0" w:rsidRPr="00781112">
        <w:t>Feb</w:t>
      </w:r>
      <w:r w:rsidR="00A94276">
        <w:t>ruary</w:t>
      </w:r>
      <w:r w:rsidRPr="00781112">
        <w:t xml:space="preserve"> </w:t>
      </w:r>
      <w:r w:rsidR="00A94276">
        <w:t xml:space="preserve">1, </w:t>
      </w:r>
      <w:r w:rsidR="00B21923" w:rsidRPr="00781112">
        <w:t>202</w:t>
      </w:r>
      <w:r w:rsidR="00FC1D83">
        <w:t>3</w:t>
      </w:r>
      <w:r w:rsidRPr="00781112">
        <w:t>). The evaluation should align with the theory of action described in Phase I and the evaluation plan described in Phase II. The State must describe any changes to the activities, strategies, or timelines described in Phase II and include a rationale or justification for the changes. If the State intends to continue implementing the SSIP without modifications, the State must describe how the data from the evaluation support this decision.</w:t>
      </w:r>
    </w:p>
    <w:p w14:paraId="0A51077C" w14:textId="4281F6CB" w:rsidR="00AE1972" w:rsidRPr="00781112" w:rsidRDefault="00AE1972" w:rsidP="00AE1972">
      <w:r w:rsidRPr="00781112">
        <w:t xml:space="preserve">The State must summarize the infrastructure improvement strategies that were implemented, and the short-term outcomes achieved, including the measures or rationale used by the State and stakeholders to assess and communicate achievement. Relate short-term outcomes to one or more areas of a systems framework (e.g., governance, data, finance, accountability/monitoring, quality standards, professional development and/or technical assistance) and explain how these strategies support system change and are necessary for: (a) achievement of the </w:t>
      </w:r>
      <w:proofErr w:type="spellStart"/>
      <w:r w:rsidRPr="00781112">
        <w:t>SiMR</w:t>
      </w:r>
      <w:proofErr w:type="spellEnd"/>
      <w:r w:rsidRPr="00781112">
        <w:t xml:space="preserve">; (b) sustainability of systems improvement efforts; and/or (c) scale-up. The State must describe the next steps for each infrastructure improvement strategy and the anticipated outcomes to be attained during the next fiscal year (e.g., </w:t>
      </w:r>
      <w:r w:rsidR="00B21923">
        <w:rPr>
          <w:rFonts w:cs="Arial"/>
          <w:szCs w:val="16"/>
        </w:rPr>
        <w:t>for the FFY 202</w:t>
      </w:r>
      <w:r w:rsidR="00FC1D83">
        <w:rPr>
          <w:rFonts w:cs="Arial"/>
          <w:szCs w:val="16"/>
        </w:rPr>
        <w:t>2</w:t>
      </w:r>
      <w:r w:rsidR="00B21923">
        <w:rPr>
          <w:rFonts w:cs="Arial"/>
          <w:szCs w:val="16"/>
        </w:rPr>
        <w:t xml:space="preserve"> APR, report on anticipated outcomes to be obtained during FFY 202</w:t>
      </w:r>
      <w:r w:rsidR="00FC1D83">
        <w:rPr>
          <w:rFonts w:cs="Arial"/>
          <w:szCs w:val="16"/>
        </w:rPr>
        <w:t>3</w:t>
      </w:r>
      <w:r w:rsidR="00B21923">
        <w:rPr>
          <w:rFonts w:cs="Arial"/>
          <w:szCs w:val="16"/>
        </w:rPr>
        <w:t>, i.e., July 1, 202</w:t>
      </w:r>
      <w:r w:rsidR="00FC1D83">
        <w:rPr>
          <w:rFonts w:cs="Arial"/>
          <w:szCs w:val="16"/>
        </w:rPr>
        <w:t>3</w:t>
      </w:r>
      <w:r w:rsidR="00B21923">
        <w:rPr>
          <w:rFonts w:cs="Arial"/>
          <w:szCs w:val="16"/>
        </w:rPr>
        <w:t>-June 30, 202</w:t>
      </w:r>
      <w:r w:rsidR="00FC1D83">
        <w:rPr>
          <w:rFonts w:cs="Arial"/>
          <w:szCs w:val="16"/>
        </w:rPr>
        <w:t>4</w:t>
      </w:r>
      <w:r w:rsidR="00B21923" w:rsidRPr="00651E83">
        <w:rPr>
          <w:rFonts w:cs="Arial"/>
          <w:szCs w:val="16"/>
        </w:rPr>
        <w:t>).</w:t>
      </w:r>
    </w:p>
    <w:p w14:paraId="6198E1D5" w14:textId="1ABEA34C" w:rsidR="00AE1972" w:rsidRPr="00781112" w:rsidRDefault="00AE1972" w:rsidP="00AE1972">
      <w:r w:rsidRPr="00781112">
        <w:t xml:space="preserve">The State must summarize the specific evidence-based practices that were implemented and the strategies or activities that supported their selection and ensured their use with fidelity. Describe how the evidence-based practices, and activities or strategies that support their use, are intended to impact the </w:t>
      </w:r>
      <w:proofErr w:type="spellStart"/>
      <w:r w:rsidRPr="00781112">
        <w:t>SiMR</w:t>
      </w:r>
      <w:proofErr w:type="spellEnd"/>
      <w:r w:rsidRPr="00781112">
        <w:t xml:space="preserve"> by changing program/district policies, procedures, and/or practices, teacher/provider practices (</w:t>
      </w:r>
      <w:r w:rsidR="00A94276">
        <w:t>e.g</w:t>
      </w:r>
      <w:r w:rsidRPr="00781112">
        <w:t xml:space="preserve">., behaviors), parent/caregiver outcomes, </w:t>
      </w:r>
      <w:r w:rsidRPr="00781112">
        <w:lastRenderedPageBreak/>
        <w:t>and/or child outcomes. Describe any additional data (</w:t>
      </w:r>
      <w:r w:rsidR="00A94276">
        <w:t>e.g</w:t>
      </w:r>
      <w:r w:rsidRPr="00781112">
        <w:t>., progress monitoring data) that was collected to support the on-going use of the evidence-based practices and inform decision-making for the next year of SSIP implementation.</w:t>
      </w:r>
    </w:p>
    <w:p w14:paraId="411C94A7" w14:textId="77777777" w:rsidR="00AE1972" w:rsidRPr="00781112" w:rsidRDefault="00AE1972" w:rsidP="00AE1972">
      <w:pPr>
        <w:tabs>
          <w:tab w:val="left" w:pos="270"/>
        </w:tabs>
      </w:pPr>
      <w:r w:rsidRPr="00781112">
        <w:t xml:space="preserve">C. </w:t>
      </w:r>
      <w:r w:rsidRPr="00781112">
        <w:tab/>
        <w:t>Stakeholder Engagement</w:t>
      </w:r>
    </w:p>
    <w:p w14:paraId="007F9035" w14:textId="77777777" w:rsidR="00AE1972" w:rsidRPr="00781112" w:rsidRDefault="00AE1972" w:rsidP="00AE1972">
      <w:r w:rsidRPr="00781112">
        <w:t>The State must describe the specific strategies implemented to engage stakeholders in key improvement efforts and how the State addressed concerns, if any, raised by stakeholders through its engagement activities.</w:t>
      </w:r>
    </w:p>
    <w:p w14:paraId="38CBE3F2" w14:textId="77777777" w:rsidR="00AE1972" w:rsidRPr="00781112" w:rsidRDefault="00AE1972" w:rsidP="00AE1972">
      <w:r w:rsidRPr="00781112">
        <w:t>Additional Implementation Activities</w:t>
      </w:r>
    </w:p>
    <w:p w14:paraId="00F49894" w14:textId="33B43562" w:rsidR="00AE1972" w:rsidRPr="00781112" w:rsidRDefault="00AE1972" w:rsidP="00AE1972">
      <w:r w:rsidRPr="00781112">
        <w:t xml:space="preserve">The State should identify any activities not already described that it intends to implement in the next fiscal year (e.g., </w:t>
      </w:r>
      <w:r w:rsidR="00B21923">
        <w:rPr>
          <w:rFonts w:cs="Arial"/>
          <w:szCs w:val="16"/>
        </w:rPr>
        <w:t>for the FFY 202</w:t>
      </w:r>
      <w:r w:rsidR="00FC1D83">
        <w:rPr>
          <w:rFonts w:cs="Arial"/>
          <w:szCs w:val="16"/>
        </w:rPr>
        <w:t>2</w:t>
      </w:r>
      <w:r w:rsidR="00B21923">
        <w:rPr>
          <w:rFonts w:cs="Arial"/>
          <w:szCs w:val="16"/>
        </w:rPr>
        <w:t xml:space="preserve"> APR, report on activities it intends to implement in FFY 202</w:t>
      </w:r>
      <w:r w:rsidR="00FC1D83">
        <w:rPr>
          <w:rFonts w:cs="Arial"/>
          <w:szCs w:val="16"/>
        </w:rPr>
        <w:t>3</w:t>
      </w:r>
      <w:r w:rsidR="00B21923">
        <w:rPr>
          <w:rFonts w:cs="Arial"/>
          <w:szCs w:val="16"/>
        </w:rPr>
        <w:t>, i.e., July 1, 202</w:t>
      </w:r>
      <w:r w:rsidR="00FC1D83">
        <w:rPr>
          <w:rFonts w:cs="Arial"/>
          <w:szCs w:val="16"/>
        </w:rPr>
        <w:t>3</w:t>
      </w:r>
      <w:r w:rsidR="00B21923">
        <w:rPr>
          <w:rFonts w:cs="Arial"/>
          <w:szCs w:val="16"/>
        </w:rPr>
        <w:t>-June 30, 202</w:t>
      </w:r>
      <w:r w:rsidR="00FC1D83">
        <w:rPr>
          <w:rFonts w:cs="Arial"/>
          <w:szCs w:val="16"/>
        </w:rPr>
        <w:t>4</w:t>
      </w:r>
      <w:r w:rsidR="00A94276">
        <w:rPr>
          <w:rFonts w:cs="Arial"/>
          <w:szCs w:val="16"/>
        </w:rPr>
        <w:t>)</w:t>
      </w:r>
      <w:r w:rsidR="00FC1D83">
        <w:rPr>
          <w:rFonts w:cs="Arial"/>
          <w:szCs w:val="16"/>
        </w:rPr>
        <w:t xml:space="preserve"> </w:t>
      </w:r>
      <w:r w:rsidRPr="00781112">
        <w:t xml:space="preserve">including a timeline, anticipated data collection and measures, and expected outcomes that are related to the </w:t>
      </w:r>
      <w:proofErr w:type="spellStart"/>
      <w:r w:rsidRPr="00781112">
        <w:t>SiMR</w:t>
      </w:r>
      <w:proofErr w:type="spellEnd"/>
      <w:r w:rsidRPr="00781112">
        <w:t>. The State should describe any newly identified barriers and include steps to address these barriers.</w:t>
      </w:r>
    </w:p>
    <w:p w14:paraId="428E26A7" w14:textId="6193C9E6" w:rsidR="00AE1972" w:rsidRPr="00781112" w:rsidRDefault="00AE1972" w:rsidP="00AE1972">
      <w:pPr>
        <w:pStyle w:val="Heading2"/>
      </w:pPr>
      <w:r w:rsidRPr="00781112">
        <w:t>1</w:t>
      </w:r>
      <w:r w:rsidR="00B90835" w:rsidRPr="00781112">
        <w:t>7</w:t>
      </w:r>
      <w:r w:rsidRPr="00781112">
        <w:t xml:space="preserve"> - Indicator Data</w:t>
      </w:r>
    </w:p>
    <w:p w14:paraId="626DBA0C" w14:textId="77777777" w:rsidR="00AE1972" w:rsidRPr="00781112" w:rsidRDefault="00AE1972" w:rsidP="00AE1972">
      <w:pPr>
        <w:rPr>
          <w:b/>
          <w:bCs/>
        </w:rPr>
      </w:pPr>
      <w:r w:rsidRPr="00781112">
        <w:rPr>
          <w:b/>
          <w:bCs/>
        </w:rPr>
        <w:t>Section A: Data Analysis</w:t>
      </w:r>
    </w:p>
    <w:p w14:paraId="26873A73" w14:textId="77777777" w:rsidR="00AE1972" w:rsidRPr="00781112" w:rsidRDefault="00AE1972" w:rsidP="00AE1972">
      <w:pPr>
        <w:rPr>
          <w:b/>
          <w:bCs/>
        </w:rPr>
      </w:pPr>
      <w:r w:rsidRPr="00781112">
        <w:rPr>
          <w:b/>
          <w:bCs/>
        </w:rPr>
        <w:t>What is the State-identified Measurable Result (</w:t>
      </w:r>
      <w:proofErr w:type="spellStart"/>
      <w:r w:rsidRPr="00781112">
        <w:rPr>
          <w:b/>
          <w:bCs/>
        </w:rPr>
        <w:t>SiMR</w:t>
      </w:r>
      <w:proofErr w:type="spellEnd"/>
      <w:r w:rsidRPr="00781112">
        <w:rPr>
          <w:b/>
          <w:bCs/>
        </w:rPr>
        <w:t>)?</w:t>
      </w:r>
    </w:p>
    <w:p w14:paraId="2CDA0A52" w14:textId="1253220E" w:rsidR="00AE1972" w:rsidRPr="00781112" w:rsidRDefault="00AE1972" w:rsidP="00AE1972">
      <w:pPr>
        <w:rPr>
          <w:color w:val="000000" w:themeColor="text1"/>
        </w:rPr>
      </w:pPr>
      <w:r w:rsidRPr="00781112">
        <w:rPr>
          <w:color w:val="000000" w:themeColor="text1"/>
        </w:rPr>
        <w:t>Colorado students in grades K-3* who are identified at the beginning of the school year as Well Below Benchmark according to the DIBELS Next Assessment, will significantly improve their reading proficiency as indicated by a decrease in the percentage of students who are identified at the end of the school year as Well Below Benchmark.</w:t>
      </w:r>
      <w:r w:rsidRPr="00781112">
        <w:rPr>
          <w:color w:val="000000" w:themeColor="text1"/>
        </w:rPr>
        <w:br/>
      </w:r>
      <w:r w:rsidRPr="00781112">
        <w:rPr>
          <w:color w:val="000000" w:themeColor="text1"/>
        </w:rPr>
        <w:br/>
        <w:t>*Who attend one of the SSIP project schools</w:t>
      </w:r>
      <w:r w:rsidRPr="00781112">
        <w:rPr>
          <w:color w:val="000000" w:themeColor="text1"/>
        </w:rPr>
        <w:br/>
        <w:t>*Based upon the Structured Literacy Project</w:t>
      </w:r>
    </w:p>
    <w:p w14:paraId="43CABCA3" w14:textId="77777777" w:rsidR="00AE1972" w:rsidRPr="00781112" w:rsidRDefault="00AE1972" w:rsidP="00AE1972">
      <w:pPr>
        <w:rPr>
          <w:b/>
          <w:bCs/>
        </w:rPr>
      </w:pPr>
      <w:bookmarkStart w:id="98" w:name="_Hlk85195358"/>
      <w:r w:rsidRPr="00781112">
        <w:rPr>
          <w:b/>
          <w:bCs/>
        </w:rPr>
        <w:t xml:space="preserve">Has the </w:t>
      </w:r>
      <w:proofErr w:type="spellStart"/>
      <w:r w:rsidRPr="00781112">
        <w:rPr>
          <w:b/>
          <w:bCs/>
        </w:rPr>
        <w:t>SiMR</w:t>
      </w:r>
      <w:proofErr w:type="spellEnd"/>
      <w:r w:rsidRPr="00781112">
        <w:rPr>
          <w:b/>
          <w:bCs/>
        </w:rPr>
        <w:t xml:space="preserve"> changed since the last SSIP submission? (yes/no)</w:t>
      </w:r>
    </w:p>
    <w:p w14:paraId="53B392AE" w14:textId="5D60E4A2" w:rsidR="00AE1972" w:rsidRDefault="00AE1972" w:rsidP="00AE1972">
      <w:r w:rsidRPr="00781112">
        <w:t>NO</w:t>
      </w:r>
    </w:p>
    <w:bookmarkEnd w:id="98"/>
    <w:p w14:paraId="1B1A90F5" w14:textId="77777777" w:rsidR="00935B96" w:rsidRPr="00781112" w:rsidRDefault="00935B96" w:rsidP="00AE1972"/>
    <w:p w14:paraId="4DB5CA5B" w14:textId="77777777" w:rsidR="00AE1972" w:rsidRPr="00781112" w:rsidRDefault="00AE1972" w:rsidP="00AE1972">
      <w:pPr>
        <w:rPr>
          <w:b/>
          <w:bCs/>
        </w:rPr>
      </w:pPr>
      <w:r w:rsidRPr="00781112">
        <w:rPr>
          <w:b/>
          <w:bCs/>
        </w:rPr>
        <w:t>Is the State using a subset of the population from the indicator (</w:t>
      </w:r>
      <w:r w:rsidRPr="00781112">
        <w:rPr>
          <w:b/>
          <w:bCs/>
          <w:i/>
          <w:iCs/>
        </w:rPr>
        <w:t>e.g.</w:t>
      </w:r>
      <w:r w:rsidRPr="00781112">
        <w:rPr>
          <w:b/>
          <w:bCs/>
        </w:rPr>
        <w:t>, a sample, cohort model)? (yes/no)</w:t>
      </w:r>
    </w:p>
    <w:p w14:paraId="5220F24E" w14:textId="45A17085" w:rsidR="00AE1972" w:rsidRDefault="00AE1972" w:rsidP="00AE1972">
      <w:r w:rsidRPr="00781112">
        <w:rPr>
          <w:color w:val="000000" w:themeColor="text1"/>
        </w:rPr>
        <w:t>YES</w:t>
      </w:r>
    </w:p>
    <w:p w14:paraId="54FC6DBB" w14:textId="3D1C5D57" w:rsidR="00AE1972" w:rsidRPr="00781112" w:rsidRDefault="00ED5509" w:rsidP="00AE1972">
      <w:pPr>
        <w:rPr>
          <w:b/>
          <w:bCs/>
        </w:rPr>
      </w:pPr>
      <w:r w:rsidRPr="00781112">
        <w:rPr>
          <w:b/>
          <w:bCs/>
        </w:rPr>
        <w:t>Provide a description of the subset of the population from the indicator.</w:t>
      </w:r>
    </w:p>
    <w:p w14:paraId="730A7F24" w14:textId="5026F767" w:rsidR="00AE1972" w:rsidRDefault="00AE1972" w:rsidP="00AE1972">
      <w:pPr>
        <w:rPr>
          <w:color w:val="000000" w:themeColor="text1"/>
        </w:rPr>
      </w:pPr>
      <w:r w:rsidRPr="00781112">
        <w:rPr>
          <w:color w:val="000000" w:themeColor="text1"/>
        </w:rPr>
        <w:t xml:space="preserve">The subset includes students in first grade who attend one of the SSIP 12 project schools. First grade data was selected as the most appropriate subset because first grade student performance is the most critical and pivotal year in early literacy development. Data </w:t>
      </w:r>
      <w:proofErr w:type="gramStart"/>
      <w:r w:rsidRPr="00781112">
        <w:rPr>
          <w:color w:val="000000" w:themeColor="text1"/>
        </w:rPr>
        <w:t>are</w:t>
      </w:r>
      <w:proofErr w:type="gramEnd"/>
      <w:r w:rsidRPr="00781112">
        <w:rPr>
          <w:color w:val="000000" w:themeColor="text1"/>
        </w:rPr>
        <w:t xml:space="preserve"> collected, analyzed, and reviewed across all grades but only first grade is reported in this summary.</w:t>
      </w:r>
    </w:p>
    <w:p w14:paraId="74BC6A9B" w14:textId="77777777" w:rsidR="00AE1972" w:rsidRPr="00781112" w:rsidRDefault="00AE1972" w:rsidP="00AE1972">
      <w:pPr>
        <w:rPr>
          <w:b/>
          <w:bCs/>
        </w:rPr>
      </w:pPr>
    </w:p>
    <w:p w14:paraId="7B52B71D" w14:textId="77777777" w:rsidR="00AE1972" w:rsidRPr="00781112" w:rsidRDefault="00AE1972" w:rsidP="00AE1972">
      <w:pPr>
        <w:rPr>
          <w:b/>
          <w:bCs/>
        </w:rPr>
      </w:pPr>
      <w:r w:rsidRPr="00781112">
        <w:rPr>
          <w:b/>
          <w:bCs/>
        </w:rPr>
        <w:t>Is the State’s theory of action new or revised since the previous submission? (yes/no)</w:t>
      </w:r>
    </w:p>
    <w:p w14:paraId="2F47C8A6" w14:textId="34E2E007" w:rsidR="00AE1972" w:rsidRDefault="00AE1972" w:rsidP="00AE1972">
      <w:r w:rsidRPr="00781112">
        <w:t>NO</w:t>
      </w:r>
    </w:p>
    <w:p w14:paraId="233336CC" w14:textId="56400261" w:rsidR="00A202E9" w:rsidRPr="00781112" w:rsidRDefault="00A202E9" w:rsidP="00A202E9">
      <w:pPr>
        <w:rPr>
          <w:rFonts w:cs="Arial"/>
          <w:b/>
          <w:bCs/>
          <w:szCs w:val="16"/>
        </w:rPr>
      </w:pPr>
      <w:r w:rsidRPr="00781112">
        <w:rPr>
          <w:rFonts w:cs="Arial"/>
          <w:b/>
          <w:bCs/>
          <w:szCs w:val="16"/>
        </w:rPr>
        <w:t>Please provide a link to the current theory of action.</w:t>
      </w:r>
    </w:p>
    <w:p w14:paraId="7EC9F4F7" w14:textId="0C6CDBBD" w:rsidR="00A202E9" w:rsidRDefault="00A202E9" w:rsidP="00A202E9">
      <w:r w:rsidRPr="00781112">
        <w:t>http://www.cde.state.co.us/cdesped/ssip_toa</w:t>
      </w:r>
    </w:p>
    <w:p w14:paraId="17DFD7D0" w14:textId="77777777" w:rsidR="00B41EFC" w:rsidRDefault="00B41EFC" w:rsidP="00A202E9"/>
    <w:p w14:paraId="5C9EC454" w14:textId="77777777" w:rsidR="00AE1972" w:rsidRPr="007E6407" w:rsidRDefault="00AE1972" w:rsidP="007E6407">
      <w:pPr>
        <w:rPr>
          <w:b/>
          <w:bCs/>
        </w:rPr>
      </w:pPr>
      <w:r w:rsidRPr="007E6407">
        <w:rPr>
          <w:b/>
          <w:bCs/>
        </w:rPr>
        <w:t xml:space="preserve">Progress toward the </w:t>
      </w:r>
      <w:proofErr w:type="spellStart"/>
      <w:r w:rsidRPr="007E6407">
        <w:rPr>
          <w:b/>
          <w:bCs/>
        </w:rPr>
        <w:t>SiMR</w:t>
      </w:r>
      <w:proofErr w:type="spellEnd"/>
    </w:p>
    <w:p w14:paraId="51DEC3F9" w14:textId="77777777" w:rsidR="00AE1972" w:rsidRPr="00781112" w:rsidRDefault="00AE1972" w:rsidP="00AE1972">
      <w:pPr>
        <w:rPr>
          <w:rFonts w:cs="Arial"/>
          <w:b/>
          <w:bCs/>
        </w:rPr>
      </w:pPr>
      <w:r w:rsidRPr="00781112">
        <w:rPr>
          <w:rFonts w:cs="Arial"/>
          <w:b/>
          <w:bCs/>
        </w:rPr>
        <w:t>Please provide the data for the specific FFY listed below (expressed as actual number and percentages)</w:t>
      </w:r>
      <w:r w:rsidRPr="00781112">
        <w:rPr>
          <w:rFonts w:cs="Arial"/>
          <w:b/>
          <w:bCs/>
          <w:i/>
          <w:iCs/>
        </w:rPr>
        <w:t xml:space="preserve">. </w:t>
      </w:r>
    </w:p>
    <w:p w14:paraId="6A111227" w14:textId="77777777" w:rsidR="00AE1972" w:rsidRPr="00781112" w:rsidRDefault="00AE1972" w:rsidP="00AE1972">
      <w:pPr>
        <w:rPr>
          <w:b/>
          <w:bCs/>
        </w:rPr>
      </w:pPr>
      <w:r w:rsidRPr="00781112">
        <w:rPr>
          <w:b/>
          <w:bCs/>
        </w:rPr>
        <w:t>Select yes if the State uses two targets for measurement. (yes/no)</w:t>
      </w:r>
    </w:p>
    <w:p w14:paraId="2BF2552F" w14:textId="1ABFEEE3" w:rsidR="00AE1972" w:rsidRDefault="00AE1972" w:rsidP="00AE1972">
      <w:r w:rsidRPr="00781112">
        <w:t>NO</w:t>
      </w:r>
    </w:p>
    <w:p w14:paraId="73EF288E" w14:textId="77777777" w:rsidR="00B41EFC" w:rsidRDefault="00B41EFC" w:rsidP="00B41EFC">
      <w:pPr>
        <w:rPr>
          <w:rFonts w:cs="Arial"/>
          <w:szCs w:val="16"/>
        </w:rPr>
      </w:pPr>
    </w:p>
    <w:p w14:paraId="4446F409" w14:textId="77777777" w:rsidR="00B41EFC" w:rsidRDefault="00B41EFC" w:rsidP="00B41EFC">
      <w:pPr>
        <w:rPr>
          <w:rFonts w:cs="Arial"/>
          <w:b/>
          <w:bCs/>
          <w:szCs w:val="16"/>
        </w:rPr>
      </w:pPr>
    </w:p>
    <w:p w14:paraId="0CE6ADBC" w14:textId="4FD54FDF" w:rsidR="00AE1972" w:rsidRPr="00781112" w:rsidRDefault="00AE1972" w:rsidP="00AE1972">
      <w:pPr>
        <w:rPr>
          <w:rFonts w:cs="Arial"/>
          <w:b/>
          <w:color w:val="000000" w:themeColor="text1"/>
          <w:szCs w:val="16"/>
        </w:rPr>
      </w:pPr>
      <w:r w:rsidRPr="00781112">
        <w:rPr>
          <w:rFonts w:cs="Arial"/>
          <w:b/>
          <w:color w:val="000000" w:themeColor="text1"/>
          <w:szCs w:val="16"/>
        </w:rPr>
        <w:t>Historical Data</w:t>
      </w:r>
    </w:p>
    <w:tbl>
      <w:tblPr>
        <w:tblW w:w="170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B17BASELINEDATA"/>
      </w:tblPr>
      <w:tblGrid>
        <w:gridCol w:w="2811"/>
        <w:gridCol w:w="875"/>
      </w:tblGrid>
      <w:tr w:rsidR="00AE1972" w:rsidRPr="00781112" w14:paraId="1864403F" w14:textId="77777777" w:rsidTr="00597BC3">
        <w:trPr>
          <w:trHeight w:val="350"/>
          <w:tblHeader/>
        </w:trPr>
        <w:tc>
          <w:tcPr>
            <w:tcW w:w="4389" w:type="pct"/>
            <w:tcBorders>
              <w:bottom w:val="single" w:sz="4" w:space="0" w:color="auto"/>
            </w:tcBorders>
            <w:shd w:val="clear" w:color="auto" w:fill="auto"/>
            <w:vAlign w:val="center"/>
          </w:tcPr>
          <w:p w14:paraId="0F193165" w14:textId="77777777" w:rsidR="00AE1972" w:rsidRPr="00781112" w:rsidRDefault="00AE1972" w:rsidP="00FE5C1F">
            <w:pPr>
              <w:jc w:val="center"/>
              <w:rPr>
                <w:b/>
                <w:bCs/>
                <w:color w:val="000000" w:themeColor="text1"/>
              </w:rPr>
            </w:pPr>
            <w:r w:rsidRPr="00781112">
              <w:rPr>
                <w:b/>
                <w:bCs/>
                <w:color w:val="000000" w:themeColor="text1"/>
              </w:rPr>
              <w:t>Baseline Year</w:t>
            </w:r>
          </w:p>
        </w:tc>
        <w:tc>
          <w:tcPr>
            <w:tcW w:w="611" w:type="pct"/>
            <w:shd w:val="clear" w:color="auto" w:fill="auto"/>
            <w:vAlign w:val="center"/>
          </w:tcPr>
          <w:p w14:paraId="54889FB8" w14:textId="77777777" w:rsidR="00AE1972" w:rsidRPr="00781112" w:rsidRDefault="00AE1972" w:rsidP="00FE5C1F">
            <w:pPr>
              <w:jc w:val="center"/>
              <w:rPr>
                <w:b/>
                <w:bCs/>
                <w:color w:val="000000" w:themeColor="text1"/>
              </w:rPr>
            </w:pPr>
            <w:r w:rsidRPr="00781112">
              <w:rPr>
                <w:b/>
                <w:bCs/>
                <w:color w:val="000000" w:themeColor="text1"/>
              </w:rPr>
              <w:t>Baseline Data</w:t>
            </w:r>
          </w:p>
        </w:tc>
      </w:tr>
      <w:tr w:rsidR="00AE1972" w:rsidRPr="00781112" w14:paraId="6F811ED4" w14:textId="77777777" w:rsidTr="00597BC3">
        <w:trPr>
          <w:trHeight w:val="350"/>
        </w:trPr>
        <w:tc>
          <w:tcPr>
            <w:tcW w:w="4389" w:type="pct"/>
            <w:tcBorders>
              <w:bottom w:val="single" w:sz="4" w:space="0" w:color="auto"/>
            </w:tcBorders>
            <w:shd w:val="clear" w:color="auto" w:fill="auto"/>
          </w:tcPr>
          <w:p w14:paraId="590161AA" w14:textId="53B72043" w:rsidR="00AE1972" w:rsidRPr="00781112" w:rsidRDefault="00AE1972" w:rsidP="00FE5C1F">
            <w:pPr>
              <w:jc w:val="center"/>
              <w:rPr>
                <w:b/>
                <w:color w:val="000000" w:themeColor="text1"/>
              </w:rPr>
            </w:pPr>
            <w:r w:rsidRPr="00781112">
              <w:rPr>
                <w:color w:val="000000" w:themeColor="text1"/>
              </w:rPr>
              <w:t>2015</w:t>
            </w:r>
          </w:p>
        </w:tc>
        <w:tc>
          <w:tcPr>
            <w:tcW w:w="611" w:type="pct"/>
            <w:shd w:val="clear" w:color="auto" w:fill="auto"/>
            <w:vAlign w:val="center"/>
          </w:tcPr>
          <w:p w14:paraId="250C9A1D" w14:textId="277095B1" w:rsidR="00AE1972" w:rsidRPr="00781112" w:rsidRDefault="00AE1972" w:rsidP="00FE5C1F">
            <w:pPr>
              <w:jc w:val="center"/>
              <w:rPr>
                <w:color w:val="000000" w:themeColor="text1"/>
              </w:rPr>
            </w:pPr>
            <w:r w:rsidRPr="00781112">
              <w:rPr>
                <w:color w:val="000000" w:themeColor="text1"/>
              </w:rPr>
              <w:t>26.34%</w:t>
            </w:r>
          </w:p>
        </w:tc>
      </w:tr>
    </w:tbl>
    <w:p w14:paraId="4788921E" w14:textId="77777777" w:rsidR="00AE1972" w:rsidRPr="00781112" w:rsidRDefault="00AE1972" w:rsidP="00AE1972">
      <w:pPr>
        <w:rPr>
          <w:rFonts w:cs="Arial"/>
          <w:b/>
          <w:color w:val="000000" w:themeColor="text1"/>
          <w:szCs w:val="16"/>
        </w:rPr>
      </w:pPr>
    </w:p>
    <w:p w14:paraId="0C86853A" w14:textId="443BF373" w:rsidR="00A434C8" w:rsidRDefault="00A434C8" w:rsidP="00AE1972">
      <w:pPr>
        <w:rPr>
          <w:b/>
          <w:color w:val="000000" w:themeColor="text1"/>
        </w:rPr>
      </w:pPr>
    </w:p>
    <w:p w14:paraId="31429C8D" w14:textId="77777777" w:rsidR="00B41EFC" w:rsidRDefault="00B41EFC" w:rsidP="00AE1972">
      <w:pPr>
        <w:rPr>
          <w:b/>
          <w:color w:val="000000" w:themeColor="text1"/>
        </w:rPr>
      </w:pPr>
    </w:p>
    <w:p w14:paraId="5D5A6057" w14:textId="7CB1F16B" w:rsidR="00AE1972" w:rsidRPr="00781112" w:rsidRDefault="00AE1972" w:rsidP="00AE1972">
      <w:pPr>
        <w:rPr>
          <w:color w:val="000000" w:themeColor="text1"/>
        </w:rPr>
      </w:pPr>
      <w:r w:rsidRPr="00781112">
        <w:rPr>
          <w:b/>
          <w:color w:val="000000" w:themeColor="text1"/>
        </w:rPr>
        <w:t>Targets</w:t>
      </w:r>
    </w:p>
    <w:tbl>
      <w:tblPr>
        <w:tblW w:w="423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B17TARGETS"/>
      </w:tblPr>
      <w:tblGrid>
        <w:gridCol w:w="806"/>
        <w:gridCol w:w="1666"/>
        <w:gridCol w:w="1665"/>
        <w:gridCol w:w="1665"/>
        <w:gridCol w:w="1665"/>
        <w:gridCol w:w="1663"/>
      </w:tblGrid>
      <w:tr w:rsidR="008A0370" w:rsidRPr="00781112" w14:paraId="6151B608" w14:textId="77777777" w:rsidTr="008A0370">
        <w:trPr>
          <w:trHeight w:val="360"/>
        </w:trPr>
        <w:tc>
          <w:tcPr>
            <w:tcW w:w="441" w:type="pct"/>
            <w:tcBorders>
              <w:bottom w:val="single" w:sz="4" w:space="0" w:color="auto"/>
            </w:tcBorders>
            <w:shd w:val="clear" w:color="auto" w:fill="auto"/>
          </w:tcPr>
          <w:p w14:paraId="6F2EC278" w14:textId="77777777" w:rsidR="008A0370" w:rsidRPr="00781112" w:rsidRDefault="008A0370" w:rsidP="00FE5C1F">
            <w:pPr>
              <w:jc w:val="center"/>
              <w:rPr>
                <w:b/>
                <w:color w:val="000000" w:themeColor="text1"/>
              </w:rPr>
            </w:pPr>
            <w:r w:rsidRPr="00781112">
              <w:rPr>
                <w:b/>
                <w:color w:val="000000" w:themeColor="text1"/>
              </w:rPr>
              <w:t>FFY</w:t>
            </w:r>
          </w:p>
        </w:tc>
        <w:tc>
          <w:tcPr>
            <w:tcW w:w="912" w:type="pct"/>
          </w:tcPr>
          <w:p w14:paraId="2B701BD5" w14:textId="7BC1A8DC" w:rsidR="008A0370" w:rsidRPr="00781112" w:rsidRDefault="008A0370" w:rsidP="00FE5C1F">
            <w:pPr>
              <w:jc w:val="center"/>
              <w:rPr>
                <w:b/>
                <w:color w:val="000000" w:themeColor="text1"/>
              </w:rPr>
            </w:pPr>
            <w:r>
              <w:rPr>
                <w:b/>
                <w:color w:val="000000" w:themeColor="text1"/>
              </w:rPr>
              <w:t>Current Relationship</w:t>
            </w:r>
          </w:p>
        </w:tc>
        <w:tc>
          <w:tcPr>
            <w:tcW w:w="912" w:type="pct"/>
            <w:shd w:val="clear" w:color="auto" w:fill="auto"/>
            <w:vAlign w:val="center"/>
          </w:tcPr>
          <w:p w14:paraId="6FE75FC4" w14:textId="543C615D" w:rsidR="008A0370" w:rsidRPr="00781112" w:rsidRDefault="008A0370" w:rsidP="00FE5C1F">
            <w:pPr>
              <w:jc w:val="center"/>
              <w:rPr>
                <w:b/>
                <w:color w:val="000000" w:themeColor="text1"/>
              </w:rPr>
            </w:pPr>
            <w:r w:rsidRPr="00781112">
              <w:rPr>
                <w:b/>
                <w:color w:val="000000" w:themeColor="text1"/>
              </w:rPr>
              <w:t>2022</w:t>
            </w:r>
          </w:p>
        </w:tc>
        <w:tc>
          <w:tcPr>
            <w:tcW w:w="912" w:type="pct"/>
          </w:tcPr>
          <w:p w14:paraId="1A51CAE1" w14:textId="77777777" w:rsidR="008A0370" w:rsidRPr="00781112" w:rsidRDefault="008A0370" w:rsidP="00FE5C1F">
            <w:pPr>
              <w:jc w:val="center"/>
              <w:rPr>
                <w:b/>
                <w:color w:val="000000" w:themeColor="text1"/>
              </w:rPr>
            </w:pPr>
            <w:r w:rsidRPr="00781112">
              <w:rPr>
                <w:rFonts w:cs="Arial"/>
                <w:b/>
                <w:color w:val="000000" w:themeColor="text1"/>
                <w:szCs w:val="16"/>
              </w:rPr>
              <w:t>2023</w:t>
            </w:r>
          </w:p>
        </w:tc>
        <w:tc>
          <w:tcPr>
            <w:tcW w:w="912" w:type="pct"/>
          </w:tcPr>
          <w:p w14:paraId="4EE0EA23" w14:textId="77777777" w:rsidR="008A0370" w:rsidRPr="00781112" w:rsidRDefault="008A0370" w:rsidP="00FE5C1F">
            <w:pPr>
              <w:jc w:val="center"/>
              <w:rPr>
                <w:b/>
                <w:color w:val="000000" w:themeColor="text1"/>
              </w:rPr>
            </w:pPr>
            <w:r w:rsidRPr="00781112">
              <w:rPr>
                <w:rFonts w:cs="Arial"/>
                <w:b/>
                <w:color w:val="000000" w:themeColor="text1"/>
                <w:szCs w:val="16"/>
              </w:rPr>
              <w:t>2024</w:t>
            </w:r>
          </w:p>
        </w:tc>
        <w:tc>
          <w:tcPr>
            <w:tcW w:w="912" w:type="pct"/>
          </w:tcPr>
          <w:p w14:paraId="258316BC" w14:textId="77777777" w:rsidR="008A0370" w:rsidRPr="00781112" w:rsidRDefault="008A0370" w:rsidP="00FE5C1F">
            <w:pPr>
              <w:jc w:val="center"/>
              <w:rPr>
                <w:b/>
                <w:color w:val="000000" w:themeColor="text1"/>
              </w:rPr>
            </w:pPr>
            <w:r w:rsidRPr="00781112">
              <w:rPr>
                <w:rFonts w:cs="Arial"/>
                <w:b/>
                <w:color w:val="000000" w:themeColor="text1"/>
                <w:szCs w:val="16"/>
              </w:rPr>
              <w:t>2025</w:t>
            </w:r>
          </w:p>
        </w:tc>
      </w:tr>
      <w:tr w:rsidR="008A0370" w:rsidRPr="00781112" w14:paraId="7F5560B1" w14:textId="77777777" w:rsidTr="008A0370">
        <w:trPr>
          <w:trHeight w:val="367"/>
        </w:trPr>
        <w:tc>
          <w:tcPr>
            <w:tcW w:w="441" w:type="pct"/>
            <w:shd w:val="clear" w:color="auto" w:fill="auto"/>
          </w:tcPr>
          <w:p w14:paraId="16C136D0" w14:textId="4A0B58F9" w:rsidR="008A0370" w:rsidRPr="00781112" w:rsidRDefault="008A0370" w:rsidP="00BA3DBE">
            <w:pPr>
              <w:jc w:val="center"/>
              <w:rPr>
                <w:rFonts w:cs="Arial"/>
                <w:color w:val="000000" w:themeColor="text1"/>
                <w:szCs w:val="16"/>
              </w:rPr>
            </w:pPr>
            <w:r w:rsidRPr="00781112">
              <w:rPr>
                <w:rFonts w:cs="Arial"/>
                <w:color w:val="000000" w:themeColor="text1"/>
                <w:szCs w:val="16"/>
              </w:rPr>
              <w:t>Target</w:t>
            </w:r>
          </w:p>
        </w:tc>
        <w:tc>
          <w:tcPr>
            <w:tcW w:w="912" w:type="pct"/>
          </w:tcPr>
          <w:p w14:paraId="1EE4EF8F" w14:textId="2FF13FB0" w:rsidR="008A0370" w:rsidRPr="00781112" w:rsidRDefault="008A0370" w:rsidP="00FE5C1F">
            <w:pPr>
              <w:jc w:val="center"/>
              <w:rPr>
                <w:color w:val="000000" w:themeColor="text1"/>
              </w:rPr>
            </w:pPr>
            <w:r w:rsidRPr="008A0370">
              <w:rPr>
                <w:color w:val="000000" w:themeColor="text1"/>
              </w:rPr>
              <w:t>Data must be less than or equal to the target</w:t>
            </w:r>
          </w:p>
        </w:tc>
        <w:tc>
          <w:tcPr>
            <w:tcW w:w="912" w:type="pct"/>
            <w:shd w:val="clear" w:color="auto" w:fill="auto"/>
            <w:vAlign w:val="center"/>
          </w:tcPr>
          <w:p w14:paraId="0D607E3E" w14:textId="06E87534" w:rsidR="008A0370" w:rsidRPr="00781112" w:rsidRDefault="008A0370" w:rsidP="00FE5C1F">
            <w:pPr>
              <w:jc w:val="center"/>
              <w:rPr>
                <w:color w:val="000000" w:themeColor="text1"/>
              </w:rPr>
            </w:pPr>
            <w:r w:rsidRPr="00781112">
              <w:rPr>
                <w:color w:val="000000" w:themeColor="text1"/>
              </w:rPr>
              <w:t>32.00%</w:t>
            </w:r>
          </w:p>
        </w:tc>
        <w:tc>
          <w:tcPr>
            <w:tcW w:w="912" w:type="pct"/>
          </w:tcPr>
          <w:p w14:paraId="49D7B83C" w14:textId="5D2EEC9F" w:rsidR="008A0370" w:rsidRPr="00781112" w:rsidRDefault="008A0370" w:rsidP="00FE5C1F">
            <w:pPr>
              <w:jc w:val="center"/>
              <w:rPr>
                <w:color w:val="000000" w:themeColor="text1"/>
              </w:rPr>
            </w:pPr>
            <w:r w:rsidRPr="00781112">
              <w:rPr>
                <w:rFonts w:cs="Arial"/>
                <w:color w:val="000000" w:themeColor="text1"/>
                <w:szCs w:val="16"/>
              </w:rPr>
              <w:t>30.00%</w:t>
            </w:r>
          </w:p>
        </w:tc>
        <w:tc>
          <w:tcPr>
            <w:tcW w:w="912" w:type="pct"/>
          </w:tcPr>
          <w:p w14:paraId="73C3B9F9" w14:textId="4B324AE0" w:rsidR="008A0370" w:rsidRPr="00781112" w:rsidRDefault="008A0370" w:rsidP="00FE5C1F">
            <w:pPr>
              <w:jc w:val="center"/>
              <w:rPr>
                <w:color w:val="000000" w:themeColor="text1"/>
              </w:rPr>
            </w:pPr>
            <w:r w:rsidRPr="00781112">
              <w:rPr>
                <w:rFonts w:cs="Arial"/>
                <w:color w:val="000000" w:themeColor="text1"/>
                <w:szCs w:val="16"/>
              </w:rPr>
              <w:t>28.00%</w:t>
            </w:r>
          </w:p>
        </w:tc>
        <w:tc>
          <w:tcPr>
            <w:tcW w:w="912" w:type="pct"/>
          </w:tcPr>
          <w:p w14:paraId="36C2800A" w14:textId="411CFB34" w:rsidR="008A0370" w:rsidRPr="00781112" w:rsidRDefault="008A0370" w:rsidP="00FE5C1F">
            <w:pPr>
              <w:jc w:val="center"/>
              <w:rPr>
                <w:color w:val="000000" w:themeColor="text1"/>
              </w:rPr>
            </w:pPr>
            <w:r w:rsidRPr="00781112">
              <w:rPr>
                <w:rFonts w:cs="Arial"/>
                <w:color w:val="000000" w:themeColor="text1"/>
                <w:szCs w:val="16"/>
              </w:rPr>
              <w:t>26.00%</w:t>
            </w:r>
          </w:p>
        </w:tc>
      </w:tr>
    </w:tbl>
    <w:p w14:paraId="096B5400" w14:textId="77777777" w:rsidR="00AE1972" w:rsidRPr="00781112" w:rsidRDefault="00AE1972" w:rsidP="00AE1972">
      <w:pPr>
        <w:pStyle w:val="Italic"/>
        <w:rPr>
          <w:rFonts w:cs="Arial"/>
          <w:i w:val="0"/>
          <w:color w:val="000000" w:themeColor="text1"/>
          <w:szCs w:val="16"/>
        </w:rPr>
      </w:pPr>
    </w:p>
    <w:p w14:paraId="7582347A" w14:textId="5B4A14FE" w:rsidR="00AE1972" w:rsidRPr="00781112" w:rsidRDefault="0047313F" w:rsidP="00AE1972">
      <w:pPr>
        <w:rPr>
          <w:b/>
          <w:color w:val="000000" w:themeColor="text1"/>
        </w:rPr>
      </w:pPr>
      <w:r>
        <w:rPr>
          <w:b/>
          <w:color w:val="000000" w:themeColor="text1"/>
        </w:rPr>
        <w:t xml:space="preserve">FFY 2022 SPP/APR Data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B17FFYAPRDATA"/>
      </w:tblPr>
      <w:tblGrid>
        <w:gridCol w:w="2515"/>
        <w:gridCol w:w="1890"/>
        <w:gridCol w:w="1439"/>
        <w:gridCol w:w="1351"/>
        <w:gridCol w:w="1260"/>
        <w:gridCol w:w="1260"/>
        <w:gridCol w:w="1075"/>
      </w:tblGrid>
      <w:tr w:rsidR="00B21923" w:rsidRPr="00781112" w14:paraId="6ACE308B" w14:textId="77777777" w:rsidTr="004B2960">
        <w:trPr>
          <w:trHeight w:val="354"/>
        </w:trPr>
        <w:tc>
          <w:tcPr>
            <w:tcW w:w="1165" w:type="pct"/>
            <w:shd w:val="clear" w:color="auto" w:fill="auto"/>
            <w:vAlign w:val="bottom"/>
          </w:tcPr>
          <w:p w14:paraId="1F241A2B" w14:textId="43C3BBEC" w:rsidR="00B21923" w:rsidRPr="00781112" w:rsidRDefault="00B21923" w:rsidP="00B21923">
            <w:pPr>
              <w:jc w:val="center"/>
              <w:rPr>
                <w:b/>
                <w:bCs/>
                <w:color w:val="000000" w:themeColor="text1"/>
                <w:szCs w:val="16"/>
              </w:rPr>
            </w:pPr>
            <w:r w:rsidRPr="00781112">
              <w:rPr>
                <w:b/>
                <w:bCs/>
                <w:color w:val="000000" w:themeColor="text1"/>
                <w:szCs w:val="16"/>
              </w:rPr>
              <w:t>participating1st grade students who attended SSIP Project schools who were in the well-below benchmark range at EOY</w:t>
            </w:r>
          </w:p>
        </w:tc>
        <w:tc>
          <w:tcPr>
            <w:tcW w:w="876" w:type="pct"/>
            <w:shd w:val="clear" w:color="auto" w:fill="auto"/>
            <w:vAlign w:val="bottom"/>
          </w:tcPr>
          <w:p w14:paraId="470CA230" w14:textId="5C37C1F9" w:rsidR="00B21923" w:rsidRPr="00781112" w:rsidRDefault="00B21923" w:rsidP="00B21923">
            <w:pPr>
              <w:jc w:val="center"/>
              <w:rPr>
                <w:b/>
                <w:bCs/>
                <w:color w:val="000000" w:themeColor="text1"/>
                <w:szCs w:val="16"/>
              </w:rPr>
            </w:pPr>
            <w:r w:rsidRPr="00781112">
              <w:rPr>
                <w:b/>
                <w:bCs/>
                <w:color w:val="000000" w:themeColor="text1"/>
                <w:szCs w:val="16"/>
              </w:rPr>
              <w:t>total participating 1st grade students who attend SSIP Project schools</w:t>
            </w:r>
          </w:p>
        </w:tc>
        <w:tc>
          <w:tcPr>
            <w:tcW w:w="667" w:type="pct"/>
            <w:shd w:val="clear" w:color="auto" w:fill="auto"/>
            <w:vAlign w:val="bottom"/>
          </w:tcPr>
          <w:p w14:paraId="4AB6D89D" w14:textId="4414280B" w:rsidR="00B21923" w:rsidRPr="00781112" w:rsidRDefault="00B21923" w:rsidP="00B21923">
            <w:pPr>
              <w:jc w:val="center"/>
              <w:rPr>
                <w:b/>
                <w:color w:val="000000" w:themeColor="text1"/>
                <w:szCs w:val="16"/>
              </w:rPr>
            </w:pPr>
            <w:r>
              <w:t>FFY 202</w:t>
            </w:r>
            <w:r w:rsidR="00FC1D83">
              <w:t>1</w:t>
            </w:r>
            <w:r w:rsidRPr="00C318B5">
              <w:t xml:space="preserve"> Data</w:t>
            </w:r>
          </w:p>
        </w:tc>
        <w:tc>
          <w:tcPr>
            <w:tcW w:w="626" w:type="pct"/>
            <w:shd w:val="clear" w:color="auto" w:fill="auto"/>
            <w:vAlign w:val="bottom"/>
          </w:tcPr>
          <w:p w14:paraId="63A0DC52" w14:textId="54510AAE" w:rsidR="00B21923" w:rsidRPr="00781112" w:rsidRDefault="00B21923" w:rsidP="00B21923">
            <w:pPr>
              <w:jc w:val="center"/>
              <w:rPr>
                <w:b/>
                <w:color w:val="000000" w:themeColor="text1"/>
                <w:szCs w:val="16"/>
              </w:rPr>
            </w:pPr>
            <w:r>
              <w:t>FFY 202</w:t>
            </w:r>
            <w:r w:rsidR="00FC1D83">
              <w:t>2</w:t>
            </w:r>
            <w:r w:rsidRPr="00C318B5">
              <w:t xml:space="preserve"> Target</w:t>
            </w:r>
          </w:p>
        </w:tc>
        <w:tc>
          <w:tcPr>
            <w:tcW w:w="584" w:type="pct"/>
            <w:shd w:val="clear" w:color="auto" w:fill="auto"/>
            <w:vAlign w:val="bottom"/>
          </w:tcPr>
          <w:p w14:paraId="2D311519" w14:textId="4413A980" w:rsidR="00B21923" w:rsidRPr="00781112" w:rsidRDefault="00B21923" w:rsidP="00B21923">
            <w:pPr>
              <w:jc w:val="center"/>
              <w:rPr>
                <w:b/>
                <w:color w:val="000000" w:themeColor="text1"/>
                <w:szCs w:val="16"/>
              </w:rPr>
            </w:pPr>
            <w:r>
              <w:t>FFY 202</w:t>
            </w:r>
            <w:r w:rsidR="00FC1D83">
              <w:t>2</w:t>
            </w:r>
            <w:r w:rsidRPr="00C318B5">
              <w:t xml:space="preserve"> Data</w:t>
            </w:r>
          </w:p>
        </w:tc>
        <w:tc>
          <w:tcPr>
            <w:tcW w:w="584" w:type="pct"/>
            <w:shd w:val="clear" w:color="auto" w:fill="auto"/>
            <w:vAlign w:val="bottom"/>
          </w:tcPr>
          <w:p w14:paraId="4F033BB8" w14:textId="77777777" w:rsidR="00B21923" w:rsidRPr="00781112" w:rsidRDefault="00B21923" w:rsidP="00B21923">
            <w:pPr>
              <w:jc w:val="center"/>
              <w:rPr>
                <w:b/>
                <w:color w:val="000000" w:themeColor="text1"/>
                <w:szCs w:val="16"/>
              </w:rPr>
            </w:pPr>
            <w:r w:rsidRPr="00781112">
              <w:rPr>
                <w:b/>
                <w:color w:val="000000" w:themeColor="text1"/>
                <w:szCs w:val="16"/>
              </w:rPr>
              <w:t>Status</w:t>
            </w:r>
          </w:p>
        </w:tc>
        <w:tc>
          <w:tcPr>
            <w:tcW w:w="498" w:type="pct"/>
            <w:shd w:val="clear" w:color="auto" w:fill="auto"/>
            <w:vAlign w:val="bottom"/>
          </w:tcPr>
          <w:p w14:paraId="4A16E14D" w14:textId="77777777" w:rsidR="00B21923" w:rsidRPr="00781112" w:rsidRDefault="00B21923" w:rsidP="00B21923">
            <w:pPr>
              <w:jc w:val="center"/>
              <w:rPr>
                <w:b/>
                <w:color w:val="000000" w:themeColor="text1"/>
                <w:szCs w:val="16"/>
              </w:rPr>
            </w:pPr>
            <w:r w:rsidRPr="00781112">
              <w:rPr>
                <w:b/>
                <w:color w:val="000000" w:themeColor="text1"/>
                <w:szCs w:val="16"/>
              </w:rPr>
              <w:t>Slippage</w:t>
            </w:r>
          </w:p>
        </w:tc>
      </w:tr>
      <w:tr w:rsidR="00AE1972" w:rsidRPr="00781112" w14:paraId="0CC3AF11" w14:textId="77777777" w:rsidTr="004B2960">
        <w:trPr>
          <w:trHeight w:val="287"/>
        </w:trPr>
        <w:tc>
          <w:tcPr>
            <w:tcW w:w="1165" w:type="pct"/>
            <w:shd w:val="clear" w:color="auto" w:fill="auto"/>
            <w:vAlign w:val="center"/>
          </w:tcPr>
          <w:p w14:paraId="03294214" w14:textId="00B9AA4D" w:rsidR="00AE1972" w:rsidRPr="00781112" w:rsidRDefault="00AE1972" w:rsidP="00FE5C1F">
            <w:pPr>
              <w:jc w:val="center"/>
              <w:rPr>
                <w:color w:val="000000" w:themeColor="text1"/>
                <w:szCs w:val="16"/>
              </w:rPr>
            </w:pPr>
            <w:r w:rsidRPr="00781112">
              <w:rPr>
                <w:color w:val="000000" w:themeColor="text1"/>
                <w:szCs w:val="16"/>
              </w:rPr>
              <w:lastRenderedPageBreak/>
              <w:t>138</w:t>
            </w:r>
          </w:p>
        </w:tc>
        <w:tc>
          <w:tcPr>
            <w:tcW w:w="876" w:type="pct"/>
            <w:shd w:val="clear" w:color="auto" w:fill="auto"/>
            <w:vAlign w:val="center"/>
          </w:tcPr>
          <w:p w14:paraId="60D8BD39" w14:textId="04B0428F" w:rsidR="00AE1972" w:rsidRPr="00781112" w:rsidRDefault="00AE1972" w:rsidP="00FE5C1F">
            <w:pPr>
              <w:jc w:val="center"/>
              <w:rPr>
                <w:color w:val="000000" w:themeColor="text1"/>
                <w:szCs w:val="16"/>
              </w:rPr>
            </w:pPr>
            <w:r w:rsidRPr="00781112">
              <w:rPr>
                <w:color w:val="000000" w:themeColor="text1"/>
                <w:szCs w:val="16"/>
              </w:rPr>
              <w:t>260</w:t>
            </w:r>
          </w:p>
        </w:tc>
        <w:tc>
          <w:tcPr>
            <w:tcW w:w="667" w:type="pct"/>
            <w:shd w:val="clear" w:color="auto" w:fill="auto"/>
          </w:tcPr>
          <w:p w14:paraId="75E02A3E" w14:textId="1669E08C" w:rsidR="00AE1972" w:rsidRPr="00781112" w:rsidRDefault="00AE1972" w:rsidP="00FE5C1F">
            <w:pPr>
              <w:jc w:val="center"/>
              <w:rPr>
                <w:color w:val="000000" w:themeColor="text1"/>
                <w:szCs w:val="16"/>
              </w:rPr>
            </w:pPr>
            <w:r w:rsidRPr="00781112">
              <w:rPr>
                <w:rFonts w:cs="Arial"/>
                <w:color w:val="000000" w:themeColor="text1"/>
                <w:szCs w:val="16"/>
              </w:rPr>
              <w:t>31.16%</w:t>
            </w:r>
          </w:p>
        </w:tc>
        <w:tc>
          <w:tcPr>
            <w:tcW w:w="626" w:type="pct"/>
            <w:shd w:val="clear" w:color="auto" w:fill="auto"/>
          </w:tcPr>
          <w:p w14:paraId="33C18B01" w14:textId="595A4E89" w:rsidR="00AE1972" w:rsidRPr="00781112" w:rsidRDefault="00AE1972" w:rsidP="00FE5C1F">
            <w:pPr>
              <w:jc w:val="center"/>
              <w:rPr>
                <w:color w:val="000000" w:themeColor="text1"/>
                <w:szCs w:val="16"/>
              </w:rPr>
            </w:pPr>
            <w:r w:rsidRPr="00781112">
              <w:rPr>
                <w:color w:val="000000" w:themeColor="text1"/>
                <w:szCs w:val="16"/>
              </w:rPr>
              <w:t>32.00%</w:t>
            </w:r>
          </w:p>
        </w:tc>
        <w:tc>
          <w:tcPr>
            <w:tcW w:w="584" w:type="pct"/>
            <w:shd w:val="clear" w:color="auto" w:fill="auto"/>
          </w:tcPr>
          <w:p w14:paraId="22FE7038" w14:textId="7027AD57" w:rsidR="00AE1972" w:rsidRPr="00781112" w:rsidRDefault="00AE1972" w:rsidP="00FE5C1F">
            <w:pPr>
              <w:jc w:val="center"/>
              <w:rPr>
                <w:color w:val="000000" w:themeColor="text1"/>
                <w:szCs w:val="16"/>
              </w:rPr>
            </w:pPr>
            <w:r w:rsidRPr="00781112">
              <w:rPr>
                <w:rFonts w:cs="Arial"/>
                <w:color w:val="000000" w:themeColor="text1"/>
                <w:szCs w:val="16"/>
              </w:rPr>
              <w:t>53.08%</w:t>
            </w:r>
          </w:p>
        </w:tc>
        <w:tc>
          <w:tcPr>
            <w:tcW w:w="584" w:type="pct"/>
            <w:shd w:val="clear" w:color="auto" w:fill="auto"/>
          </w:tcPr>
          <w:p w14:paraId="1623D96E" w14:textId="3DCB7177" w:rsidR="00AE1972" w:rsidRPr="00781112" w:rsidRDefault="00AE1972" w:rsidP="00FE5C1F">
            <w:pPr>
              <w:jc w:val="center"/>
              <w:rPr>
                <w:color w:val="000000" w:themeColor="text1"/>
              </w:rPr>
            </w:pPr>
            <w:r w:rsidRPr="00781112">
              <w:rPr>
                <w:color w:val="000000" w:themeColor="text1"/>
              </w:rPr>
              <w:t>Did not meet target</w:t>
            </w:r>
          </w:p>
        </w:tc>
        <w:tc>
          <w:tcPr>
            <w:tcW w:w="498" w:type="pct"/>
            <w:shd w:val="clear" w:color="auto" w:fill="auto"/>
          </w:tcPr>
          <w:p w14:paraId="78591691" w14:textId="070A8ABA" w:rsidR="00AE1972" w:rsidRPr="00781112" w:rsidRDefault="00AE1972" w:rsidP="00FE5C1F">
            <w:pPr>
              <w:jc w:val="center"/>
              <w:rPr>
                <w:color w:val="000000" w:themeColor="text1"/>
              </w:rPr>
            </w:pPr>
            <w:r w:rsidRPr="00781112">
              <w:rPr>
                <w:color w:val="000000" w:themeColor="text1"/>
              </w:rPr>
              <w:t>Slippage</w:t>
            </w:r>
          </w:p>
        </w:tc>
      </w:tr>
    </w:tbl>
    <w:p w14:paraId="41D5A2DB" w14:textId="77777777" w:rsidR="00AE1972" w:rsidRPr="00781112" w:rsidRDefault="00AE1972" w:rsidP="00AE1972">
      <w:pPr>
        <w:rPr>
          <w:rFonts w:cs="Arial"/>
          <w:b/>
          <w:i/>
          <w:color w:val="000000" w:themeColor="text1"/>
          <w:szCs w:val="16"/>
        </w:rPr>
      </w:pPr>
      <w:r w:rsidRPr="00781112">
        <w:rPr>
          <w:rFonts w:cs="Arial"/>
          <w:b/>
          <w:color w:val="000000" w:themeColor="text1"/>
          <w:szCs w:val="16"/>
        </w:rPr>
        <w:t xml:space="preserve">Provide reasons for slippage, if applicable </w:t>
      </w:r>
    </w:p>
    <w:p w14:paraId="3BD5956F" w14:textId="215BB5DA" w:rsidR="00AE1972" w:rsidRPr="00781112" w:rsidRDefault="00AE1972" w:rsidP="00AE1972">
      <w:pPr>
        <w:rPr>
          <w:color w:val="000000" w:themeColor="text1"/>
        </w:rPr>
      </w:pPr>
    </w:p>
    <w:p w14:paraId="39105459" w14:textId="162D4481" w:rsidR="000F007B" w:rsidRDefault="000F007B" w:rsidP="000F007B"/>
    <w:p w14:paraId="42809EAB" w14:textId="359196D5" w:rsidR="000F007B" w:rsidRDefault="000F007B" w:rsidP="000F007B"/>
    <w:p w14:paraId="66E5C45A" w14:textId="77777777" w:rsidR="00AE1972" w:rsidRPr="00781112" w:rsidRDefault="00AE1972" w:rsidP="00AE1972"/>
    <w:p w14:paraId="30EFC313" w14:textId="0A7FDD02" w:rsidR="005D6EB4" w:rsidRPr="00781112" w:rsidRDefault="004F3929" w:rsidP="005D6EB4">
      <w:pPr>
        <w:rPr>
          <w:b/>
          <w:bCs/>
        </w:rPr>
      </w:pPr>
      <w:r>
        <w:rPr>
          <w:b/>
          <w:bCs/>
        </w:rPr>
        <w:t>Provide the data source for the FFY 2022 data.</w:t>
      </w:r>
    </w:p>
    <w:p w14:paraId="791B79B4" w14:textId="2C5B8D5E" w:rsidR="005D6EB4" w:rsidRPr="00781112" w:rsidRDefault="005D6EB4" w:rsidP="005D6EB4">
      <w:pPr>
        <w:rPr>
          <w:color w:val="000000" w:themeColor="text1"/>
        </w:rPr>
      </w:pPr>
      <w:r w:rsidRPr="00781112">
        <w:rPr>
          <w:color w:val="000000" w:themeColor="text1"/>
        </w:rPr>
        <w:t>Acadience (DIBELS Next)</w:t>
      </w:r>
    </w:p>
    <w:p w14:paraId="17AAB1A6" w14:textId="2D1007DB" w:rsidR="00AE1972" w:rsidRPr="00781112" w:rsidRDefault="00AE1972" w:rsidP="00AE1972">
      <w:r w:rsidRPr="00781112">
        <w:rPr>
          <w:b/>
          <w:bCs/>
        </w:rPr>
        <w:t xml:space="preserve">Please describe how data </w:t>
      </w:r>
      <w:proofErr w:type="gramStart"/>
      <w:r w:rsidRPr="00781112">
        <w:rPr>
          <w:b/>
          <w:bCs/>
        </w:rPr>
        <w:t>are</w:t>
      </w:r>
      <w:proofErr w:type="gramEnd"/>
      <w:r w:rsidRPr="00781112">
        <w:rPr>
          <w:b/>
          <w:bCs/>
        </w:rPr>
        <w:t xml:space="preserve"> collected and analyzed for the </w:t>
      </w:r>
      <w:proofErr w:type="spellStart"/>
      <w:r w:rsidRPr="00781112">
        <w:rPr>
          <w:b/>
          <w:bCs/>
        </w:rPr>
        <w:t>SiMR</w:t>
      </w:r>
      <w:proofErr w:type="spellEnd"/>
      <w:r w:rsidRPr="00781112">
        <w:t>.</w:t>
      </w:r>
    </w:p>
    <w:p w14:paraId="0A6DF7F0" w14:textId="29C12277" w:rsidR="00AE1972" w:rsidRPr="00781112" w:rsidRDefault="00AE1972" w:rsidP="00AE1972">
      <w:pPr>
        <w:rPr>
          <w:color w:val="000000" w:themeColor="text1"/>
        </w:rPr>
      </w:pPr>
      <w:r w:rsidRPr="00781112">
        <w:rPr>
          <w:color w:val="000000" w:themeColor="text1"/>
        </w:rPr>
        <w:t xml:space="preserve">We collected first grade benchmark data from the Acadience Assessments using the Amplify Data Collection system that are collected by each school site. The analysis included review of first-grade students who fell into the well-below benchmark range on the Beginning-of-the Year (BOY) and End-of-the Year (EOY) Benchmarks. CDE provides training to school sites on the administration of Acadience Assessments. </w:t>
      </w:r>
    </w:p>
    <w:p w14:paraId="37CD625E" w14:textId="77777777" w:rsidR="00AE1972" w:rsidRPr="00781112" w:rsidRDefault="00AE1972" w:rsidP="00AE1972"/>
    <w:p w14:paraId="5D43821E" w14:textId="77777777" w:rsidR="00AE1972" w:rsidRPr="00781112" w:rsidRDefault="00AE1972" w:rsidP="00AE1972">
      <w:pPr>
        <w:rPr>
          <w:rFonts w:cs="Arial"/>
          <w:b/>
          <w:bCs/>
        </w:rPr>
      </w:pPr>
      <w:r w:rsidRPr="00781112">
        <w:rPr>
          <w:rFonts w:cs="Arial"/>
          <w:b/>
          <w:bCs/>
        </w:rPr>
        <w:t xml:space="preserve">Optional: Has the State collected additional data </w:t>
      </w:r>
      <w:r w:rsidRPr="00781112">
        <w:rPr>
          <w:rFonts w:cs="Arial"/>
          <w:b/>
          <w:bCs/>
          <w:i/>
          <w:iCs/>
        </w:rPr>
        <w:t>(i.e., benchmark, CQI, survey)</w:t>
      </w:r>
      <w:r w:rsidRPr="00781112">
        <w:rPr>
          <w:rFonts w:cs="Arial"/>
          <w:b/>
          <w:bCs/>
        </w:rPr>
        <w:t xml:space="preserve"> that demonstrates progress toward the </w:t>
      </w:r>
      <w:proofErr w:type="spellStart"/>
      <w:r w:rsidRPr="00781112">
        <w:rPr>
          <w:rFonts w:cs="Arial"/>
          <w:b/>
          <w:bCs/>
        </w:rPr>
        <w:t>SiMR</w:t>
      </w:r>
      <w:proofErr w:type="spellEnd"/>
      <w:r w:rsidRPr="00781112">
        <w:rPr>
          <w:rFonts w:cs="Arial"/>
          <w:b/>
          <w:bCs/>
        </w:rPr>
        <w:t>?</w:t>
      </w:r>
      <w:r w:rsidRPr="00781112">
        <w:rPr>
          <w:b/>
          <w:bCs/>
        </w:rPr>
        <w:t xml:space="preserve"> (yes/no)</w:t>
      </w:r>
      <w:r w:rsidRPr="00781112">
        <w:rPr>
          <w:rFonts w:cs="Arial"/>
          <w:b/>
          <w:bCs/>
        </w:rPr>
        <w:t xml:space="preserve">  </w:t>
      </w:r>
    </w:p>
    <w:p w14:paraId="01E3AE2A" w14:textId="671ECC26" w:rsidR="00AE1972" w:rsidRDefault="00AE1972" w:rsidP="00AE1972">
      <w:pPr>
        <w:rPr>
          <w:color w:val="000000" w:themeColor="text1"/>
        </w:rPr>
      </w:pPr>
      <w:r w:rsidRPr="00781112">
        <w:rPr>
          <w:color w:val="000000" w:themeColor="text1"/>
        </w:rPr>
        <w:t>NO</w:t>
      </w:r>
    </w:p>
    <w:p w14:paraId="2F248282" w14:textId="77777777" w:rsidR="00AE1972" w:rsidRPr="00781112" w:rsidRDefault="00AE1972" w:rsidP="00AE1972">
      <w:pPr>
        <w:rPr>
          <w:b/>
          <w:bCs/>
        </w:rPr>
      </w:pPr>
    </w:p>
    <w:p w14:paraId="26AF875A" w14:textId="77777777" w:rsidR="00AE1972" w:rsidRPr="00781112" w:rsidRDefault="00AE1972" w:rsidP="00AE1972">
      <w:pPr>
        <w:spacing w:after="0"/>
        <w:rPr>
          <w:rFonts w:cs="Arial"/>
          <w:b/>
          <w:bCs/>
        </w:rPr>
      </w:pPr>
      <w:r w:rsidRPr="00781112">
        <w:rPr>
          <w:rFonts w:cs="Arial"/>
          <w:b/>
          <w:bCs/>
        </w:rPr>
        <w:t xml:space="preserve">Did the State identify any general data quality concerns, unrelated to COVID-19, that affected progress toward the </w:t>
      </w:r>
      <w:proofErr w:type="spellStart"/>
      <w:r w:rsidRPr="00781112">
        <w:rPr>
          <w:rFonts w:cs="Arial"/>
          <w:b/>
          <w:bCs/>
        </w:rPr>
        <w:t>SiMR</w:t>
      </w:r>
      <w:proofErr w:type="spellEnd"/>
      <w:r w:rsidRPr="00781112">
        <w:rPr>
          <w:rFonts w:cs="Arial"/>
          <w:b/>
          <w:bCs/>
        </w:rPr>
        <w:t xml:space="preserve"> during the reporting period? </w:t>
      </w:r>
      <w:r w:rsidRPr="00781112">
        <w:rPr>
          <w:b/>
          <w:bCs/>
        </w:rPr>
        <w:t>(yes/no)</w:t>
      </w:r>
    </w:p>
    <w:p w14:paraId="36E83E2B" w14:textId="1C140CC0" w:rsidR="00AE1972" w:rsidRDefault="00AE1972" w:rsidP="00AE1972">
      <w:pPr>
        <w:spacing w:after="0"/>
        <w:rPr>
          <w:color w:val="000000" w:themeColor="text1"/>
        </w:rPr>
      </w:pPr>
      <w:r w:rsidRPr="00781112">
        <w:rPr>
          <w:color w:val="000000" w:themeColor="text1"/>
        </w:rPr>
        <w:t>NO</w:t>
      </w:r>
    </w:p>
    <w:p w14:paraId="30214B92" w14:textId="77777777" w:rsidR="00AE1972" w:rsidRPr="00781112" w:rsidRDefault="00AE1972" w:rsidP="00AE1972">
      <w:pPr>
        <w:rPr>
          <w:b/>
          <w:bCs/>
        </w:rPr>
      </w:pPr>
    </w:p>
    <w:p w14:paraId="085CF862" w14:textId="77777777" w:rsidR="00AE1972" w:rsidRPr="00781112" w:rsidRDefault="00AE1972" w:rsidP="00AE1972">
      <w:pPr>
        <w:rPr>
          <w:b/>
          <w:bCs/>
        </w:rPr>
      </w:pPr>
      <w:r w:rsidRPr="00781112">
        <w:rPr>
          <w:b/>
          <w:bCs/>
        </w:rPr>
        <w:t>Did the State identify any data quality concerns directly related to the COVID-19 pandemic during the reporting period? (yes/no)</w:t>
      </w:r>
    </w:p>
    <w:p w14:paraId="71B180FE" w14:textId="5A61759D" w:rsidR="00AE1972" w:rsidRDefault="00AE1972" w:rsidP="00AE1972">
      <w:pPr>
        <w:rPr>
          <w:color w:val="000000" w:themeColor="text1"/>
        </w:rPr>
      </w:pPr>
      <w:r w:rsidRPr="00781112">
        <w:rPr>
          <w:color w:val="000000" w:themeColor="text1"/>
        </w:rPr>
        <w:t>NO</w:t>
      </w:r>
    </w:p>
    <w:p w14:paraId="1CD7E2E2" w14:textId="77777777" w:rsidR="00AE1972" w:rsidRPr="00781112" w:rsidRDefault="00AE1972" w:rsidP="00AE1972">
      <w:pPr>
        <w:rPr>
          <w:b/>
          <w:bCs/>
        </w:rPr>
      </w:pPr>
    </w:p>
    <w:p w14:paraId="2127B612" w14:textId="77777777" w:rsidR="00AE1972" w:rsidRPr="00074B33" w:rsidRDefault="00AE1972" w:rsidP="00074B33">
      <w:pPr>
        <w:rPr>
          <w:b/>
          <w:bCs/>
        </w:rPr>
      </w:pPr>
      <w:r w:rsidRPr="00074B33">
        <w:rPr>
          <w:b/>
          <w:bCs/>
        </w:rPr>
        <w:t>Section B: Implementation, Analysis and Evaluation</w:t>
      </w:r>
    </w:p>
    <w:p w14:paraId="08E78A8E" w14:textId="77777777" w:rsidR="00E84BDF" w:rsidRPr="00E84BDF" w:rsidRDefault="00E84BDF" w:rsidP="00E84BDF">
      <w:pPr>
        <w:rPr>
          <w:rFonts w:cs="Arial"/>
          <w:b/>
          <w:bCs/>
        </w:rPr>
      </w:pPr>
      <w:r w:rsidRPr="00E84BDF">
        <w:rPr>
          <w:rFonts w:cs="Arial"/>
          <w:b/>
          <w:bCs/>
        </w:rPr>
        <w:t>Please provide a link to the State’s current evaluation plan.</w:t>
      </w:r>
    </w:p>
    <w:p w14:paraId="0A6517E8" w14:textId="77777777" w:rsidR="00E84BDF" w:rsidRDefault="00E84BDF" w:rsidP="00E84BDF">
      <w:pPr>
        <w:rPr>
          <w:color w:val="000000" w:themeColor="text1"/>
        </w:rPr>
      </w:pPr>
      <w:r w:rsidRPr="00781112">
        <w:rPr>
          <w:color w:val="000000" w:themeColor="text1"/>
        </w:rPr>
        <w:t>http://www.cde.state.co.us/cdesped/ssip_colorado_phase2</w:t>
      </w:r>
    </w:p>
    <w:p w14:paraId="0B808C56" w14:textId="786EB067" w:rsidR="00AE1972" w:rsidRPr="00781112" w:rsidRDefault="00E84BDF" w:rsidP="00AE1972">
      <w:pPr>
        <w:rPr>
          <w:rFonts w:cs="Arial"/>
          <w:b/>
          <w:bCs/>
        </w:rPr>
      </w:pPr>
      <w:r w:rsidRPr="00E84BDF">
        <w:rPr>
          <w:rFonts w:cs="Arial"/>
          <w:b/>
          <w:bCs/>
        </w:rPr>
        <w:t xml:space="preserve">Is the State’s evaluation plan new or revised since the previous submission? </w:t>
      </w:r>
      <w:r w:rsidR="00AE1972" w:rsidRPr="00781112">
        <w:rPr>
          <w:b/>
          <w:bCs/>
        </w:rPr>
        <w:t>(yes/no)</w:t>
      </w:r>
    </w:p>
    <w:p w14:paraId="5D9470C5" w14:textId="1F552EB5" w:rsidR="00AE1972" w:rsidRDefault="00AE1972" w:rsidP="00AE1972">
      <w:pPr>
        <w:rPr>
          <w:color w:val="000000" w:themeColor="text1"/>
        </w:rPr>
      </w:pPr>
      <w:r w:rsidRPr="00781112">
        <w:rPr>
          <w:color w:val="000000" w:themeColor="text1"/>
        </w:rPr>
        <w:t>NO</w:t>
      </w:r>
    </w:p>
    <w:p w14:paraId="19DFF8CC" w14:textId="77777777" w:rsidR="00AE1972" w:rsidRPr="00781112" w:rsidRDefault="00AE1972" w:rsidP="00AE1972">
      <w:pPr>
        <w:rPr>
          <w:rFonts w:cs="Arial"/>
          <w:b/>
          <w:bCs/>
        </w:rPr>
      </w:pPr>
    </w:p>
    <w:p w14:paraId="405861A2" w14:textId="55A85451" w:rsidR="00AE1972" w:rsidRPr="00781112" w:rsidRDefault="00AB11F1" w:rsidP="00AE1972">
      <w:pPr>
        <w:rPr>
          <w:rFonts w:cs="Arial"/>
          <w:b/>
          <w:bCs/>
        </w:rPr>
      </w:pPr>
      <w:r w:rsidRPr="00AB11F1">
        <w:rPr>
          <w:rFonts w:cs="Arial"/>
          <w:b/>
          <w:bCs/>
        </w:rPr>
        <w:t>Provide a summary of each infrastructure improvement strategy implemented in the reporting period:</w:t>
      </w:r>
    </w:p>
    <w:p w14:paraId="19A64E2F" w14:textId="09FED9B3" w:rsidR="00AE1972" w:rsidRPr="00781112" w:rsidRDefault="00AE1972" w:rsidP="00AE1972">
      <w:pPr>
        <w:rPr>
          <w:b/>
          <w:bCs/>
        </w:rPr>
      </w:pPr>
      <w:r w:rsidRPr="00781112">
        <w:rPr>
          <w:color w:val="000000" w:themeColor="text1"/>
        </w:rPr>
        <w:t xml:space="preserve">Colorado’s infrastructure improvement strategies were in two overarching approaches to support SSIP implementation: (1) professional development and coaching and (2) data collection and analysis used to form instruction. Below describes how each strategy was implemented during the current reporting period. </w:t>
      </w:r>
      <w:r w:rsidRPr="00781112">
        <w:rPr>
          <w:color w:val="000000" w:themeColor="text1"/>
        </w:rPr>
        <w:br/>
      </w:r>
      <w:r w:rsidRPr="00781112">
        <w:rPr>
          <w:color w:val="000000" w:themeColor="text1"/>
        </w:rPr>
        <w:br/>
        <w:t xml:space="preserve">Professional development began with four days of initial training prior to the beginning of the 2022-23 school year for teachers (general and special educators, and interventionist).  In addition to this initial training, there were monthly professional development sessions held for special education teachers and reading interventionists based on teacher needs as observed during coaching sessions. Coaching was another infrastructure strategy critical to the project.  Project coaches, funded through CDE IDEA funds at no cost to the participating schools, provided individualized coaching to teachers based on student level data. The coaching model also allowed for individual and small group professional development.  Overall, coaching activities were completed on a weekly basis at each of the project schools.  </w:t>
      </w:r>
      <w:r w:rsidRPr="00781112">
        <w:rPr>
          <w:color w:val="000000" w:themeColor="text1"/>
        </w:rPr>
        <w:br/>
      </w:r>
      <w:r w:rsidRPr="00781112">
        <w:rPr>
          <w:color w:val="000000" w:themeColor="text1"/>
        </w:rPr>
        <w:br/>
        <w:t xml:space="preserve">Data collection and data analysis were other key infrastructure strategies utilized during the current reporting period.  Project coaches supported data driven instruction at the group and individual student level by supporting school level data dives.  These data dives helped form instructional groupings, lesson planning, and scheduling.  Ongoing formative assessments and continuous progress monitoring were also used to collect student level data allowing for further targeting of student instruction. These informal assessments were used to collect individual student level data which formed individual instructional targets and helped guide instruction aligned to individual student IEP goals.    </w:t>
      </w:r>
    </w:p>
    <w:p w14:paraId="1C121BBF" w14:textId="77777777" w:rsidR="00AE1972" w:rsidRPr="00781112" w:rsidRDefault="00AE1972" w:rsidP="00AE1972">
      <w:pPr>
        <w:rPr>
          <w:rFonts w:cs="Arial"/>
          <w:b/>
          <w:bCs/>
        </w:rPr>
      </w:pPr>
    </w:p>
    <w:p w14:paraId="2116126D" w14:textId="03C97716" w:rsidR="00AB11F1" w:rsidRPr="00781112" w:rsidRDefault="00AB11F1" w:rsidP="00AE1972">
      <w:pPr>
        <w:rPr>
          <w:rFonts w:cs="Arial"/>
          <w:b/>
          <w:bCs/>
        </w:rPr>
      </w:pPr>
      <w:r w:rsidRPr="00AB11F1">
        <w:rPr>
          <w:rFonts w:cs="Arial"/>
          <w:b/>
          <w:bCs/>
        </w:rPr>
        <w:t xml:space="preserve">Describe the short-term or intermediate outcomes achieved for each infrastructure improvement strategy during the reporting period including the measures or rationale used by the State and stakeholders to assess and communicate achievement. Please relate short-term outcomes to one or more areas of a systems framework (e.g., governance, data, finance, accountability/monitoring, quality standards, professional development and/or technical assistance) and explain how these strategies support system change and are necessary for: (a) achievement of the </w:t>
      </w:r>
      <w:proofErr w:type="spellStart"/>
      <w:r w:rsidRPr="00AB11F1">
        <w:rPr>
          <w:rFonts w:cs="Arial"/>
          <w:b/>
          <w:bCs/>
        </w:rPr>
        <w:t>SiMR</w:t>
      </w:r>
      <w:proofErr w:type="spellEnd"/>
      <w:r w:rsidRPr="00AB11F1">
        <w:rPr>
          <w:rFonts w:cs="Arial"/>
          <w:b/>
          <w:bCs/>
        </w:rPr>
        <w:t>; (b) sustainability of systems improvement efforts; and/or (c) scale-up.</w:t>
      </w:r>
    </w:p>
    <w:p w14:paraId="29CD7E16" w14:textId="62EA3FF0" w:rsidR="00AE1972" w:rsidRPr="00781112" w:rsidRDefault="00AE1972" w:rsidP="00AE1972">
      <w:pPr>
        <w:rPr>
          <w:b/>
          <w:bCs/>
        </w:rPr>
      </w:pPr>
      <w:r w:rsidRPr="00781112">
        <w:rPr>
          <w:color w:val="000000" w:themeColor="text1"/>
        </w:rPr>
        <w:t xml:space="preserve">Professional development outcomes were measured by self-report from those teachers engaged in the project following the final day of professional development.  Teachers reported that they were more confident and competent in the use and understanding of evidence-based practices associated with structured literacy.  Teachers also reported that using data to inform and drive instruction resulted in students having and increased understanding of reading skill, higher student engagement in reading instruction, improved persistence in student effort to learn to read, and improved reading achievement as measured by Acadience for some students. </w:t>
      </w:r>
      <w:r w:rsidRPr="00781112">
        <w:rPr>
          <w:color w:val="000000" w:themeColor="text1"/>
        </w:rPr>
        <w:br/>
        <w:t>In addition, 100% of participants who responded to a post PD survey either agreed or strongly agreed that the PD was relevant, useful, and of high quality.  Results from pre- and post-testing administered to teachers participating in the initial training showed significantly improved understanding of structured literacy components and strategy application.  For example, 25% of the teachers stated that they were “not knowledgeable” about structured literacy lesson plans.  After the PD 33% indicated that they had a “little knowledge” and 67% indicated they were “knowledgeable.”</w:t>
      </w:r>
      <w:r w:rsidRPr="00781112">
        <w:rPr>
          <w:color w:val="000000" w:themeColor="text1"/>
        </w:rPr>
        <w:br/>
        <w:t xml:space="preserve">Improved student reading achievement, as measured by Acadience, is critical to meeting Colorado’s SiMR.  Ongoing professional development will support scale-up efforts as teachers become independent in implementing structured literacy strategies in their classrooms.  To support the sustainability and scale-up of improved reading achievement, CDE is considering following this cohort of students and working with fourth and fifth grade teachers.  This will also support instruction beyond grade three </w:t>
      </w:r>
      <w:proofErr w:type="gramStart"/>
      <w:r w:rsidRPr="00781112">
        <w:rPr>
          <w:color w:val="000000" w:themeColor="text1"/>
        </w:rPr>
        <w:t>as a result of</w:t>
      </w:r>
      <w:proofErr w:type="gramEnd"/>
      <w:r w:rsidRPr="00781112">
        <w:rPr>
          <w:color w:val="000000" w:themeColor="text1"/>
        </w:rPr>
        <w:t xml:space="preserve"> Colorado’s READ Act requirements which specifically address K-3 reading instruction throughout the state of Colorado.</w:t>
      </w:r>
    </w:p>
    <w:p w14:paraId="4B6ADDE5" w14:textId="77777777" w:rsidR="00AE1972" w:rsidRPr="00781112" w:rsidRDefault="00AE1972" w:rsidP="00AE1972">
      <w:pPr>
        <w:rPr>
          <w:rFonts w:cs="Arial"/>
          <w:b/>
          <w:bCs/>
        </w:rPr>
      </w:pPr>
    </w:p>
    <w:p w14:paraId="5DCF741B" w14:textId="77777777" w:rsidR="00AE1972" w:rsidRPr="00781112" w:rsidRDefault="00AE1972" w:rsidP="00AE1972">
      <w:pPr>
        <w:rPr>
          <w:rFonts w:cs="Arial"/>
          <w:b/>
          <w:bCs/>
        </w:rPr>
      </w:pPr>
      <w:r w:rsidRPr="00781112">
        <w:rPr>
          <w:rFonts w:cs="Arial"/>
          <w:b/>
          <w:bCs/>
        </w:rPr>
        <w:t xml:space="preserve">Did the State implement any </w:t>
      </w:r>
      <w:r w:rsidRPr="00781112">
        <w:rPr>
          <w:rFonts w:cs="Arial"/>
          <w:b/>
          <w:bCs/>
          <w:u w:val="single"/>
        </w:rPr>
        <w:t>new</w:t>
      </w:r>
      <w:r w:rsidRPr="00781112">
        <w:rPr>
          <w:rFonts w:cs="Arial"/>
          <w:b/>
          <w:bCs/>
        </w:rPr>
        <w:t xml:space="preserve"> (newly identified) infrastructure improvement strategies during the reporting period?</w:t>
      </w:r>
      <w:r w:rsidRPr="00781112">
        <w:rPr>
          <w:b/>
          <w:bCs/>
        </w:rPr>
        <w:t xml:space="preserve"> (yes/no)</w:t>
      </w:r>
    </w:p>
    <w:p w14:paraId="7AA60872" w14:textId="7A06C54C" w:rsidR="00AE1972" w:rsidRDefault="00AE1972" w:rsidP="00AE1972">
      <w:pPr>
        <w:rPr>
          <w:color w:val="000000" w:themeColor="text1"/>
        </w:rPr>
      </w:pPr>
      <w:r w:rsidRPr="00781112">
        <w:rPr>
          <w:color w:val="000000" w:themeColor="text1"/>
        </w:rPr>
        <w:t>NO</w:t>
      </w:r>
    </w:p>
    <w:p w14:paraId="7A07D856" w14:textId="77777777" w:rsidR="00AE1972" w:rsidRPr="00781112" w:rsidRDefault="00AE1972" w:rsidP="00AE1972">
      <w:pPr>
        <w:rPr>
          <w:rFonts w:cs="Arial"/>
          <w:b/>
          <w:bCs/>
        </w:rPr>
      </w:pPr>
      <w:r w:rsidRPr="00781112">
        <w:rPr>
          <w:rFonts w:cs="Arial"/>
          <w:b/>
          <w:bCs/>
        </w:rPr>
        <w:t xml:space="preserve">Provide a summary of the next steps for each infrastructure improvement strategy and the anticipated outcomes to be attained during the next reporting period. </w:t>
      </w:r>
    </w:p>
    <w:p w14:paraId="1A03571A" w14:textId="0DF7AD96" w:rsidR="00AE1972" w:rsidRPr="00781112" w:rsidRDefault="00AE1972" w:rsidP="00AE1972">
      <w:pPr>
        <w:rPr>
          <w:b/>
          <w:bCs/>
        </w:rPr>
      </w:pPr>
      <w:r w:rsidRPr="00781112">
        <w:rPr>
          <w:color w:val="000000" w:themeColor="text1"/>
        </w:rPr>
        <w:t xml:space="preserve">Colorado is currently considering the need to revise the SiMR to address upper elementary. Specially, we would like to provide PD and coaching for the intermediate grade (4-5) level general education teachers and special education teachers.  Stakeholders (e.g., leaders, teachers and </w:t>
      </w:r>
      <w:proofErr w:type="gramStart"/>
      <w:r w:rsidRPr="00781112">
        <w:rPr>
          <w:color w:val="000000" w:themeColor="text1"/>
        </w:rPr>
        <w:t>interventionist</w:t>
      </w:r>
      <w:proofErr w:type="gramEnd"/>
      <w:r w:rsidRPr="00781112">
        <w:rPr>
          <w:color w:val="000000" w:themeColor="text1"/>
        </w:rPr>
        <w:t xml:space="preserve">) have previously expressed concern about students in grades 4 and 5 who have not achieved grade level proficiency.  Stakeholders have also noted that more students are identified as eligible for special education services in these grades than in earlier grades.  PD for upper elementary grade teachers would enhance their understanding and delivery of a comprehensive literacy program, supporting key foundational reading skills that impede comprehension in upper grades. Coaching for intermediate grade teachers and special education teachers would support the delivery of a comprehensive literacy program that meets the needs of all students including students with disabilities. On going support in data collection and analysis would be an essential strategy to support and target the reading needs of intermediate level students and students with disabilities. In one SSIP site we have already started providing support (PD and coaching) to teachers in grades 4 and 5 based on the teachers requesting support to decrease the academic gap in reading. Through the implementation of these strategies, CDE anticipates that these strategies will help ensure that students leaving elementary grades are better prepared for secondary reading requirements.  </w:t>
      </w:r>
      <w:r w:rsidRPr="00781112">
        <w:rPr>
          <w:color w:val="000000" w:themeColor="text1"/>
        </w:rPr>
        <w:br/>
      </w:r>
      <w:r w:rsidRPr="00781112">
        <w:rPr>
          <w:color w:val="000000" w:themeColor="text1"/>
        </w:rPr>
        <w:br/>
        <w:t>CDE anticipates that it will update the SSIP logic model and evaluation plan through consultation and feedback with key stakeholder groups to better reflect the current needs of students in Colorado.  CDE will also work with stakeholders to evaluate legislative mandates in the State for K-3 reading instruction and requirements which overlap with Colorado’s current SSIP.</w:t>
      </w:r>
    </w:p>
    <w:p w14:paraId="0D313DAA" w14:textId="77777777" w:rsidR="00AE1972" w:rsidRPr="00781112" w:rsidRDefault="00AE1972" w:rsidP="00AE1972">
      <w:pPr>
        <w:rPr>
          <w:rFonts w:cs="Arial"/>
          <w:b/>
          <w:bCs/>
        </w:rPr>
      </w:pPr>
    </w:p>
    <w:p w14:paraId="35176598" w14:textId="77777777" w:rsidR="00AE1972" w:rsidRPr="00781112" w:rsidRDefault="00AE1972" w:rsidP="00AE1972">
      <w:pPr>
        <w:rPr>
          <w:rFonts w:cs="Arial"/>
          <w:b/>
          <w:bCs/>
        </w:rPr>
      </w:pPr>
      <w:r w:rsidRPr="00781112">
        <w:rPr>
          <w:rFonts w:cs="Arial"/>
          <w:b/>
          <w:bCs/>
        </w:rPr>
        <w:t>List the selected evidence-based practices implement in the reporting period:</w:t>
      </w:r>
    </w:p>
    <w:p w14:paraId="5DA152F5" w14:textId="71CAFB34" w:rsidR="00AE1972" w:rsidRPr="00781112" w:rsidRDefault="00AE1972" w:rsidP="00AE1972">
      <w:pPr>
        <w:rPr>
          <w:b/>
          <w:bCs/>
        </w:rPr>
      </w:pPr>
      <w:r w:rsidRPr="00781112">
        <w:rPr>
          <w:color w:val="000000" w:themeColor="text1"/>
        </w:rPr>
        <w:t>(1) explicit, systematic instruction with cumulative practice, (2) data-based decision making, (3) cognitive strategy instruction and routines, (4) letter and sound principles, (5) phonemic decoding and syllable structure with embedded fluency, spelling/orthography, and syntax and grammar instruction, (6) coaching and professional development</w:t>
      </w:r>
    </w:p>
    <w:p w14:paraId="10F85993" w14:textId="77777777" w:rsidR="00AE1972" w:rsidRPr="00781112" w:rsidRDefault="00AE1972" w:rsidP="00AE1972">
      <w:pPr>
        <w:rPr>
          <w:rFonts w:cs="Arial"/>
          <w:b/>
          <w:bCs/>
        </w:rPr>
      </w:pPr>
    </w:p>
    <w:p w14:paraId="22910457" w14:textId="77777777" w:rsidR="00AE1972" w:rsidRPr="00781112" w:rsidRDefault="00AE1972" w:rsidP="00AE1972">
      <w:pPr>
        <w:rPr>
          <w:rFonts w:cs="Arial"/>
          <w:b/>
          <w:bCs/>
        </w:rPr>
      </w:pPr>
      <w:r w:rsidRPr="00781112">
        <w:rPr>
          <w:rFonts w:cs="Arial"/>
          <w:b/>
          <w:bCs/>
        </w:rPr>
        <w:t xml:space="preserve">Provide a summary of each evidence-based </w:t>
      </w:r>
      <w:proofErr w:type="gramStart"/>
      <w:r w:rsidRPr="00781112">
        <w:rPr>
          <w:rFonts w:cs="Arial"/>
          <w:b/>
          <w:bCs/>
        </w:rPr>
        <w:t>practices</w:t>
      </w:r>
      <w:proofErr w:type="gramEnd"/>
      <w:r w:rsidRPr="00781112">
        <w:rPr>
          <w:rFonts w:cs="Arial"/>
          <w:b/>
          <w:bCs/>
        </w:rPr>
        <w:t>.</w:t>
      </w:r>
    </w:p>
    <w:p w14:paraId="30605054" w14:textId="1313DE13" w:rsidR="00AE1972" w:rsidRPr="00781112" w:rsidRDefault="00AE1972" w:rsidP="00AE1972">
      <w:pPr>
        <w:rPr>
          <w:b/>
          <w:bCs/>
        </w:rPr>
      </w:pPr>
      <w:r w:rsidRPr="00781112">
        <w:rPr>
          <w:color w:val="000000" w:themeColor="text1"/>
        </w:rPr>
        <w:t>1. The Project continues to emphasize direct and explicit structured literacy instruction to enhance students’ understanding of the structure of the English language and build essential foundational reading/spelling skills aligned to the Science of Reading. Daily routines are established for whole group and small group instruction that includes letter and sound principles (see 4 above), phonemic decoding and syllable structure with a focus on morphology that leads to an increase reading fluency (see 5 above). The Project trains all participating teacher in the use of the Project’s specifically designed Scope and Sequence of instruction to assure developmentally appropriate instruction, alignment to State standards and grade-appropriate instruction, and consistency with current reading research.</w:t>
      </w:r>
      <w:r w:rsidRPr="00781112">
        <w:rPr>
          <w:color w:val="000000" w:themeColor="text1"/>
        </w:rPr>
        <w:br/>
        <w:t>2. Project effectiveness and student growth are predicated on the use of data to inform instructional practices and program adjustments. The Project consistently administers Acadience Benchmark Assessment and Progress Monitoring. Data are collected and data meetings are routinely scheduled to discuss student outcomes and determine if instructional adjustments are necessary.</w:t>
      </w:r>
      <w:r w:rsidRPr="00781112">
        <w:rPr>
          <w:color w:val="000000" w:themeColor="text1"/>
        </w:rPr>
        <w:br/>
        <w:t>3. The daily use of Structured Literacy routines, common instructional language, and consistent scope and sequence of instruction is emphasized across all-tier of instruction to accelerate student participation and growth and minimize student confusion as they participate in an increasingly intensified continuum of service.</w:t>
      </w:r>
      <w:r w:rsidRPr="00781112">
        <w:rPr>
          <w:color w:val="000000" w:themeColor="text1"/>
        </w:rPr>
        <w:br/>
        <w:t>4. The Project, since its inception, has been designed to support instructional staff with effective professional learning opportunities that are both consistent in content and expectations, but are also customized to meet each individual teacher’s professional learning needs. Teachers are coached by experienced literacy coaches to enhance their use and understanding of a Structured Literacy approach and to promote fidelity to the Project’s design and instructional goals.</w:t>
      </w:r>
    </w:p>
    <w:p w14:paraId="79F66E5E" w14:textId="77777777" w:rsidR="00AE1972" w:rsidRPr="00781112" w:rsidRDefault="00AE1972" w:rsidP="00AE1972">
      <w:pPr>
        <w:rPr>
          <w:rFonts w:cs="Arial"/>
          <w:b/>
          <w:bCs/>
        </w:rPr>
      </w:pPr>
      <w:r w:rsidRPr="00781112">
        <w:rPr>
          <w:rFonts w:cs="Arial"/>
          <w:b/>
          <w:bCs/>
        </w:rPr>
        <w:t xml:space="preserve"> </w:t>
      </w:r>
    </w:p>
    <w:p w14:paraId="7DF513C4" w14:textId="5FBB7389" w:rsidR="00AE1972" w:rsidRPr="00781112" w:rsidRDefault="00AE1972" w:rsidP="00AE1972">
      <w:pPr>
        <w:rPr>
          <w:rFonts w:cs="Arial"/>
          <w:b/>
          <w:bCs/>
        </w:rPr>
      </w:pPr>
      <w:bookmarkStart w:id="99" w:name="_Hlk88409387"/>
      <w:r w:rsidRPr="00781112">
        <w:rPr>
          <w:rFonts w:cs="Arial"/>
          <w:b/>
          <w:bCs/>
        </w:rPr>
        <w:t xml:space="preserve">Provide a summary of how each evidence-based practice and activities or strategies that support its use, is intended to impact the </w:t>
      </w:r>
      <w:proofErr w:type="spellStart"/>
      <w:r w:rsidRPr="00781112">
        <w:rPr>
          <w:rFonts w:cs="Arial"/>
          <w:b/>
          <w:bCs/>
        </w:rPr>
        <w:t>SiMR</w:t>
      </w:r>
      <w:proofErr w:type="spellEnd"/>
      <w:r w:rsidRPr="00781112">
        <w:rPr>
          <w:rFonts w:cs="Arial"/>
          <w:b/>
          <w:bCs/>
        </w:rPr>
        <w:t xml:space="preserve"> by changing program/district policies, procedures, and/or practices, teacher/provider practices (e.g. behaviors), parent/caregiver outcomes, and/or child /outcomes. </w:t>
      </w:r>
    </w:p>
    <w:bookmarkEnd w:id="99"/>
    <w:p w14:paraId="3E043DB7" w14:textId="7C3B2CD4" w:rsidR="00AE1972" w:rsidRPr="00781112" w:rsidRDefault="00AE1972" w:rsidP="00AE1972">
      <w:pPr>
        <w:rPr>
          <w:b/>
          <w:bCs/>
        </w:rPr>
      </w:pPr>
      <w:r w:rsidRPr="00781112">
        <w:rPr>
          <w:color w:val="000000" w:themeColor="text1"/>
        </w:rPr>
        <w:t xml:space="preserve">The evidence-based practices noted below continue to be our best leverage points for changing program / district policies, procedures, and teacher-specific practices. There currently continues to be implementation challenges due to personnel shortages, lack of highly qualified substitutes, and high frequency student absenteeism. </w:t>
      </w:r>
      <w:r w:rsidRPr="00781112">
        <w:rPr>
          <w:color w:val="000000" w:themeColor="text1"/>
        </w:rPr>
        <w:br/>
      </w:r>
      <w:r w:rsidRPr="00781112">
        <w:rPr>
          <w:color w:val="000000" w:themeColor="text1"/>
        </w:rPr>
        <w:br/>
        <w:t>The use of listed evidence-based practices is supported by current reading research and have been carefully implemented to affect change in teacher’s instructional behavior and increase student outcomes. In some instances, Project success as measured by improved student outcomes, has resulted in significant changes to district-wide literacy instruction and the adoption of instructional practices and resources that are aligned with the Project and the ‘science of reading.’ This was shared at the annual SSIP meeting held in June 2023 with the participating teachers and leaders.</w:t>
      </w:r>
      <w:r w:rsidRPr="00781112">
        <w:rPr>
          <w:color w:val="000000" w:themeColor="text1"/>
        </w:rPr>
        <w:br/>
      </w:r>
      <w:r w:rsidRPr="00781112">
        <w:rPr>
          <w:color w:val="000000" w:themeColor="text1"/>
        </w:rPr>
        <w:br/>
        <w:t>The emphasis on direct and explicit instruction has resulted in observable changes in the way teachers design and deliver their daily instruction. It has allowed teachers to effectively provide instruction in whole group and small group setting in ways that students can demonstrate understanding and daily formative assessment can inform future instruction and intervention based upon coaching logs and lesson plan reviews.</w:t>
      </w:r>
      <w:r w:rsidRPr="00781112">
        <w:rPr>
          <w:color w:val="000000" w:themeColor="text1"/>
        </w:rPr>
        <w:br/>
      </w:r>
      <w:r w:rsidRPr="00781112">
        <w:rPr>
          <w:color w:val="000000" w:themeColor="text1"/>
        </w:rPr>
        <w:br/>
        <w:t xml:space="preserve">The alignment of direct and explicit instruction and the consistent use of common instructional language across all tiers of instruction, when possible, has increased student participation in activities that they readily understand and has provided the necessary frequent and distributed practice that is essential to young readers who require additional instructional supports. </w:t>
      </w:r>
      <w:r w:rsidRPr="00781112">
        <w:rPr>
          <w:color w:val="000000" w:themeColor="text1"/>
        </w:rPr>
        <w:br/>
      </w:r>
      <w:r w:rsidRPr="00781112">
        <w:rPr>
          <w:color w:val="000000" w:themeColor="text1"/>
        </w:rPr>
        <w:br/>
        <w:t xml:space="preserve">Instructional staff have been provided with a scope and sequence of instruction that allows K-3 students to master the simple and consistent elements of the English language before they are introduced to the more variant and complex concepts. The Scope and Sequence is used as a framework upon which other resources are aligned, assuring adequate content coverage, practice, and alignment. As reported by the participating teachers, the scope and sequence has been the most requested and helpful tool to support reading instruction. </w:t>
      </w:r>
      <w:r w:rsidRPr="00781112">
        <w:rPr>
          <w:color w:val="000000" w:themeColor="text1"/>
        </w:rPr>
        <w:br/>
      </w:r>
      <w:r w:rsidRPr="00781112">
        <w:rPr>
          <w:color w:val="000000" w:themeColor="text1"/>
        </w:rPr>
        <w:br/>
        <w:t xml:space="preserve">Teachers participating in the Project are supported in their own learning and in their implementation of Structured Literacy in their classroom through personalized instructional coaching that is provided by the Project’s coaches. Coaches model and demonstrate effective instructional routines, strategies, and practices in teachers’ classroom. They can observe whole group and small group implementation, help guide teachers’ instructional choices, interpret data, and suggest instructional adjustments, and monitor fidelity. </w:t>
      </w:r>
      <w:r w:rsidRPr="00781112">
        <w:rPr>
          <w:color w:val="000000" w:themeColor="text1"/>
        </w:rPr>
        <w:br/>
      </w:r>
      <w:r w:rsidRPr="00781112">
        <w:rPr>
          <w:color w:val="000000" w:themeColor="text1"/>
        </w:rPr>
        <w:lastRenderedPageBreak/>
        <w:br/>
        <w:t>Even the most effective instruction requires adjustment based on student need. The continuous use of progress monitoring and formative assessment are essential components of the Structured Literacy Project and when paired with professional learning in interpreting assessment results and using data to inform instruction, students benefit. This evidence-based practice has resulted in Project schools formalizing processes for data collection and review.</w:t>
      </w:r>
    </w:p>
    <w:p w14:paraId="43C06488" w14:textId="77777777" w:rsidR="00AE1972" w:rsidRPr="00781112" w:rsidRDefault="00AE1972" w:rsidP="00AE1972">
      <w:pPr>
        <w:rPr>
          <w:rFonts w:cs="Arial"/>
          <w:b/>
          <w:bCs/>
        </w:rPr>
      </w:pPr>
      <w:r w:rsidRPr="00781112">
        <w:rPr>
          <w:rFonts w:cs="Arial"/>
          <w:b/>
          <w:bCs/>
        </w:rPr>
        <w:t xml:space="preserve"> </w:t>
      </w:r>
    </w:p>
    <w:p w14:paraId="46DD8115" w14:textId="77777777" w:rsidR="00AE1972" w:rsidRPr="00781112" w:rsidRDefault="00AE1972" w:rsidP="00AE1972">
      <w:pPr>
        <w:rPr>
          <w:rFonts w:cs="Arial"/>
          <w:b/>
          <w:bCs/>
        </w:rPr>
      </w:pPr>
      <w:r w:rsidRPr="00781112">
        <w:rPr>
          <w:rFonts w:cs="Arial"/>
          <w:b/>
          <w:bCs/>
        </w:rPr>
        <w:t xml:space="preserve">Describe the data collected to monitor fidelity of implementation and to assess practice change. </w:t>
      </w:r>
    </w:p>
    <w:p w14:paraId="3AADEE00" w14:textId="0533CE7C" w:rsidR="00AE1972" w:rsidRPr="00781112" w:rsidRDefault="00AE1972" w:rsidP="00AE1972">
      <w:pPr>
        <w:rPr>
          <w:b/>
          <w:bCs/>
        </w:rPr>
      </w:pPr>
      <w:r w:rsidRPr="00781112">
        <w:rPr>
          <w:color w:val="000000" w:themeColor="text1"/>
        </w:rPr>
        <w:t xml:space="preserve">Coaches informally monitor fidelity of implementation and meet regularly to identify teacher needs and plan for support through further coaching or professional development.  </w:t>
      </w:r>
    </w:p>
    <w:p w14:paraId="3D905B01" w14:textId="77777777" w:rsidR="00AE1972" w:rsidRPr="00781112" w:rsidRDefault="00AE1972" w:rsidP="00AE1972">
      <w:pPr>
        <w:rPr>
          <w:rFonts w:cs="Arial"/>
          <w:b/>
          <w:bCs/>
        </w:rPr>
      </w:pPr>
    </w:p>
    <w:p w14:paraId="7A09B895" w14:textId="1AAA50A4" w:rsidR="00AE1972" w:rsidRPr="00781112" w:rsidRDefault="00C87801" w:rsidP="00AE1972">
      <w:pPr>
        <w:rPr>
          <w:rFonts w:cs="Arial"/>
          <w:b/>
          <w:bCs/>
        </w:rPr>
      </w:pPr>
      <w:r w:rsidRPr="00C87801">
        <w:rPr>
          <w:rFonts w:cs="Arial"/>
          <w:b/>
          <w:bCs/>
        </w:rPr>
        <w:t>Describe any additional data (e.g. progress monitoring) that was collected that supports the decision to continue the ongoing use of each evidence-based practice.</w:t>
      </w:r>
    </w:p>
    <w:p w14:paraId="61FB2284" w14:textId="795DBC6E" w:rsidR="00AE1972" w:rsidRDefault="00AE1972" w:rsidP="00AE1972">
      <w:pPr>
        <w:rPr>
          <w:color w:val="000000" w:themeColor="text1"/>
        </w:rPr>
      </w:pPr>
      <w:r w:rsidRPr="00781112">
        <w:rPr>
          <w:color w:val="000000" w:themeColor="text1"/>
        </w:rPr>
        <w:t xml:space="preserve">Continuous progress monitoring and informal criterion referenced assessment data was used to monitor and target instructional groupings and goals.  Although the project experienced slippage on its targets (Acadience scores) informal data collected indicated student progress on discrete targets.  These data indicated that even though student progress was slower than desired, students made progress.  In addition, pre-pandemic data for the project evidenced strong student progress, even for the students in the well below benchmark range as measured by Acadience.  For these reasons, CDE believes it is appropriate to continue using the current evidence-based practices.  </w:t>
      </w:r>
    </w:p>
    <w:p w14:paraId="1C12C4CB" w14:textId="17146AE7" w:rsidR="00C87801" w:rsidRDefault="00C87801" w:rsidP="00AE1972">
      <w:pPr>
        <w:rPr>
          <w:color w:val="000000" w:themeColor="text1"/>
        </w:rPr>
      </w:pPr>
    </w:p>
    <w:p w14:paraId="00E7E41D" w14:textId="77777777" w:rsidR="00C87801" w:rsidRPr="00C87801" w:rsidRDefault="00C87801" w:rsidP="00C87801">
      <w:pPr>
        <w:rPr>
          <w:b/>
          <w:bCs/>
          <w:color w:val="000000" w:themeColor="text1"/>
        </w:rPr>
      </w:pPr>
      <w:r w:rsidRPr="00730C62">
        <w:rPr>
          <w:b/>
          <w:bCs/>
          <w:color w:val="000000" w:themeColor="text1"/>
        </w:rPr>
        <w:t xml:space="preserve">Provide a summary of the next steps for each evidence-based </w:t>
      </w:r>
      <w:proofErr w:type="gramStart"/>
      <w:r w:rsidRPr="00730C62">
        <w:rPr>
          <w:b/>
          <w:bCs/>
          <w:color w:val="000000" w:themeColor="text1"/>
        </w:rPr>
        <w:t>practices</w:t>
      </w:r>
      <w:proofErr w:type="gramEnd"/>
      <w:r w:rsidRPr="00730C62">
        <w:rPr>
          <w:b/>
          <w:bCs/>
          <w:color w:val="000000" w:themeColor="text1"/>
        </w:rPr>
        <w:t xml:space="preserve"> and the anticipated outcomes to be attained during the next reporting period. </w:t>
      </w:r>
    </w:p>
    <w:p w14:paraId="3EDD1FBC" w14:textId="4546113E" w:rsidR="00C87801" w:rsidRDefault="00C87801" w:rsidP="00C87801">
      <w:pPr>
        <w:rPr>
          <w:color w:val="000000" w:themeColor="text1"/>
        </w:rPr>
      </w:pPr>
      <w:r w:rsidRPr="00781112">
        <w:rPr>
          <w:color w:val="000000" w:themeColor="text1"/>
        </w:rPr>
        <w:t xml:space="preserve">The use of direct, explicit, and evidence-based instruction that is supported by effective data collection and interpretation will be essential to our goal of aligning all instruction across all tiers of instruction. We will continue to align instructional activities, strategies, and resources to our Project instructional sequence and support implementation with fidelity through the continued use of embedded coaching. We are also seeking to formalize the fidelity to identify </w:t>
      </w:r>
      <w:proofErr w:type="gramStart"/>
      <w:r w:rsidRPr="00781112">
        <w:rPr>
          <w:color w:val="000000" w:themeColor="text1"/>
        </w:rPr>
        <w:t>currently</w:t>
      </w:r>
      <w:proofErr w:type="gramEnd"/>
      <w:r w:rsidRPr="00781112">
        <w:rPr>
          <w:color w:val="000000" w:themeColor="text1"/>
        </w:rPr>
        <w:t xml:space="preserve"> trends and use this data to revise PD opportunities to participating teachers. A continued focus on small group instruction, and those professionals who provide this instruction, will support increased reading growth among the most challenged young readers. We anticipate that consistent use of our evidenced-based practices coupled with participant schools’ efforts to improve attendance will enhance effective scheduling and grouping and return the Structured Literacy Project and student outcomes to the positive trajectory established before the pandemic. </w:t>
      </w:r>
    </w:p>
    <w:p w14:paraId="0555DA84" w14:textId="3045F812" w:rsidR="00C87801" w:rsidRDefault="00C87801" w:rsidP="00AE1972">
      <w:pPr>
        <w:rPr>
          <w:color w:val="000000" w:themeColor="text1"/>
        </w:rPr>
      </w:pPr>
    </w:p>
    <w:p w14:paraId="6D882D9B" w14:textId="77777777" w:rsidR="00987BD2" w:rsidRDefault="00987BD2" w:rsidP="00987BD2">
      <w:pPr>
        <w:rPr>
          <w:b/>
          <w:bCs/>
        </w:rPr>
      </w:pPr>
      <w:r w:rsidRPr="00730C62">
        <w:rPr>
          <w:b/>
          <w:bCs/>
        </w:rPr>
        <w:t>Does the State intend to continue implementing the SSIP without modifications? (yes/no)</w:t>
      </w:r>
    </w:p>
    <w:p w14:paraId="1C4A7F35" w14:textId="77777777" w:rsidR="00987BD2" w:rsidRDefault="00987BD2" w:rsidP="00987BD2">
      <w:r w:rsidRPr="00781112">
        <w:t>NO</w:t>
      </w:r>
    </w:p>
    <w:p w14:paraId="7C7CFD5B" w14:textId="77777777" w:rsidR="00987BD2" w:rsidRPr="00730C62" w:rsidRDefault="00987BD2" w:rsidP="00987BD2">
      <w:pPr>
        <w:rPr>
          <w:b/>
          <w:bCs/>
        </w:rPr>
      </w:pPr>
      <w:r w:rsidRPr="00730C62">
        <w:rPr>
          <w:b/>
          <w:bCs/>
          <w:szCs w:val="16"/>
        </w:rPr>
        <w:t xml:space="preserve">If </w:t>
      </w:r>
      <w:proofErr w:type="gramStart"/>
      <w:r w:rsidRPr="00730C62">
        <w:rPr>
          <w:b/>
          <w:bCs/>
          <w:szCs w:val="16"/>
        </w:rPr>
        <w:t>no</w:t>
      </w:r>
      <w:proofErr w:type="gramEnd"/>
      <w:r w:rsidRPr="00730C62">
        <w:rPr>
          <w:b/>
          <w:bCs/>
          <w:szCs w:val="16"/>
        </w:rPr>
        <w:t>, describe any changes to the activities, strategies or timelines described in the previous submission and include a rationale or justification for the changes.</w:t>
      </w:r>
    </w:p>
    <w:p w14:paraId="62108E5B" w14:textId="77777777" w:rsidR="00987BD2" w:rsidRDefault="00987BD2" w:rsidP="00987BD2">
      <w:r w:rsidRPr="00781112">
        <w:t xml:space="preserve">The current SSIP was initially designed during 2014-15 school year.  Since that time, Colorado has significantly revised it Third Grade Guarantee legislation known as the Colorado READ Act.  The current version of the READ Act now provides greater support and requirements for the implementation of evidence-based reading strategies at the primary grade levels.  The READ Act also requires districts to use instructional resources specifically vetted to align to the science of reading. However, there continues to be a need for support at the intermediate grade levels in addition to a need to provide support to a greater number of students identified with disabilities at these grade levels.  CDE will convene stakeholders to discuss the possibility of focusing the efforts of the Project toward students in fourth and fifth grades.  </w:t>
      </w:r>
    </w:p>
    <w:p w14:paraId="074AA68E" w14:textId="77777777" w:rsidR="00987BD2" w:rsidRPr="00781112" w:rsidRDefault="00987BD2" w:rsidP="00AE1972">
      <w:pPr>
        <w:rPr>
          <w:color w:val="000000" w:themeColor="text1"/>
        </w:rPr>
      </w:pPr>
    </w:p>
    <w:p w14:paraId="4216CFE7" w14:textId="77777777" w:rsidR="00C2635F" w:rsidRPr="00781112" w:rsidRDefault="00C2635F" w:rsidP="00AE1972">
      <w:pPr>
        <w:rPr>
          <w:b/>
          <w:bCs/>
        </w:rPr>
      </w:pPr>
    </w:p>
    <w:p w14:paraId="7350AAE8" w14:textId="77777777" w:rsidR="00C2635F" w:rsidRPr="00781112" w:rsidRDefault="00AE1972" w:rsidP="00AE1972">
      <w:pPr>
        <w:rPr>
          <w:rFonts w:cs="Arial"/>
          <w:b/>
          <w:bCs/>
        </w:rPr>
      </w:pPr>
      <w:r w:rsidRPr="00781112">
        <w:rPr>
          <w:rFonts w:cs="Arial"/>
          <w:b/>
          <w:bCs/>
        </w:rPr>
        <w:t>Section C: Stakeholder Engagement</w:t>
      </w:r>
    </w:p>
    <w:p w14:paraId="7EBFA7EE" w14:textId="77777777" w:rsidR="00C2635F" w:rsidRPr="00781112" w:rsidRDefault="00C2635F" w:rsidP="00C2635F">
      <w:pPr>
        <w:pStyle w:val="Bold"/>
        <w:rPr>
          <w:color w:val="000000" w:themeColor="text1"/>
        </w:rPr>
      </w:pPr>
      <w:r w:rsidRPr="00781112">
        <w:rPr>
          <w:color w:val="000000" w:themeColor="text1"/>
        </w:rPr>
        <w:t>Description of Stakeholder Input</w:t>
      </w:r>
    </w:p>
    <w:p w14:paraId="613D691C" w14:textId="77777777" w:rsidR="00C2635F" w:rsidRPr="00781112" w:rsidRDefault="00C2635F" w:rsidP="00C2635F">
      <w:pPr>
        <w:pStyle w:val="Bold"/>
        <w:rPr>
          <w:b w:val="0"/>
          <w:color w:val="000000" w:themeColor="text1"/>
        </w:rPr>
      </w:pPr>
      <w:r w:rsidRPr="00781112">
        <w:rPr>
          <w:rFonts w:cs="Arial"/>
          <w:b w:val="0"/>
          <w:color w:val="000000" w:themeColor="text1"/>
          <w:szCs w:val="16"/>
        </w:rPr>
        <w:t>CDE annually meets with stakeholders to evaluate and consider revisions to the SSIP.  Primary stakeholders included classroom general education teachers, special education teachers, campus principals, and special education directors who had firsthand knowledge of the SSIP.  Of primary concern was the need to consider potential changes to the SSIP.  CDE works closely with NCSI to support stakeholder input regarding the SSIP.</w:t>
      </w:r>
    </w:p>
    <w:p w14:paraId="0227ECF0" w14:textId="4A877DBA" w:rsidR="00AE1972" w:rsidRPr="00781112" w:rsidRDefault="00AE1972" w:rsidP="00AE1972">
      <w:pPr>
        <w:rPr>
          <w:rFonts w:cs="Arial"/>
          <w:b/>
          <w:bCs/>
        </w:rPr>
      </w:pPr>
      <w:r w:rsidRPr="00781112">
        <w:rPr>
          <w:rFonts w:cs="Arial"/>
          <w:b/>
          <w:bCs/>
        </w:rPr>
        <w:t xml:space="preserve"> Describe the specific strategies implemented to engage stakeholders in key improvement efforts. </w:t>
      </w:r>
    </w:p>
    <w:p w14:paraId="50B976D9" w14:textId="4AEF384A" w:rsidR="00AE1972" w:rsidRPr="00781112" w:rsidRDefault="00AE1972" w:rsidP="00AE1972">
      <w:pPr>
        <w:rPr>
          <w:b/>
          <w:bCs/>
        </w:rPr>
      </w:pPr>
      <w:r w:rsidRPr="00781112">
        <w:rPr>
          <w:color w:val="000000" w:themeColor="text1"/>
        </w:rPr>
        <w:t xml:space="preserve">CDE has continued to work with NCSI to provide facilitation for a stakeholder meeting. As last year, the individuals selected for the focus group were purposefully selected to ensure multiple perspectives from sites that had been part of previous implementation or had direct involvement in the project. Included in the focus groups were classroom general education teachers, special education teachers, campus principals, and special education directors. CDE worked with NCSI to develop a set of uniform questions that would be presented to both the entire group and to smaller, </w:t>
      </w:r>
      <w:proofErr w:type="gramStart"/>
      <w:r w:rsidRPr="00781112">
        <w:rPr>
          <w:color w:val="000000" w:themeColor="text1"/>
        </w:rPr>
        <w:t>subset</w:t>
      </w:r>
      <w:proofErr w:type="gramEnd"/>
      <w:r w:rsidRPr="00781112">
        <w:rPr>
          <w:color w:val="000000" w:themeColor="text1"/>
        </w:rPr>
        <w:t xml:space="preserve"> of the group. Information collected from the focus group is currently being utilized as CDE considers potential modification to the project.</w:t>
      </w:r>
    </w:p>
    <w:p w14:paraId="0E7119BD" w14:textId="77777777" w:rsidR="00AE1972" w:rsidRPr="00781112" w:rsidRDefault="00AE1972" w:rsidP="00AE1972">
      <w:pPr>
        <w:rPr>
          <w:rFonts w:cs="Arial"/>
          <w:b/>
          <w:bCs/>
        </w:rPr>
      </w:pPr>
      <w:r w:rsidRPr="00781112">
        <w:rPr>
          <w:rFonts w:cs="Arial"/>
          <w:b/>
          <w:bCs/>
        </w:rPr>
        <w:t>Were there any concerns expressed by stakeholders during engagement activities?</w:t>
      </w:r>
      <w:r w:rsidRPr="00781112">
        <w:rPr>
          <w:b/>
          <w:bCs/>
        </w:rPr>
        <w:t xml:space="preserve"> (yes/no)</w:t>
      </w:r>
    </w:p>
    <w:p w14:paraId="23F53104" w14:textId="7B375F38" w:rsidR="00AE1972" w:rsidRDefault="00AE1972" w:rsidP="00AE1972">
      <w:pPr>
        <w:rPr>
          <w:color w:val="000000" w:themeColor="text1"/>
        </w:rPr>
      </w:pPr>
      <w:r w:rsidRPr="00781112">
        <w:rPr>
          <w:color w:val="000000" w:themeColor="text1"/>
        </w:rPr>
        <w:t>YES</w:t>
      </w:r>
    </w:p>
    <w:p w14:paraId="106639A0" w14:textId="39A5DE64" w:rsidR="00AE1972" w:rsidRPr="00781112" w:rsidRDefault="00C2635F" w:rsidP="00AE1972">
      <w:pPr>
        <w:rPr>
          <w:rFonts w:cs="Arial"/>
          <w:b/>
          <w:bCs/>
        </w:rPr>
      </w:pPr>
      <w:r w:rsidRPr="00781112">
        <w:rPr>
          <w:rFonts w:cs="Arial"/>
          <w:b/>
          <w:bCs/>
        </w:rPr>
        <w:t xml:space="preserve">Describe how the State addressed the concerns expressed by stakeholders. </w:t>
      </w:r>
    </w:p>
    <w:p w14:paraId="3CBD7A6E" w14:textId="0BCE4D81" w:rsidR="00AE1972" w:rsidRDefault="00AE1972" w:rsidP="00AE1972">
      <w:pPr>
        <w:rPr>
          <w:color w:val="000000" w:themeColor="text1"/>
        </w:rPr>
      </w:pPr>
      <w:r w:rsidRPr="00781112">
        <w:rPr>
          <w:color w:val="000000" w:themeColor="text1"/>
        </w:rPr>
        <w:t xml:space="preserve">Stakeholders during the annual SSIP meeting in 2021-2022 and 2022-2023 expressed concern for students beyond third grade who continue to need higher levels of reading support to meet grade level expectations.  Concerns related to the creation of master schedules to provide adequate instructional time were also discussed by the stakeholder group.  Stakeholders also noted that student attendance continues to be a significant issue and the difficulty in recruiting qualified teachers impacts scheduling.  </w:t>
      </w:r>
    </w:p>
    <w:p w14:paraId="4C0E967E" w14:textId="77777777" w:rsidR="00AE1972" w:rsidRPr="00781112" w:rsidRDefault="00AE1972" w:rsidP="00AE1972">
      <w:pPr>
        <w:rPr>
          <w:rFonts w:cs="Arial"/>
          <w:b/>
          <w:bCs/>
        </w:rPr>
      </w:pPr>
    </w:p>
    <w:p w14:paraId="66B03304" w14:textId="77777777" w:rsidR="00AE1972" w:rsidRPr="00781112" w:rsidRDefault="00AE1972" w:rsidP="00AE1972">
      <w:pPr>
        <w:rPr>
          <w:rFonts w:cstheme="minorHAnsi"/>
          <w:b/>
          <w:bCs/>
        </w:rPr>
      </w:pPr>
      <w:r w:rsidRPr="00781112">
        <w:rPr>
          <w:rFonts w:cstheme="minorHAnsi"/>
          <w:b/>
          <w:bCs/>
        </w:rPr>
        <w:t>Additional Implementation Activities</w:t>
      </w:r>
    </w:p>
    <w:p w14:paraId="10A21917" w14:textId="46068090" w:rsidR="00AE1972" w:rsidRPr="00781112" w:rsidRDefault="00AE1972" w:rsidP="00AE1972">
      <w:pPr>
        <w:rPr>
          <w:b/>
          <w:bCs/>
        </w:rPr>
      </w:pPr>
      <w:r w:rsidRPr="00781112">
        <w:rPr>
          <w:b/>
          <w:bCs/>
        </w:rPr>
        <w:t xml:space="preserve">List any activities not already described that the State intends to implement in the next fiscal year that are related to the </w:t>
      </w:r>
      <w:proofErr w:type="spellStart"/>
      <w:r w:rsidRPr="00781112">
        <w:rPr>
          <w:b/>
          <w:bCs/>
        </w:rPr>
        <w:t>SiMR</w:t>
      </w:r>
      <w:proofErr w:type="spellEnd"/>
      <w:r w:rsidRPr="00781112">
        <w:rPr>
          <w:b/>
          <w:bCs/>
        </w:rPr>
        <w:t>.</w:t>
      </w:r>
    </w:p>
    <w:p w14:paraId="35A94BC4" w14:textId="6D7D4D2A" w:rsidR="00AE1972" w:rsidRPr="00781112" w:rsidRDefault="00AE1972" w:rsidP="00AE1972">
      <w:pPr>
        <w:rPr>
          <w:color w:val="000000" w:themeColor="text1"/>
        </w:rPr>
      </w:pPr>
      <w:r w:rsidRPr="00781112">
        <w:rPr>
          <w:color w:val="000000" w:themeColor="text1"/>
        </w:rPr>
        <w:t>CDE has revised the evaluation plan based on feedback during the annual SSIP meeting. We are seeking to formalize fidelity of implementation, create more formal coaching logs, and update the logic model. Additionally, we will be seeking stakeholder feedback to determine if a change to the SiMR is needed.</w:t>
      </w:r>
    </w:p>
    <w:p w14:paraId="3ACC71D3" w14:textId="77777777" w:rsidR="00AE1972" w:rsidRPr="00781112" w:rsidRDefault="00AE1972" w:rsidP="00AE1972">
      <w:pPr>
        <w:rPr>
          <w:rFonts w:cs="Arial"/>
          <w:b/>
          <w:bCs/>
        </w:rPr>
      </w:pPr>
      <w:r w:rsidRPr="00781112">
        <w:rPr>
          <w:rFonts w:cs="Arial"/>
          <w:b/>
          <w:bCs/>
        </w:rPr>
        <w:t xml:space="preserve">Provide a timeline, anticipated data collection and measures, and expected outcomes for these activities that are related to the </w:t>
      </w:r>
      <w:proofErr w:type="spellStart"/>
      <w:r w:rsidRPr="00781112">
        <w:rPr>
          <w:rFonts w:cs="Arial"/>
          <w:b/>
          <w:bCs/>
        </w:rPr>
        <w:t>SiMR</w:t>
      </w:r>
      <w:proofErr w:type="spellEnd"/>
      <w:r w:rsidRPr="00781112">
        <w:rPr>
          <w:rFonts w:cs="Arial"/>
          <w:b/>
          <w:bCs/>
        </w:rPr>
        <w:t xml:space="preserve">. </w:t>
      </w:r>
    </w:p>
    <w:p w14:paraId="50377A67" w14:textId="7B063CE4" w:rsidR="00AE1972" w:rsidRPr="00781112" w:rsidRDefault="00AE1972" w:rsidP="00AE1972">
      <w:pPr>
        <w:rPr>
          <w:color w:val="000000" w:themeColor="text1"/>
        </w:rPr>
      </w:pPr>
      <w:r w:rsidRPr="00781112">
        <w:rPr>
          <w:color w:val="000000" w:themeColor="text1"/>
        </w:rPr>
        <w:t xml:space="preserve">We are meeting with special education directors in January 2024. We have also scheduled a time to present and gather feedback from the CO Special Education Advisory Panel. This summer we will be revising the evaluation plan and meeting with SSIP site teachers and leaders and possible new SSIP </w:t>
      </w:r>
      <w:r w:rsidRPr="00781112">
        <w:rPr>
          <w:color w:val="000000" w:themeColor="text1"/>
        </w:rPr>
        <w:lastRenderedPageBreak/>
        <w:t xml:space="preserve">site teachers. If the SiMR is changed, we would like to begin the 2024-2025 school year with new grade 4 and 5 teachers and consider modified support to current SSIP site teachers. </w:t>
      </w:r>
    </w:p>
    <w:p w14:paraId="7B5F9795" w14:textId="77777777" w:rsidR="00AE1972" w:rsidRPr="00781112" w:rsidRDefault="00AE1972" w:rsidP="00AE1972">
      <w:pPr>
        <w:rPr>
          <w:color w:val="000000" w:themeColor="text1"/>
        </w:rPr>
      </w:pPr>
    </w:p>
    <w:p w14:paraId="1D472AFD" w14:textId="77777777" w:rsidR="00AE1972" w:rsidRPr="00781112" w:rsidRDefault="00AE1972" w:rsidP="00AE1972">
      <w:pPr>
        <w:rPr>
          <w:rFonts w:cs="Arial"/>
          <w:b/>
          <w:bCs/>
        </w:rPr>
      </w:pPr>
      <w:r w:rsidRPr="00781112">
        <w:rPr>
          <w:rFonts w:cs="Arial"/>
          <w:b/>
          <w:bCs/>
        </w:rPr>
        <w:t>Describe any newly identified barriers and include steps to address these barriers.</w:t>
      </w:r>
    </w:p>
    <w:p w14:paraId="4E48E920" w14:textId="395AE1C0" w:rsidR="00AE1972" w:rsidRPr="00781112" w:rsidRDefault="00AE1972" w:rsidP="00AE1972">
      <w:pPr>
        <w:rPr>
          <w:color w:val="000000" w:themeColor="text1"/>
        </w:rPr>
      </w:pPr>
    </w:p>
    <w:p w14:paraId="5E2459D3" w14:textId="77777777" w:rsidR="00AE1972" w:rsidRPr="00781112" w:rsidRDefault="00AE1972" w:rsidP="00AE1972">
      <w:pPr>
        <w:rPr>
          <w:rFonts w:cs="Arial"/>
          <w:b/>
          <w:bCs/>
        </w:rPr>
      </w:pPr>
    </w:p>
    <w:p w14:paraId="3396CE64" w14:textId="77777777" w:rsidR="00AE1972" w:rsidRPr="00781112" w:rsidRDefault="00AE1972" w:rsidP="00AE1972">
      <w:pPr>
        <w:rPr>
          <w:rFonts w:cs="Arial"/>
          <w:b/>
          <w:bCs/>
        </w:rPr>
      </w:pPr>
      <w:r w:rsidRPr="00781112">
        <w:rPr>
          <w:rFonts w:cs="Arial"/>
          <w:b/>
          <w:bCs/>
        </w:rPr>
        <w:t>Provide additional information about this indicator (optional).</w:t>
      </w:r>
    </w:p>
    <w:p w14:paraId="3B78AAE5" w14:textId="1BDEAF09" w:rsidR="00AE1972" w:rsidRPr="00781112" w:rsidRDefault="00AE1972" w:rsidP="00AE1972">
      <w:pPr>
        <w:rPr>
          <w:color w:val="000000" w:themeColor="text1"/>
        </w:rPr>
      </w:pPr>
      <w:r w:rsidRPr="00781112">
        <w:rPr>
          <w:color w:val="000000" w:themeColor="text1"/>
        </w:rPr>
        <w:t xml:space="preserve">Colorado's targets should be measured by the data meeting target when it is "less than" not "more than". </w:t>
      </w:r>
      <w:r w:rsidRPr="00781112">
        <w:rPr>
          <w:color w:val="000000" w:themeColor="text1"/>
        </w:rPr>
        <w:br/>
        <w:t xml:space="preserve">Slippage explanation: The first issue to note is that there was a significant decline in the number of schools participating in the literacy project, 24 in SY 2021-22 decreasing to 12 in SY 2022-23.  The highest performing district (12 schools) exited prior to the beginning of the new reporting period having successfully implemented the project.  This district’s performance masked the lower performing high-risk schools that have continued in the project.  Within the remaining district, absenteeism was a significant issue with chronic absenteeism reported as greater than 34% during the current reporting period.  Truancy rates were also higher, running twice the state average of 7%.  Staffing issues also significantly </w:t>
      </w:r>
      <w:proofErr w:type="gramStart"/>
      <w:r w:rsidRPr="00781112">
        <w:rPr>
          <w:color w:val="000000" w:themeColor="text1"/>
        </w:rPr>
        <w:t>impacted</w:t>
      </w:r>
      <w:proofErr w:type="gramEnd"/>
      <w:r w:rsidRPr="00781112">
        <w:rPr>
          <w:color w:val="000000" w:themeColor="text1"/>
        </w:rPr>
        <w:t xml:space="preserve"> the district’s ability to fully implement the project.  Long term substitute teachers were common in response to district wide teacher shortages and district coaches, who have historically supported the project, were reassigned to classroom settings to provide teachers.  </w:t>
      </w:r>
    </w:p>
    <w:p w14:paraId="1717717F" w14:textId="77777777" w:rsidR="00AE1972" w:rsidRPr="00781112" w:rsidRDefault="00AE1972" w:rsidP="00AE1972">
      <w:pPr>
        <w:rPr>
          <w:b/>
          <w:bCs/>
        </w:rPr>
      </w:pPr>
    </w:p>
    <w:p w14:paraId="7969DCFD" w14:textId="313BCCCE" w:rsidR="00AE1972" w:rsidRPr="00781112" w:rsidRDefault="00AE1972" w:rsidP="00AE1972">
      <w:pPr>
        <w:pStyle w:val="Heading2"/>
      </w:pPr>
      <w:r w:rsidRPr="00781112">
        <w:t>1</w:t>
      </w:r>
      <w:r w:rsidR="00B90835" w:rsidRPr="00781112">
        <w:t>7</w:t>
      </w:r>
      <w:r w:rsidRPr="00781112">
        <w:t xml:space="preserve"> - Prior FFY Required Actions</w:t>
      </w:r>
    </w:p>
    <w:p w14:paraId="6D4FDD87" w14:textId="61973738" w:rsidR="00AE1972" w:rsidRPr="00781112" w:rsidRDefault="00AE1972" w:rsidP="00AE1972">
      <w:pPr>
        <w:rPr>
          <w:color w:val="000000" w:themeColor="text1"/>
        </w:rPr>
      </w:pPr>
      <w:r w:rsidRPr="00781112">
        <w:rPr>
          <w:color w:val="000000" w:themeColor="text1"/>
        </w:rPr>
        <w:t xml:space="preserve">The State did not explain how its infrastructure improvement strategies support system </w:t>
      </w:r>
      <w:proofErr w:type="gramStart"/>
      <w:r w:rsidRPr="00781112">
        <w:rPr>
          <w:color w:val="000000" w:themeColor="text1"/>
        </w:rPr>
        <w:t>change</w:t>
      </w:r>
      <w:proofErr w:type="gramEnd"/>
      <w:r w:rsidRPr="00781112">
        <w:rPr>
          <w:color w:val="000000" w:themeColor="text1"/>
        </w:rPr>
        <w:t xml:space="preserve"> necessary for: (a) achievement of the SiMR; (b) sustainability of systems improvement efforts; and/or (c) scale up. In the FFY 2022 SPP/APR, the State must address all components of this Indicator.</w:t>
      </w:r>
    </w:p>
    <w:p w14:paraId="107AC5A3" w14:textId="664E400F" w:rsidR="00AE1972" w:rsidRPr="00781112" w:rsidRDefault="007639D7" w:rsidP="00AE1972">
      <w:pPr>
        <w:rPr>
          <w:color w:val="000000" w:themeColor="text1"/>
        </w:rPr>
      </w:pPr>
      <w:r>
        <w:rPr>
          <w:b/>
          <w:color w:val="000000" w:themeColor="text1"/>
        </w:rPr>
        <w:t>Response to actions required in FFY 2021 SPP/APR</w:t>
      </w:r>
      <w:r w:rsidR="00AE1972" w:rsidRPr="00781112">
        <w:rPr>
          <w:color w:val="000000" w:themeColor="text1"/>
        </w:rPr>
        <w:t xml:space="preserve"> </w:t>
      </w:r>
    </w:p>
    <w:p w14:paraId="50FCC9E4" w14:textId="068F706F" w:rsidR="00AE1972" w:rsidRPr="00781112" w:rsidRDefault="00AE1972" w:rsidP="00AE1972">
      <w:pPr>
        <w:rPr>
          <w:color w:val="000000" w:themeColor="text1"/>
        </w:rPr>
      </w:pPr>
      <w:r w:rsidRPr="00781112">
        <w:rPr>
          <w:color w:val="000000" w:themeColor="text1"/>
        </w:rPr>
        <w:t xml:space="preserve">In the FFY 2022 SPP/APR, Colorado explained how its infrastructure improvement strategies support system </w:t>
      </w:r>
      <w:proofErr w:type="gramStart"/>
      <w:r w:rsidRPr="00781112">
        <w:rPr>
          <w:color w:val="000000" w:themeColor="text1"/>
        </w:rPr>
        <w:t>change</w:t>
      </w:r>
      <w:proofErr w:type="gramEnd"/>
      <w:r w:rsidRPr="00781112">
        <w:rPr>
          <w:color w:val="000000" w:themeColor="text1"/>
        </w:rPr>
        <w:t xml:space="preserve"> necessary for: (a) achievement of the SiMR, (b) sustainability of systems improvement efforts; and/or (c) scale up. </w:t>
      </w:r>
    </w:p>
    <w:p w14:paraId="26525888" w14:textId="754A2C29" w:rsidR="00AE1972" w:rsidRPr="00781112" w:rsidRDefault="00AE1972" w:rsidP="00AE1972">
      <w:pPr>
        <w:pStyle w:val="Heading2"/>
      </w:pPr>
      <w:r w:rsidRPr="00781112">
        <w:t>1</w:t>
      </w:r>
      <w:r w:rsidR="00B90835" w:rsidRPr="00781112">
        <w:t>7</w:t>
      </w:r>
      <w:r w:rsidRPr="00781112">
        <w:t xml:space="preserve"> - OSEP Response</w:t>
      </w:r>
    </w:p>
    <w:p w14:paraId="401B2D8D" w14:textId="470B927C" w:rsidR="00AE1972" w:rsidRPr="00781112" w:rsidRDefault="00AE1972" w:rsidP="00AE1972">
      <w:pPr>
        <w:rPr>
          <w:color w:val="000000" w:themeColor="text1"/>
        </w:rPr>
      </w:pPr>
    </w:p>
    <w:p w14:paraId="6DAF5363" w14:textId="73CEA9C3" w:rsidR="00AE1972" w:rsidRPr="00781112" w:rsidRDefault="00AE1972" w:rsidP="00AE1972">
      <w:pPr>
        <w:pStyle w:val="Heading2"/>
      </w:pPr>
      <w:r w:rsidRPr="00781112">
        <w:t>1</w:t>
      </w:r>
      <w:r w:rsidR="00B90835" w:rsidRPr="00781112">
        <w:t>7</w:t>
      </w:r>
      <w:r w:rsidRPr="00781112">
        <w:t xml:space="preserve"> - Required Actions</w:t>
      </w:r>
    </w:p>
    <w:p w14:paraId="54E94584" w14:textId="132794BB" w:rsidR="00066BAA" w:rsidRDefault="00066BAA" w:rsidP="000532EB">
      <w:pPr>
        <w:rPr>
          <w:color w:val="000000" w:themeColor="text1"/>
        </w:rPr>
      </w:pPr>
    </w:p>
    <w:p w14:paraId="7081808E" w14:textId="332DB163" w:rsidR="000532EB" w:rsidRDefault="000532EB">
      <w:pPr>
        <w:spacing w:before="0" w:after="200" w:line="276" w:lineRule="auto"/>
        <w:rPr>
          <w:color w:val="000000" w:themeColor="text1"/>
        </w:rPr>
      </w:pPr>
      <w:r>
        <w:rPr>
          <w:color w:val="000000" w:themeColor="text1"/>
        </w:rPr>
        <w:br w:type="page"/>
      </w:r>
    </w:p>
    <w:p w14:paraId="47A15380" w14:textId="2BFE46A7" w:rsidR="00251CC0" w:rsidRPr="00781112" w:rsidRDefault="00755AF7" w:rsidP="00D01281">
      <w:pPr>
        <w:pStyle w:val="Heading1"/>
        <w:rPr>
          <w:color w:val="000000" w:themeColor="text1"/>
        </w:rPr>
      </w:pPr>
      <w:r w:rsidRPr="00781112">
        <w:rPr>
          <w:color w:val="000000" w:themeColor="text1"/>
        </w:rPr>
        <w:lastRenderedPageBreak/>
        <w:t>Certification</w:t>
      </w:r>
    </w:p>
    <w:p w14:paraId="49BAFEB2" w14:textId="460D7FCE" w:rsidR="00EC1064" w:rsidRPr="00781112" w:rsidRDefault="00EC1064" w:rsidP="00A018D4">
      <w:pPr>
        <w:rPr>
          <w:color w:val="000000" w:themeColor="text1"/>
          <w:szCs w:val="20"/>
        </w:rPr>
      </w:pPr>
      <w:r w:rsidRPr="00781112">
        <w:rPr>
          <w:b/>
          <w:color w:val="000000" w:themeColor="text1"/>
          <w:sz w:val="20"/>
          <w:szCs w:val="20"/>
        </w:rPr>
        <w:t>Instructions</w:t>
      </w:r>
    </w:p>
    <w:p w14:paraId="1D3FABB8" w14:textId="49984077" w:rsidR="00EC1064" w:rsidRPr="00781112" w:rsidRDefault="00C723F9" w:rsidP="00EC1064">
      <w:pPr>
        <w:autoSpaceDE w:val="0"/>
        <w:autoSpaceDN w:val="0"/>
        <w:adjustRightInd w:val="0"/>
        <w:rPr>
          <w:rFonts w:cs="Arial"/>
          <w:b/>
          <w:bCs/>
          <w:color w:val="000000" w:themeColor="text1"/>
          <w:szCs w:val="16"/>
        </w:rPr>
      </w:pPr>
      <w:r w:rsidRPr="00781112">
        <w:rPr>
          <w:rFonts w:cs="Arial"/>
          <w:b/>
          <w:bCs/>
          <w:color w:val="000000" w:themeColor="text1"/>
          <w:szCs w:val="16"/>
        </w:rPr>
        <w:t>Choose the appropriate selection and complete all the certification information fields. Then click the "Submit" button to submit your APR.</w:t>
      </w:r>
    </w:p>
    <w:p w14:paraId="01D5737F" w14:textId="0EECE8DE" w:rsidR="00EC1064" w:rsidRPr="00781112" w:rsidRDefault="00EC1064" w:rsidP="00EE0028">
      <w:pPr>
        <w:pStyle w:val="NoSpacing"/>
        <w:rPr>
          <w:rFonts w:ascii="Arial" w:hAnsi="Arial" w:cs="Arial"/>
          <w:b/>
          <w:bCs/>
          <w:color w:val="000000" w:themeColor="text1"/>
          <w:sz w:val="16"/>
          <w:szCs w:val="16"/>
        </w:rPr>
      </w:pPr>
      <w:r w:rsidRPr="00781112">
        <w:rPr>
          <w:rFonts w:ascii="Arial" w:hAnsi="Arial" w:cs="Arial"/>
          <w:b/>
          <w:bCs/>
          <w:color w:val="000000" w:themeColor="text1"/>
          <w:sz w:val="16"/>
          <w:szCs w:val="16"/>
        </w:rPr>
        <w:t>Certify</w:t>
      </w:r>
    </w:p>
    <w:p w14:paraId="55390454" w14:textId="09D075B1" w:rsidR="00262BC0" w:rsidRPr="00781112" w:rsidRDefault="00262BC0" w:rsidP="00262BC0">
      <w:pPr>
        <w:autoSpaceDE w:val="0"/>
        <w:autoSpaceDN w:val="0"/>
        <w:adjustRightInd w:val="0"/>
        <w:rPr>
          <w:rFonts w:cs="Arial"/>
          <w:b/>
          <w:bCs/>
          <w:color w:val="000000" w:themeColor="text1"/>
          <w:szCs w:val="16"/>
        </w:rPr>
      </w:pPr>
      <w:r w:rsidRPr="00781112">
        <w:rPr>
          <w:rFonts w:cs="Arial"/>
          <w:b/>
          <w:bCs/>
          <w:color w:val="000000" w:themeColor="text1"/>
          <w:szCs w:val="16"/>
        </w:rPr>
        <w:t>I certify that I am the Chief State School Officer of the State, or his or her designee, and that the State's submission of its IDEA Part B State Performance Plan/Annual Performance Report is accurate.</w:t>
      </w:r>
    </w:p>
    <w:p w14:paraId="6B93509D" w14:textId="70EDDFDB" w:rsidR="008D2663" w:rsidRPr="00781112" w:rsidRDefault="00262BC0" w:rsidP="00262BC0">
      <w:pPr>
        <w:autoSpaceDE w:val="0"/>
        <w:autoSpaceDN w:val="0"/>
        <w:adjustRightInd w:val="0"/>
        <w:rPr>
          <w:rFonts w:cs="Arial"/>
          <w:b/>
          <w:bCs/>
          <w:color w:val="000000" w:themeColor="text1"/>
          <w:szCs w:val="16"/>
        </w:rPr>
      </w:pPr>
      <w:r w:rsidRPr="00781112">
        <w:rPr>
          <w:rFonts w:cs="Arial"/>
          <w:b/>
          <w:bCs/>
          <w:color w:val="000000" w:themeColor="text1"/>
          <w:szCs w:val="16"/>
        </w:rPr>
        <w:t>Select the certifier’s role:</w:t>
      </w:r>
    </w:p>
    <w:p w14:paraId="0767E5C8" w14:textId="70B1D176" w:rsidR="00262BC0" w:rsidRPr="00781112" w:rsidRDefault="002B7490" w:rsidP="00262BC0">
      <w:pPr>
        <w:autoSpaceDE w:val="0"/>
        <w:autoSpaceDN w:val="0"/>
        <w:adjustRightInd w:val="0"/>
        <w:rPr>
          <w:rFonts w:cs="Arial"/>
          <w:bCs/>
          <w:color w:val="000000" w:themeColor="text1"/>
          <w:szCs w:val="16"/>
        </w:rPr>
      </w:pPr>
      <w:r w:rsidRPr="00781112">
        <w:rPr>
          <w:rFonts w:cs="Arial"/>
          <w:bCs/>
          <w:color w:val="000000" w:themeColor="text1"/>
          <w:szCs w:val="16"/>
        </w:rPr>
        <w:t>Designated by the Chief State School Officer to certify</w:t>
      </w:r>
    </w:p>
    <w:p w14:paraId="0D4B9819" w14:textId="38C2D4E8" w:rsidR="00262BC0" w:rsidRPr="00781112" w:rsidRDefault="00262BC0" w:rsidP="00262BC0">
      <w:pPr>
        <w:autoSpaceDE w:val="0"/>
        <w:autoSpaceDN w:val="0"/>
        <w:adjustRightInd w:val="0"/>
        <w:rPr>
          <w:rFonts w:cs="Arial"/>
          <w:b/>
          <w:bCs/>
          <w:color w:val="000000" w:themeColor="text1"/>
          <w:szCs w:val="16"/>
        </w:rPr>
      </w:pPr>
      <w:r w:rsidRPr="00781112">
        <w:rPr>
          <w:rFonts w:cs="Arial"/>
          <w:b/>
          <w:bCs/>
          <w:color w:val="000000" w:themeColor="text1"/>
          <w:szCs w:val="16"/>
        </w:rPr>
        <w:t>Name and title of the individual certifying the accuracy of the State's submission of its IDEA Part B State Performance Plan/Annual Performance Report.</w:t>
      </w:r>
    </w:p>
    <w:p w14:paraId="3B5F1CED" w14:textId="77777777" w:rsidR="00755AF7" w:rsidRPr="00781112" w:rsidRDefault="00755AF7" w:rsidP="00755AF7">
      <w:pPr>
        <w:autoSpaceDE w:val="0"/>
        <w:autoSpaceDN w:val="0"/>
        <w:adjustRightInd w:val="0"/>
        <w:rPr>
          <w:rFonts w:cs="Arial"/>
          <w:b/>
          <w:bCs/>
          <w:color w:val="000000" w:themeColor="text1"/>
          <w:szCs w:val="16"/>
        </w:rPr>
      </w:pPr>
      <w:bookmarkStart w:id="100" w:name="_Hlk20318241"/>
      <w:r w:rsidRPr="00781112">
        <w:rPr>
          <w:rFonts w:cs="Arial"/>
          <w:b/>
          <w:bCs/>
          <w:color w:val="000000" w:themeColor="text1"/>
          <w:szCs w:val="16"/>
        </w:rPr>
        <w:t xml:space="preserve">Name: </w:t>
      </w:r>
    </w:p>
    <w:p w14:paraId="4AE58D3C" w14:textId="25F9FA75" w:rsidR="00755AF7" w:rsidRPr="00781112" w:rsidRDefault="002B7490" w:rsidP="00755AF7">
      <w:pPr>
        <w:autoSpaceDE w:val="0"/>
        <w:autoSpaceDN w:val="0"/>
        <w:adjustRightInd w:val="0"/>
        <w:rPr>
          <w:rFonts w:cs="Arial"/>
          <w:color w:val="000000" w:themeColor="text1"/>
          <w:szCs w:val="16"/>
        </w:rPr>
      </w:pPr>
      <w:r w:rsidRPr="00781112">
        <w:rPr>
          <w:rFonts w:cs="Arial"/>
          <w:color w:val="000000" w:themeColor="text1"/>
          <w:szCs w:val="16"/>
        </w:rPr>
        <w:t>Paul Foster</w:t>
      </w:r>
    </w:p>
    <w:p w14:paraId="6368082B" w14:textId="28AD55BD" w:rsidR="00755AF7" w:rsidRPr="00781112" w:rsidRDefault="00EF4A6B" w:rsidP="00755AF7">
      <w:pPr>
        <w:autoSpaceDE w:val="0"/>
        <w:autoSpaceDN w:val="0"/>
        <w:adjustRightInd w:val="0"/>
        <w:rPr>
          <w:rFonts w:cs="Arial"/>
          <w:b/>
          <w:bCs/>
          <w:color w:val="000000" w:themeColor="text1"/>
          <w:szCs w:val="16"/>
        </w:rPr>
      </w:pPr>
      <w:r w:rsidRPr="00781112">
        <w:rPr>
          <w:rFonts w:cs="Arial"/>
          <w:b/>
          <w:bCs/>
          <w:color w:val="000000" w:themeColor="text1"/>
          <w:szCs w:val="16"/>
        </w:rPr>
        <w:t xml:space="preserve">Title: </w:t>
      </w:r>
    </w:p>
    <w:p w14:paraId="290E3D81" w14:textId="5C618752" w:rsidR="00755AF7" w:rsidRPr="00781112" w:rsidRDefault="002B7490" w:rsidP="00755AF7">
      <w:pPr>
        <w:autoSpaceDE w:val="0"/>
        <w:autoSpaceDN w:val="0"/>
        <w:adjustRightInd w:val="0"/>
        <w:rPr>
          <w:rFonts w:cs="Arial"/>
          <w:color w:val="000000" w:themeColor="text1"/>
          <w:szCs w:val="16"/>
        </w:rPr>
      </w:pPr>
      <w:r w:rsidRPr="00781112">
        <w:rPr>
          <w:rFonts w:cs="Arial"/>
          <w:color w:val="000000" w:themeColor="text1"/>
          <w:szCs w:val="16"/>
        </w:rPr>
        <w:t>Executive Director of Exceptional Student Services/State Special Education Dirctor</w:t>
      </w:r>
    </w:p>
    <w:p w14:paraId="67DC6813" w14:textId="6EF07192" w:rsidR="00755AF7" w:rsidRPr="00781112" w:rsidRDefault="00925E33" w:rsidP="00755AF7">
      <w:pPr>
        <w:autoSpaceDE w:val="0"/>
        <w:autoSpaceDN w:val="0"/>
        <w:adjustRightInd w:val="0"/>
        <w:rPr>
          <w:rFonts w:cs="Arial"/>
          <w:b/>
          <w:bCs/>
          <w:color w:val="000000" w:themeColor="text1"/>
          <w:szCs w:val="16"/>
        </w:rPr>
      </w:pPr>
      <w:r w:rsidRPr="00781112">
        <w:rPr>
          <w:rFonts w:cs="Arial"/>
          <w:b/>
          <w:bCs/>
          <w:color w:val="000000" w:themeColor="text1"/>
          <w:szCs w:val="16"/>
        </w:rPr>
        <w:t xml:space="preserve">Email: </w:t>
      </w:r>
    </w:p>
    <w:p w14:paraId="0D9187A2" w14:textId="72ED05AF" w:rsidR="00755AF7" w:rsidRPr="00781112" w:rsidRDefault="002B7490" w:rsidP="00755AF7">
      <w:pPr>
        <w:autoSpaceDE w:val="0"/>
        <w:autoSpaceDN w:val="0"/>
        <w:adjustRightInd w:val="0"/>
        <w:rPr>
          <w:rFonts w:cs="Arial"/>
          <w:color w:val="000000" w:themeColor="text1"/>
          <w:szCs w:val="16"/>
        </w:rPr>
      </w:pPr>
      <w:r w:rsidRPr="00781112">
        <w:rPr>
          <w:rFonts w:cs="Arial"/>
          <w:color w:val="000000" w:themeColor="text1"/>
          <w:szCs w:val="16"/>
        </w:rPr>
        <w:t>foster_p@cde.state.co.us</w:t>
      </w:r>
    </w:p>
    <w:p w14:paraId="230D0674" w14:textId="3A323DD4" w:rsidR="00755AF7" w:rsidRPr="00781112" w:rsidRDefault="00EF4A6B" w:rsidP="00755AF7">
      <w:pPr>
        <w:autoSpaceDE w:val="0"/>
        <w:autoSpaceDN w:val="0"/>
        <w:adjustRightInd w:val="0"/>
        <w:rPr>
          <w:rFonts w:cs="Arial"/>
          <w:b/>
          <w:color w:val="000000" w:themeColor="text1"/>
          <w:szCs w:val="16"/>
        </w:rPr>
      </w:pPr>
      <w:r w:rsidRPr="00781112">
        <w:rPr>
          <w:rFonts w:cs="Arial"/>
          <w:b/>
          <w:color w:val="000000" w:themeColor="text1"/>
          <w:szCs w:val="16"/>
        </w:rPr>
        <w:t>Phone:</w:t>
      </w:r>
    </w:p>
    <w:p w14:paraId="5A421E1A" w14:textId="3C4EA133" w:rsidR="00DD2023" w:rsidRPr="00781112" w:rsidRDefault="002B7490" w:rsidP="00DD2023">
      <w:pPr>
        <w:autoSpaceDE w:val="0"/>
        <w:autoSpaceDN w:val="0"/>
        <w:adjustRightInd w:val="0"/>
        <w:rPr>
          <w:rFonts w:cs="Arial"/>
          <w:color w:val="000000" w:themeColor="text1"/>
          <w:szCs w:val="16"/>
        </w:rPr>
      </w:pPr>
      <w:r w:rsidRPr="00781112">
        <w:rPr>
          <w:rFonts w:cs="Arial"/>
          <w:color w:val="000000" w:themeColor="text1"/>
          <w:szCs w:val="16"/>
        </w:rPr>
        <w:t>7206604253</w:t>
      </w:r>
    </w:p>
    <w:bookmarkEnd w:id="100"/>
    <w:p w14:paraId="17E495D6" w14:textId="2B4E1FA8" w:rsidR="000657F0" w:rsidRPr="00781112" w:rsidRDefault="00C773DB" w:rsidP="000657F0">
      <w:pPr>
        <w:autoSpaceDE w:val="0"/>
        <w:autoSpaceDN w:val="0"/>
        <w:adjustRightInd w:val="0"/>
        <w:rPr>
          <w:rFonts w:cs="Arial"/>
          <w:b/>
          <w:color w:val="000000" w:themeColor="text1"/>
          <w:szCs w:val="16"/>
        </w:rPr>
      </w:pPr>
      <w:r w:rsidRPr="00781112">
        <w:rPr>
          <w:rFonts w:cs="Arial"/>
          <w:b/>
          <w:color w:val="000000" w:themeColor="text1"/>
          <w:szCs w:val="16"/>
        </w:rPr>
        <w:t>Submitted on:</w:t>
      </w:r>
    </w:p>
    <w:p w14:paraId="3754F1D5" w14:textId="5487A8BD" w:rsidR="00371FAA" w:rsidRPr="00395B6C" w:rsidRDefault="006879FA" w:rsidP="00371FAA">
      <w:r w:rsidRPr="00395B6C">
        <w:t>04/19/24 11:43:10 AM</w:t>
      </w:r>
    </w:p>
    <w:p w14:paraId="137CE14B" w14:textId="38DBB8E3" w:rsidR="00371FAA" w:rsidRPr="00395B6C" w:rsidRDefault="00D12506" w:rsidP="00D12506">
      <w:pPr>
        <w:spacing w:before="0" w:after="200" w:line="276" w:lineRule="auto"/>
      </w:pPr>
      <w:r w:rsidRPr="00395B6C">
        <w:br w:type="page"/>
      </w:r>
    </w:p>
    <w:p w14:paraId="66D36872" w14:textId="52ECB6DB" w:rsidR="00BE0EEF" w:rsidRPr="00395B6C" w:rsidRDefault="00AF2BDA" w:rsidP="00AF2BDA">
      <w:pPr>
        <w:pStyle w:val="Heading1"/>
        <w:rPr>
          <w:color w:val="000000" w:themeColor="text1"/>
        </w:rPr>
      </w:pPr>
      <w:r w:rsidRPr="00395B6C">
        <w:rPr>
          <w:color w:val="000000" w:themeColor="text1"/>
        </w:rPr>
        <w:lastRenderedPageBreak/>
        <w:t>Determination Enclosures</w:t>
      </w:r>
    </w:p>
    <w:p w14:paraId="7F6A87DA" w14:textId="7873ABE7" w:rsidR="00BE0EEF" w:rsidRDefault="00BE0EEF" w:rsidP="00BE0EEF">
      <w:pPr>
        <w:pStyle w:val="Heading2"/>
      </w:pPr>
      <w:r w:rsidRPr="00395B6C">
        <w:t>RDA Matrix</w:t>
      </w:r>
    </w:p>
    <w:p w14:paraId="6C62C296" w14:textId="77777777" w:rsidR="00862001" w:rsidRDefault="00862001" w:rsidP="00D1413B">
      <w:pPr>
        <w:rPr>
          <w:b/>
          <w:bCs/>
          <w:sz w:val="18"/>
          <w:szCs w:val="18"/>
        </w:rPr>
      </w:pPr>
    </w:p>
    <w:p w14:paraId="693B2C3A" w14:textId="77777777" w:rsidR="000E0BA2" w:rsidRDefault="00D1413B" w:rsidP="00862001">
      <w:pPr>
        <w:jc w:val="center"/>
        <w:rPr>
          <w:sz w:val="32"/>
          <w:szCs w:val="32"/>
        </w:rPr>
      </w:pPr>
      <w:r w:rsidRPr="00862001">
        <w:rPr>
          <w:sz w:val="32"/>
          <w:szCs w:val="32"/>
        </w:rPr>
        <w:t>Colorado</w:t>
      </w:r>
    </w:p>
    <w:p w14:paraId="34FD6914" w14:textId="4D08E4B7" w:rsidR="00824D00" w:rsidRDefault="00BE0EEF" w:rsidP="00862001">
      <w:pPr>
        <w:jc w:val="center"/>
        <w:rPr>
          <w:sz w:val="32"/>
          <w:szCs w:val="32"/>
        </w:rPr>
      </w:pPr>
      <w:r w:rsidRPr="00824D00">
        <w:rPr>
          <w:sz w:val="32"/>
          <w:szCs w:val="32"/>
        </w:rPr>
        <w:t>2024 Part B Results-Driven Accountability Matrix</w:t>
      </w:r>
    </w:p>
    <w:p w14:paraId="10239889" w14:textId="77777777" w:rsidR="00862001" w:rsidRDefault="00862001" w:rsidP="00862001">
      <w:pPr>
        <w:rPr>
          <w:b/>
          <w:bCs/>
          <w:sz w:val="18"/>
          <w:szCs w:val="18"/>
        </w:rPr>
      </w:pPr>
    </w:p>
    <w:p w14:paraId="2A7E4326" w14:textId="0994F40B" w:rsidR="00BE0EEF" w:rsidRPr="00210AC6" w:rsidRDefault="00BE0EEF" w:rsidP="00BE0EEF">
      <w:pPr>
        <w:rPr>
          <w:rFonts w:cs="Arial"/>
          <w:b/>
          <w:bCs/>
          <w:szCs w:val="16"/>
        </w:rPr>
      </w:pPr>
      <w:r w:rsidRPr="00210AC6">
        <w:rPr>
          <w:rFonts w:cs="Arial"/>
          <w:b/>
          <w:bCs/>
          <w:szCs w:val="16"/>
        </w:rPr>
        <w:t xml:space="preserve">Results-Driven Accountability Percentage and Determination </w:t>
      </w:r>
      <w:r w:rsidR="0007196B" w:rsidRPr="0007196B">
        <w:rPr>
          <w:rFonts w:cs="Arial"/>
          <w:szCs w:val="16"/>
        </w:rPr>
        <w:t>(1)</w:t>
      </w:r>
    </w:p>
    <w:tbl>
      <w:tblPr>
        <w:tblStyle w:val="TableGrid1"/>
        <w:tblW w:w="5009" w:type="pct"/>
        <w:tblLook w:val="04A0" w:firstRow="1" w:lastRow="0" w:firstColumn="1" w:lastColumn="0" w:noHBand="0" w:noVBand="1"/>
        <w:tblCaption w:val="BENNSRSTRDACFFYSTAT"/>
      </w:tblPr>
      <w:tblGrid>
        <w:gridCol w:w="5404"/>
        <w:gridCol w:w="5405"/>
      </w:tblGrid>
      <w:tr w:rsidR="00BE0EEF" w:rsidRPr="00210AC6" w14:paraId="441F44A8" w14:textId="77777777" w:rsidTr="0064778E">
        <w:trPr>
          <w:tblHeader/>
        </w:trPr>
        <w:tc>
          <w:tcPr>
            <w:tcW w:w="2500" w:type="pct"/>
          </w:tcPr>
          <w:p w14:paraId="48E2D994" w14:textId="77777777" w:rsidR="00BE0EEF" w:rsidRPr="00210AC6" w:rsidRDefault="00BE0EEF" w:rsidP="00EE6889">
            <w:pPr>
              <w:rPr>
                <w:rFonts w:cs="Arial"/>
                <w:b/>
                <w:bCs/>
                <w:szCs w:val="16"/>
              </w:rPr>
            </w:pPr>
            <w:r w:rsidRPr="00210AC6">
              <w:rPr>
                <w:rFonts w:cs="Arial"/>
                <w:b/>
                <w:bCs/>
                <w:szCs w:val="16"/>
              </w:rPr>
              <w:t>Percentage (%)</w:t>
            </w:r>
          </w:p>
        </w:tc>
        <w:tc>
          <w:tcPr>
            <w:tcW w:w="2500" w:type="pct"/>
          </w:tcPr>
          <w:p w14:paraId="41C1D543" w14:textId="77777777" w:rsidR="00BE0EEF" w:rsidRPr="00210AC6" w:rsidRDefault="00BE0EEF" w:rsidP="00EE6889">
            <w:pPr>
              <w:rPr>
                <w:rFonts w:cs="Arial"/>
                <w:b/>
                <w:bCs/>
                <w:szCs w:val="16"/>
              </w:rPr>
            </w:pPr>
            <w:r w:rsidRPr="00210AC6">
              <w:rPr>
                <w:rFonts w:cs="Arial"/>
                <w:b/>
                <w:bCs/>
                <w:szCs w:val="16"/>
              </w:rPr>
              <w:t>Determination</w:t>
            </w:r>
          </w:p>
        </w:tc>
      </w:tr>
      <w:tr w:rsidR="00416463" w:rsidRPr="00210AC6" w14:paraId="2EA9543B" w14:textId="77777777" w:rsidTr="00FB3F34">
        <w:tc>
          <w:tcPr>
            <w:tcW w:w="2500" w:type="pct"/>
          </w:tcPr>
          <w:p w14:paraId="7E99A849" w14:textId="1196736B" w:rsidR="00416463" w:rsidRPr="00210AC6" w:rsidRDefault="00416463" w:rsidP="00416463">
            <w:pPr>
              <w:rPr>
                <w:rFonts w:cs="Arial"/>
                <w:szCs w:val="16"/>
              </w:rPr>
            </w:pPr>
            <w:r w:rsidRPr="00210AC6">
              <w:rPr>
                <w:rFonts w:cs="Arial"/>
                <w:szCs w:val="16"/>
              </w:rPr>
              <w:t>72.50%</w:t>
            </w:r>
          </w:p>
        </w:tc>
        <w:tc>
          <w:tcPr>
            <w:tcW w:w="2500" w:type="pct"/>
          </w:tcPr>
          <w:p w14:paraId="67D9EEC1" w14:textId="53D67E7A" w:rsidR="00416463" w:rsidRPr="00210AC6" w:rsidRDefault="00416463" w:rsidP="00416463">
            <w:pPr>
              <w:rPr>
                <w:rFonts w:cs="Arial"/>
                <w:szCs w:val="16"/>
              </w:rPr>
            </w:pPr>
            <w:r w:rsidRPr="00210AC6">
              <w:rPr>
                <w:rFonts w:cs="Arial"/>
                <w:noProof/>
                <w:szCs w:val="16"/>
              </w:rPr>
              <w:t>Needs Assistance</w:t>
            </w:r>
          </w:p>
        </w:tc>
      </w:tr>
    </w:tbl>
    <w:p w14:paraId="3111276A" w14:textId="77777777" w:rsidR="00BE0EEF" w:rsidRPr="00210AC6" w:rsidRDefault="00BE0EEF" w:rsidP="00BE0EEF">
      <w:pPr>
        <w:rPr>
          <w:rFonts w:cs="Arial"/>
          <w:b/>
          <w:bCs/>
          <w:szCs w:val="16"/>
        </w:rPr>
      </w:pPr>
      <w:r w:rsidRPr="00210AC6">
        <w:rPr>
          <w:rFonts w:cs="Arial"/>
          <w:b/>
          <w:bCs/>
          <w:szCs w:val="16"/>
        </w:rPr>
        <w:t>Results and Compliance Overall Scoring</w:t>
      </w:r>
    </w:p>
    <w:tbl>
      <w:tblPr>
        <w:tblStyle w:val="TableGrid1"/>
        <w:tblW w:w="5005" w:type="pct"/>
        <w:tblLayout w:type="fixed"/>
        <w:tblLook w:val="04A0" w:firstRow="1" w:lastRow="0" w:firstColumn="1" w:lastColumn="0" w:noHBand="0" w:noVBand="1"/>
        <w:tblCaption w:val="BENNSRSTCMPCFFYSTAT"/>
      </w:tblPr>
      <w:tblGrid>
        <w:gridCol w:w="2724"/>
        <w:gridCol w:w="2724"/>
        <w:gridCol w:w="2722"/>
        <w:gridCol w:w="2631"/>
      </w:tblGrid>
      <w:tr w:rsidR="00BE0EEF" w:rsidRPr="00210AC6" w14:paraId="171A34FE" w14:textId="77777777" w:rsidTr="00851F98">
        <w:trPr>
          <w:tblHeader/>
        </w:trPr>
        <w:tc>
          <w:tcPr>
            <w:tcW w:w="1261" w:type="pct"/>
          </w:tcPr>
          <w:p w14:paraId="7A21C806" w14:textId="7B705064" w:rsidR="00BE0EEF" w:rsidRPr="00210AC6" w:rsidRDefault="00512718" w:rsidP="00EE6889">
            <w:pPr>
              <w:rPr>
                <w:rFonts w:cs="Arial"/>
                <w:b/>
                <w:bCs/>
                <w:szCs w:val="16"/>
              </w:rPr>
            </w:pPr>
            <w:r>
              <w:rPr>
                <w:rFonts w:cs="Arial"/>
                <w:b/>
                <w:bCs/>
                <w:szCs w:val="16"/>
              </w:rPr>
              <w:t>Section</w:t>
            </w:r>
          </w:p>
        </w:tc>
        <w:tc>
          <w:tcPr>
            <w:tcW w:w="1261" w:type="pct"/>
          </w:tcPr>
          <w:p w14:paraId="7D03890F" w14:textId="77777777" w:rsidR="00BE0EEF" w:rsidRPr="00210AC6" w:rsidRDefault="00BE0EEF" w:rsidP="00EE6889">
            <w:pPr>
              <w:rPr>
                <w:rFonts w:cs="Arial"/>
                <w:b/>
                <w:bCs/>
                <w:szCs w:val="16"/>
              </w:rPr>
            </w:pPr>
            <w:r w:rsidRPr="00210AC6">
              <w:rPr>
                <w:rFonts w:cs="Arial"/>
                <w:b/>
                <w:bCs/>
                <w:szCs w:val="16"/>
              </w:rPr>
              <w:t>Total Points Available</w:t>
            </w:r>
          </w:p>
        </w:tc>
        <w:tc>
          <w:tcPr>
            <w:tcW w:w="1260" w:type="pct"/>
          </w:tcPr>
          <w:p w14:paraId="0BAE0076" w14:textId="77777777" w:rsidR="00BE0EEF" w:rsidRPr="00210AC6" w:rsidRDefault="00BE0EEF" w:rsidP="00EE6889">
            <w:pPr>
              <w:rPr>
                <w:rFonts w:cs="Arial"/>
                <w:b/>
                <w:bCs/>
                <w:szCs w:val="16"/>
              </w:rPr>
            </w:pPr>
            <w:r w:rsidRPr="00210AC6">
              <w:rPr>
                <w:rFonts w:cs="Arial"/>
                <w:b/>
                <w:bCs/>
                <w:szCs w:val="16"/>
              </w:rPr>
              <w:t>Points Earned</w:t>
            </w:r>
          </w:p>
        </w:tc>
        <w:tc>
          <w:tcPr>
            <w:tcW w:w="1218" w:type="pct"/>
          </w:tcPr>
          <w:p w14:paraId="2D5453A9" w14:textId="77777777" w:rsidR="00BE0EEF" w:rsidRPr="00210AC6" w:rsidRDefault="00BE0EEF" w:rsidP="00EE6889">
            <w:pPr>
              <w:rPr>
                <w:rFonts w:cs="Arial"/>
                <w:b/>
                <w:bCs/>
                <w:szCs w:val="16"/>
              </w:rPr>
            </w:pPr>
            <w:r w:rsidRPr="00210AC6">
              <w:rPr>
                <w:rFonts w:cs="Arial"/>
                <w:b/>
                <w:bCs/>
                <w:szCs w:val="16"/>
              </w:rPr>
              <w:t>Score (%)</w:t>
            </w:r>
          </w:p>
        </w:tc>
      </w:tr>
      <w:tr w:rsidR="00E1330D" w:rsidRPr="00210AC6" w14:paraId="24CD0491" w14:textId="77777777" w:rsidTr="00851F98">
        <w:tc>
          <w:tcPr>
            <w:tcW w:w="1261" w:type="pct"/>
          </w:tcPr>
          <w:p w14:paraId="636FA965" w14:textId="77777777" w:rsidR="00E1330D" w:rsidRPr="00210AC6" w:rsidRDefault="00E1330D" w:rsidP="00E1330D">
            <w:pPr>
              <w:rPr>
                <w:rFonts w:cs="Arial"/>
                <w:b/>
                <w:bCs/>
                <w:szCs w:val="16"/>
              </w:rPr>
            </w:pPr>
            <w:r w:rsidRPr="00210AC6">
              <w:rPr>
                <w:rFonts w:cs="Arial"/>
                <w:b/>
                <w:bCs/>
                <w:szCs w:val="16"/>
              </w:rPr>
              <w:t>Results</w:t>
            </w:r>
          </w:p>
        </w:tc>
        <w:tc>
          <w:tcPr>
            <w:tcW w:w="1261" w:type="pct"/>
          </w:tcPr>
          <w:p w14:paraId="4DC27F93" w14:textId="2A310F59" w:rsidR="00E1330D" w:rsidRPr="00210AC6" w:rsidRDefault="00E1330D" w:rsidP="00E1330D">
            <w:pPr>
              <w:rPr>
                <w:rFonts w:cs="Arial"/>
                <w:noProof/>
                <w:szCs w:val="16"/>
              </w:rPr>
            </w:pPr>
            <w:r w:rsidRPr="00210AC6">
              <w:rPr>
                <w:rFonts w:cs="Arial"/>
                <w:szCs w:val="16"/>
              </w:rPr>
              <w:t>20</w:t>
            </w:r>
          </w:p>
        </w:tc>
        <w:tc>
          <w:tcPr>
            <w:tcW w:w="1260" w:type="pct"/>
          </w:tcPr>
          <w:p w14:paraId="39A51C38" w14:textId="16E843D2" w:rsidR="00E1330D" w:rsidRPr="00210AC6" w:rsidRDefault="00E1330D" w:rsidP="00E1330D">
            <w:pPr>
              <w:rPr>
                <w:rFonts w:cs="Arial"/>
                <w:szCs w:val="16"/>
              </w:rPr>
            </w:pPr>
            <w:r w:rsidRPr="00210AC6">
              <w:rPr>
                <w:rFonts w:cs="Arial"/>
                <w:szCs w:val="16"/>
              </w:rPr>
              <w:t>9</w:t>
            </w:r>
          </w:p>
        </w:tc>
        <w:tc>
          <w:tcPr>
            <w:tcW w:w="1218" w:type="pct"/>
          </w:tcPr>
          <w:p w14:paraId="0E3866D0" w14:textId="74D5D84B" w:rsidR="00E1330D" w:rsidRPr="00210AC6" w:rsidRDefault="00E1330D" w:rsidP="00E1330D">
            <w:pPr>
              <w:rPr>
                <w:rFonts w:cs="Arial"/>
                <w:szCs w:val="16"/>
              </w:rPr>
            </w:pPr>
            <w:r w:rsidRPr="00210AC6">
              <w:rPr>
                <w:rFonts w:cs="Arial"/>
                <w:szCs w:val="16"/>
              </w:rPr>
              <w:t>45.00%</w:t>
            </w:r>
          </w:p>
        </w:tc>
      </w:tr>
      <w:tr w:rsidR="00E1330D" w:rsidRPr="00210AC6" w14:paraId="6160CFE2" w14:textId="77777777" w:rsidTr="00851F98">
        <w:tc>
          <w:tcPr>
            <w:tcW w:w="1261" w:type="pct"/>
          </w:tcPr>
          <w:p w14:paraId="683501B2" w14:textId="77777777" w:rsidR="00E1330D" w:rsidRPr="00210AC6" w:rsidRDefault="00E1330D" w:rsidP="00E1330D">
            <w:pPr>
              <w:rPr>
                <w:rFonts w:cs="Arial"/>
                <w:b/>
                <w:bCs/>
                <w:szCs w:val="16"/>
              </w:rPr>
            </w:pPr>
            <w:r w:rsidRPr="00210AC6">
              <w:rPr>
                <w:rFonts w:cs="Arial"/>
                <w:b/>
                <w:bCs/>
                <w:szCs w:val="16"/>
              </w:rPr>
              <w:t>Compliance</w:t>
            </w:r>
          </w:p>
        </w:tc>
        <w:tc>
          <w:tcPr>
            <w:tcW w:w="1261" w:type="pct"/>
          </w:tcPr>
          <w:p w14:paraId="548EED65" w14:textId="52CD3569" w:rsidR="00E1330D" w:rsidRPr="00210AC6" w:rsidRDefault="00E1330D" w:rsidP="00E1330D">
            <w:pPr>
              <w:rPr>
                <w:rFonts w:cs="Arial"/>
                <w:szCs w:val="16"/>
              </w:rPr>
            </w:pPr>
            <w:r w:rsidRPr="00210AC6">
              <w:rPr>
                <w:rFonts w:cs="Arial"/>
                <w:szCs w:val="16"/>
              </w:rPr>
              <w:t>20</w:t>
            </w:r>
          </w:p>
        </w:tc>
        <w:tc>
          <w:tcPr>
            <w:tcW w:w="1260" w:type="pct"/>
          </w:tcPr>
          <w:p w14:paraId="0A360C78" w14:textId="7DE98E29" w:rsidR="00E1330D" w:rsidRPr="00210AC6" w:rsidRDefault="00E1330D" w:rsidP="00E1330D">
            <w:pPr>
              <w:rPr>
                <w:rFonts w:cs="Arial"/>
                <w:szCs w:val="16"/>
              </w:rPr>
            </w:pPr>
            <w:r w:rsidRPr="00210AC6">
              <w:rPr>
                <w:rFonts w:cs="Arial"/>
                <w:szCs w:val="16"/>
              </w:rPr>
              <w:t>20</w:t>
            </w:r>
          </w:p>
        </w:tc>
        <w:tc>
          <w:tcPr>
            <w:tcW w:w="1218" w:type="pct"/>
          </w:tcPr>
          <w:p w14:paraId="568903BA" w14:textId="193CF7F1" w:rsidR="00E1330D" w:rsidRPr="00210AC6" w:rsidRDefault="00E1330D" w:rsidP="00E1330D">
            <w:pPr>
              <w:rPr>
                <w:rFonts w:cs="Arial"/>
                <w:szCs w:val="16"/>
              </w:rPr>
            </w:pPr>
            <w:r w:rsidRPr="00210AC6">
              <w:rPr>
                <w:rFonts w:cs="Arial"/>
                <w:szCs w:val="16"/>
              </w:rPr>
              <w:t>100.00%</w:t>
            </w:r>
          </w:p>
        </w:tc>
      </w:tr>
    </w:tbl>
    <w:p w14:paraId="19632BB2" w14:textId="77777777" w:rsidR="00DB4C39" w:rsidRPr="00372273" w:rsidRDefault="00DB4C39" w:rsidP="00DB4C39">
      <w:pPr>
        <w:rPr>
          <w:b/>
          <w:bCs/>
          <w:color w:val="000000" w:themeColor="text1"/>
        </w:rPr>
      </w:pPr>
      <w:r w:rsidRPr="00372273">
        <w:rPr>
          <w:b/>
          <w:bCs/>
          <w:color w:val="000000" w:themeColor="text1"/>
        </w:rPr>
        <w:t>(1) For a detailed explanation of how the Compliance Score, Results Score, and the Results-Driven Accountability Percentage and Determination were calculated, review "How the Department Made Determinations under Section 616(d) of the Individuals with Disabilities Education Act in 2024: Part B."</w:t>
      </w:r>
    </w:p>
    <w:p w14:paraId="26AB7DC2" w14:textId="77777777" w:rsidR="0007196B" w:rsidRDefault="0007196B" w:rsidP="00BE0EEF">
      <w:pPr>
        <w:rPr>
          <w:rFonts w:cs="Arial"/>
          <w:b/>
          <w:bCs/>
          <w:szCs w:val="16"/>
        </w:rPr>
      </w:pPr>
    </w:p>
    <w:p w14:paraId="5A13FEB8" w14:textId="326310E1" w:rsidR="00BE0EEF" w:rsidRDefault="00BE0EEF" w:rsidP="00BE0EEF">
      <w:pPr>
        <w:rPr>
          <w:rFonts w:cs="Arial"/>
          <w:b/>
          <w:bCs/>
          <w:szCs w:val="16"/>
        </w:rPr>
      </w:pPr>
      <w:r w:rsidRPr="00210AC6">
        <w:rPr>
          <w:rFonts w:cs="Arial"/>
          <w:b/>
          <w:bCs/>
          <w:szCs w:val="16"/>
        </w:rPr>
        <w:t>2024 Part B Results Matrix</w:t>
      </w:r>
    </w:p>
    <w:p w14:paraId="54FF45BF" w14:textId="4C5619B9" w:rsidR="00353EB1" w:rsidRPr="00210AC6" w:rsidRDefault="00353EB1" w:rsidP="00353EB1">
      <w:pPr>
        <w:rPr>
          <w:rFonts w:cs="Arial"/>
          <w:b/>
          <w:bCs/>
          <w:szCs w:val="16"/>
        </w:rPr>
      </w:pPr>
      <w:r w:rsidRPr="00210AC6">
        <w:rPr>
          <w:rFonts w:cs="Arial"/>
          <w:b/>
          <w:bCs/>
          <w:szCs w:val="16"/>
        </w:rPr>
        <w:t>Reading Assessment Elements</w:t>
      </w:r>
    </w:p>
    <w:tbl>
      <w:tblPr>
        <w:tblStyle w:val="TableGrid1"/>
        <w:tblW w:w="5000" w:type="pct"/>
        <w:tblLayout w:type="fixed"/>
        <w:tblLook w:val="04A0" w:firstRow="1" w:lastRow="0" w:firstColumn="1" w:lastColumn="0" w:noHBand="0" w:noVBand="1"/>
        <w:tblCaption w:val="BRLAENNSRSTCFFY"/>
      </w:tblPr>
      <w:tblGrid>
        <w:gridCol w:w="5396"/>
        <w:gridCol w:w="1798"/>
        <w:gridCol w:w="1798"/>
        <w:gridCol w:w="1798"/>
      </w:tblGrid>
      <w:tr w:rsidR="00DB4C39" w:rsidRPr="00210AC6" w14:paraId="6C98717E" w14:textId="77777777" w:rsidTr="00D4744F">
        <w:trPr>
          <w:tblHeader/>
        </w:trPr>
        <w:tc>
          <w:tcPr>
            <w:tcW w:w="2500" w:type="pct"/>
          </w:tcPr>
          <w:p w14:paraId="7B58243A" w14:textId="77777777" w:rsidR="00DB4C39" w:rsidRPr="00210AC6" w:rsidRDefault="00DB4C39" w:rsidP="00EE6889">
            <w:pPr>
              <w:rPr>
                <w:rFonts w:cs="Arial"/>
                <w:b/>
                <w:bCs/>
                <w:szCs w:val="16"/>
              </w:rPr>
            </w:pPr>
            <w:bookmarkStart w:id="101" w:name="_Hlk159657038"/>
            <w:r w:rsidRPr="00210AC6">
              <w:rPr>
                <w:rFonts w:cs="Arial"/>
                <w:b/>
                <w:bCs/>
                <w:szCs w:val="16"/>
              </w:rPr>
              <w:t>Reading Assessment Elements</w:t>
            </w:r>
          </w:p>
        </w:tc>
        <w:tc>
          <w:tcPr>
            <w:tcW w:w="833" w:type="pct"/>
          </w:tcPr>
          <w:p w14:paraId="4CAFAF67" w14:textId="5D81C419" w:rsidR="00DB4C39" w:rsidRPr="00210AC6" w:rsidRDefault="00D22450" w:rsidP="00D22450">
            <w:pPr>
              <w:jc w:val="center"/>
              <w:rPr>
                <w:rFonts w:cs="Arial"/>
                <w:b/>
                <w:bCs/>
                <w:szCs w:val="16"/>
              </w:rPr>
            </w:pPr>
            <w:r>
              <w:rPr>
                <w:rFonts w:cs="Arial"/>
                <w:b/>
                <w:bCs/>
                <w:szCs w:val="16"/>
              </w:rPr>
              <w:t>Grade</w:t>
            </w:r>
          </w:p>
        </w:tc>
        <w:tc>
          <w:tcPr>
            <w:tcW w:w="833" w:type="pct"/>
          </w:tcPr>
          <w:p w14:paraId="7F72CFD5" w14:textId="2BEA0ADE" w:rsidR="00DB4C39" w:rsidRPr="00210AC6" w:rsidRDefault="00DB4C39" w:rsidP="00EE6889">
            <w:pPr>
              <w:rPr>
                <w:rFonts w:cs="Arial"/>
                <w:b/>
                <w:bCs/>
                <w:szCs w:val="16"/>
              </w:rPr>
            </w:pPr>
            <w:r w:rsidRPr="00210AC6">
              <w:rPr>
                <w:rFonts w:cs="Arial"/>
                <w:b/>
                <w:bCs/>
                <w:szCs w:val="16"/>
              </w:rPr>
              <w:t>Performance (%)</w:t>
            </w:r>
          </w:p>
        </w:tc>
        <w:tc>
          <w:tcPr>
            <w:tcW w:w="833" w:type="pct"/>
          </w:tcPr>
          <w:p w14:paraId="729C2DDD" w14:textId="77777777" w:rsidR="00DB4C39" w:rsidRPr="00210AC6" w:rsidRDefault="00DB4C39" w:rsidP="00EE6889">
            <w:pPr>
              <w:rPr>
                <w:rFonts w:cs="Arial"/>
                <w:b/>
                <w:bCs/>
                <w:szCs w:val="16"/>
              </w:rPr>
            </w:pPr>
            <w:r w:rsidRPr="00210AC6">
              <w:rPr>
                <w:rFonts w:cs="Arial"/>
                <w:b/>
                <w:bCs/>
                <w:szCs w:val="16"/>
              </w:rPr>
              <w:t>Score</w:t>
            </w:r>
          </w:p>
        </w:tc>
      </w:tr>
      <w:tr w:rsidR="00D22450" w:rsidRPr="00210AC6" w14:paraId="0D44FAAA" w14:textId="77777777" w:rsidTr="00D4744F">
        <w:tc>
          <w:tcPr>
            <w:tcW w:w="2500" w:type="pct"/>
          </w:tcPr>
          <w:p w14:paraId="76D9D397" w14:textId="2D982B45" w:rsidR="00D22450" w:rsidRPr="0089112C" w:rsidRDefault="00D22450" w:rsidP="00D22450">
            <w:pPr>
              <w:rPr>
                <w:rFonts w:cs="Arial"/>
                <w:szCs w:val="16"/>
              </w:rPr>
            </w:pPr>
            <w:r w:rsidRPr="002C44AD">
              <w:rPr>
                <w:b/>
                <w:bCs/>
              </w:rPr>
              <w:t>Percentage of</w:t>
            </w:r>
            <w:r>
              <w:rPr>
                <w:b/>
                <w:bCs/>
              </w:rPr>
              <w:t xml:space="preserve"> </w:t>
            </w:r>
            <w:r w:rsidRPr="002C44AD">
              <w:rPr>
                <w:b/>
                <w:bCs/>
              </w:rPr>
              <w:t>Children with Disabilities Participating in Statewide Assessment</w:t>
            </w:r>
            <w:r w:rsidR="0089112C">
              <w:t xml:space="preserve"> (2)</w:t>
            </w:r>
          </w:p>
        </w:tc>
        <w:tc>
          <w:tcPr>
            <w:tcW w:w="833" w:type="pct"/>
            <w:vAlign w:val="center"/>
          </w:tcPr>
          <w:p w14:paraId="247BA8F3" w14:textId="171FAF82" w:rsidR="00D22450" w:rsidRPr="00210AC6" w:rsidRDefault="00D22450" w:rsidP="00D22450">
            <w:pPr>
              <w:jc w:val="center"/>
              <w:rPr>
                <w:rFonts w:cs="Arial"/>
                <w:szCs w:val="16"/>
              </w:rPr>
            </w:pPr>
            <w:r w:rsidRPr="00781112">
              <w:rPr>
                <w:rFonts w:cs="Arial"/>
                <w:color w:val="000000" w:themeColor="text1"/>
                <w:szCs w:val="16"/>
              </w:rPr>
              <w:t>Grade 4</w:t>
            </w:r>
          </w:p>
        </w:tc>
        <w:tc>
          <w:tcPr>
            <w:tcW w:w="833" w:type="pct"/>
          </w:tcPr>
          <w:p w14:paraId="1D973F25" w14:textId="35284105" w:rsidR="00D22450" w:rsidRPr="00210AC6" w:rsidRDefault="008B60AB" w:rsidP="00D22450">
            <w:pPr>
              <w:rPr>
                <w:rFonts w:cs="Arial"/>
                <w:szCs w:val="16"/>
              </w:rPr>
            </w:pPr>
            <w:r>
              <w:rPr>
                <w:rFonts w:cs="Arial"/>
                <w:szCs w:val="16"/>
              </w:rPr>
              <w:t>84%</w:t>
            </w:r>
          </w:p>
        </w:tc>
        <w:tc>
          <w:tcPr>
            <w:tcW w:w="833" w:type="pct"/>
          </w:tcPr>
          <w:p w14:paraId="4E5E2883" w14:textId="054F533D" w:rsidR="00D22450" w:rsidRPr="008B60AB" w:rsidRDefault="008B60AB" w:rsidP="008B60AB">
            <w:pPr>
              <w:rPr>
                <w:rFonts w:cs="Arial"/>
                <w:color w:val="000000"/>
                <w:szCs w:val="16"/>
              </w:rPr>
            </w:pPr>
            <w:r>
              <w:rPr>
                <w:rFonts w:cs="Arial"/>
                <w:color w:val="000000"/>
                <w:szCs w:val="16"/>
              </w:rPr>
              <w:t>0</w:t>
            </w:r>
          </w:p>
        </w:tc>
      </w:tr>
      <w:tr w:rsidR="00D22450" w:rsidRPr="00210AC6" w14:paraId="274AEF55" w14:textId="77777777" w:rsidTr="00D4744F">
        <w:tc>
          <w:tcPr>
            <w:tcW w:w="2500" w:type="pct"/>
          </w:tcPr>
          <w:p w14:paraId="2A5113C4" w14:textId="41C0C770" w:rsidR="00D22450" w:rsidRPr="00210AC6" w:rsidRDefault="00D22450" w:rsidP="00D22450">
            <w:pPr>
              <w:rPr>
                <w:rFonts w:cs="Arial"/>
                <w:b/>
                <w:bCs/>
                <w:szCs w:val="16"/>
              </w:rPr>
            </w:pPr>
            <w:r w:rsidRPr="002C44AD">
              <w:rPr>
                <w:b/>
                <w:bCs/>
              </w:rPr>
              <w:t>Percentage of Children with Disabilities Participating in Statewide Assessment</w:t>
            </w:r>
          </w:p>
        </w:tc>
        <w:tc>
          <w:tcPr>
            <w:tcW w:w="833" w:type="pct"/>
            <w:vAlign w:val="center"/>
          </w:tcPr>
          <w:p w14:paraId="1122EF9F" w14:textId="359CD915" w:rsidR="00D22450" w:rsidRPr="00210AC6" w:rsidRDefault="00D22450" w:rsidP="00D22450">
            <w:pPr>
              <w:jc w:val="center"/>
              <w:rPr>
                <w:rFonts w:cs="Arial"/>
                <w:szCs w:val="16"/>
              </w:rPr>
            </w:pPr>
            <w:r w:rsidRPr="00781112">
              <w:rPr>
                <w:rFonts w:cs="Arial"/>
                <w:color w:val="000000" w:themeColor="text1"/>
                <w:szCs w:val="16"/>
              </w:rPr>
              <w:t>Grade 8</w:t>
            </w:r>
          </w:p>
        </w:tc>
        <w:tc>
          <w:tcPr>
            <w:tcW w:w="833" w:type="pct"/>
          </w:tcPr>
          <w:p w14:paraId="03700F0A" w14:textId="26892C52" w:rsidR="00D22450" w:rsidRPr="00210AC6" w:rsidRDefault="008B60AB" w:rsidP="00D22450">
            <w:pPr>
              <w:rPr>
                <w:rFonts w:cs="Arial"/>
                <w:szCs w:val="16"/>
              </w:rPr>
            </w:pPr>
            <w:r>
              <w:rPr>
                <w:rFonts w:cs="Arial"/>
                <w:szCs w:val="16"/>
              </w:rPr>
              <w:t>74%</w:t>
            </w:r>
          </w:p>
        </w:tc>
        <w:tc>
          <w:tcPr>
            <w:tcW w:w="833" w:type="pct"/>
          </w:tcPr>
          <w:p w14:paraId="7CFD9506" w14:textId="5577211F" w:rsidR="00D22450" w:rsidRPr="008B60AB" w:rsidRDefault="008B60AB" w:rsidP="008B60AB">
            <w:pPr>
              <w:rPr>
                <w:rFonts w:cs="Arial"/>
                <w:color w:val="000000"/>
                <w:szCs w:val="16"/>
              </w:rPr>
            </w:pPr>
            <w:r>
              <w:rPr>
                <w:rFonts w:cs="Arial"/>
                <w:color w:val="000000"/>
                <w:szCs w:val="16"/>
              </w:rPr>
              <w:t>0</w:t>
            </w:r>
          </w:p>
        </w:tc>
      </w:tr>
      <w:tr w:rsidR="00D22450" w:rsidRPr="00210AC6" w14:paraId="3DAECFCC" w14:textId="77777777" w:rsidTr="00D4744F">
        <w:tc>
          <w:tcPr>
            <w:tcW w:w="2500" w:type="pct"/>
          </w:tcPr>
          <w:p w14:paraId="7F5E9165" w14:textId="23439088" w:rsidR="00D22450" w:rsidRPr="00210AC6" w:rsidRDefault="00D22450" w:rsidP="00D22450">
            <w:pPr>
              <w:rPr>
                <w:rFonts w:cs="Arial"/>
                <w:b/>
                <w:bCs/>
                <w:szCs w:val="16"/>
              </w:rPr>
            </w:pPr>
            <w:r w:rsidRPr="00210AC6">
              <w:rPr>
                <w:rFonts w:cs="Arial"/>
                <w:b/>
                <w:bCs/>
                <w:szCs w:val="16"/>
              </w:rPr>
              <w:t>Percentage of Children with Disabilities Scoring at Basic or Above on the National Assessment of Educational Progress</w:t>
            </w:r>
          </w:p>
        </w:tc>
        <w:tc>
          <w:tcPr>
            <w:tcW w:w="833" w:type="pct"/>
          </w:tcPr>
          <w:p w14:paraId="08EAF17F" w14:textId="7E9398CC" w:rsidR="00D22450" w:rsidRPr="00210AC6" w:rsidRDefault="00D22450" w:rsidP="00D22450">
            <w:pPr>
              <w:jc w:val="center"/>
              <w:rPr>
                <w:rFonts w:cs="Arial"/>
                <w:szCs w:val="16"/>
              </w:rPr>
            </w:pPr>
            <w:r>
              <w:rPr>
                <w:rFonts w:cs="Arial"/>
                <w:szCs w:val="16"/>
              </w:rPr>
              <w:t>Grade 4</w:t>
            </w:r>
          </w:p>
        </w:tc>
        <w:tc>
          <w:tcPr>
            <w:tcW w:w="833" w:type="pct"/>
          </w:tcPr>
          <w:p w14:paraId="69FCD5E3" w14:textId="13B7B016" w:rsidR="00D22450" w:rsidRPr="00210AC6" w:rsidRDefault="00D22450" w:rsidP="00D22450">
            <w:pPr>
              <w:rPr>
                <w:rFonts w:cs="Arial"/>
                <w:szCs w:val="16"/>
              </w:rPr>
            </w:pPr>
            <w:r w:rsidRPr="00210AC6">
              <w:rPr>
                <w:rFonts w:cs="Arial"/>
                <w:szCs w:val="16"/>
              </w:rPr>
              <w:t>28%</w:t>
            </w:r>
          </w:p>
        </w:tc>
        <w:tc>
          <w:tcPr>
            <w:tcW w:w="833" w:type="pct"/>
          </w:tcPr>
          <w:p w14:paraId="23A64B98" w14:textId="5F4E05F3" w:rsidR="00D22450" w:rsidRPr="00210AC6" w:rsidRDefault="00D22450" w:rsidP="00D22450">
            <w:pPr>
              <w:rPr>
                <w:rFonts w:cs="Arial"/>
                <w:szCs w:val="16"/>
              </w:rPr>
            </w:pPr>
            <w:r w:rsidRPr="00210AC6">
              <w:rPr>
                <w:rFonts w:cs="Arial"/>
                <w:szCs w:val="16"/>
              </w:rPr>
              <w:t>2</w:t>
            </w:r>
          </w:p>
        </w:tc>
      </w:tr>
      <w:tr w:rsidR="00D22450" w:rsidRPr="00210AC6" w14:paraId="2B48B4E0" w14:textId="77777777" w:rsidTr="00D4744F">
        <w:tc>
          <w:tcPr>
            <w:tcW w:w="2500" w:type="pct"/>
          </w:tcPr>
          <w:p w14:paraId="7666AD2F" w14:textId="720C6E65" w:rsidR="00D22450" w:rsidRPr="00210AC6" w:rsidRDefault="00D22450" w:rsidP="00D22450">
            <w:pPr>
              <w:rPr>
                <w:rFonts w:cs="Arial"/>
                <w:b/>
                <w:bCs/>
                <w:szCs w:val="16"/>
              </w:rPr>
            </w:pPr>
            <w:r w:rsidRPr="00210AC6">
              <w:rPr>
                <w:rFonts w:cs="Arial"/>
                <w:b/>
                <w:bCs/>
                <w:szCs w:val="16"/>
              </w:rPr>
              <w:t>Percentage of Children with Disabilities Included in Testing on the National Assessment of Educational Progress</w:t>
            </w:r>
          </w:p>
        </w:tc>
        <w:tc>
          <w:tcPr>
            <w:tcW w:w="833" w:type="pct"/>
          </w:tcPr>
          <w:p w14:paraId="6D0B5523" w14:textId="7D7E3270" w:rsidR="00D22450" w:rsidRPr="00210AC6" w:rsidRDefault="00D22450" w:rsidP="00D22450">
            <w:pPr>
              <w:jc w:val="center"/>
              <w:rPr>
                <w:rFonts w:cs="Arial"/>
                <w:szCs w:val="16"/>
              </w:rPr>
            </w:pPr>
            <w:r>
              <w:rPr>
                <w:rFonts w:cs="Arial"/>
                <w:szCs w:val="16"/>
              </w:rPr>
              <w:t>Grade 4</w:t>
            </w:r>
          </w:p>
        </w:tc>
        <w:tc>
          <w:tcPr>
            <w:tcW w:w="833" w:type="pct"/>
          </w:tcPr>
          <w:p w14:paraId="5C0EC960" w14:textId="383F3CC6" w:rsidR="00D22450" w:rsidRPr="00210AC6" w:rsidRDefault="00D22450" w:rsidP="00D22450">
            <w:pPr>
              <w:rPr>
                <w:rFonts w:cs="Arial"/>
                <w:szCs w:val="16"/>
              </w:rPr>
            </w:pPr>
            <w:r w:rsidRPr="00210AC6">
              <w:rPr>
                <w:rFonts w:cs="Arial"/>
                <w:szCs w:val="16"/>
              </w:rPr>
              <w:t>85%</w:t>
            </w:r>
          </w:p>
        </w:tc>
        <w:tc>
          <w:tcPr>
            <w:tcW w:w="833" w:type="pct"/>
          </w:tcPr>
          <w:p w14:paraId="3E5057E5" w14:textId="74D3F3A3" w:rsidR="00D22450" w:rsidRPr="00210AC6" w:rsidRDefault="00D22450" w:rsidP="00D22450">
            <w:pPr>
              <w:rPr>
                <w:rFonts w:cs="Arial"/>
                <w:szCs w:val="16"/>
              </w:rPr>
            </w:pPr>
            <w:r w:rsidRPr="00210AC6">
              <w:rPr>
                <w:rFonts w:cs="Arial"/>
                <w:szCs w:val="16"/>
              </w:rPr>
              <w:t>1</w:t>
            </w:r>
          </w:p>
        </w:tc>
      </w:tr>
      <w:tr w:rsidR="00D22450" w:rsidRPr="00210AC6" w14:paraId="558A8BBA" w14:textId="77777777" w:rsidTr="00D4744F">
        <w:tc>
          <w:tcPr>
            <w:tcW w:w="2500" w:type="pct"/>
          </w:tcPr>
          <w:p w14:paraId="1F4FB032" w14:textId="61F41359" w:rsidR="00D22450" w:rsidRPr="00210AC6" w:rsidRDefault="00D22450" w:rsidP="00D22450">
            <w:pPr>
              <w:rPr>
                <w:rFonts w:cs="Arial"/>
                <w:b/>
                <w:bCs/>
                <w:szCs w:val="16"/>
              </w:rPr>
            </w:pPr>
            <w:r w:rsidRPr="00210AC6">
              <w:rPr>
                <w:rFonts w:cs="Arial"/>
                <w:b/>
                <w:bCs/>
                <w:szCs w:val="16"/>
              </w:rPr>
              <w:t>Percentage of Children with Disabilities Scoring at Basic or Above on the National Assessment of Educational Progress</w:t>
            </w:r>
          </w:p>
        </w:tc>
        <w:tc>
          <w:tcPr>
            <w:tcW w:w="833" w:type="pct"/>
          </w:tcPr>
          <w:p w14:paraId="0C71CEB5" w14:textId="19CCB39A" w:rsidR="00D22450" w:rsidRPr="00210AC6" w:rsidRDefault="00D22450" w:rsidP="00D22450">
            <w:pPr>
              <w:jc w:val="center"/>
              <w:rPr>
                <w:rFonts w:cs="Arial"/>
                <w:szCs w:val="16"/>
              </w:rPr>
            </w:pPr>
            <w:r>
              <w:rPr>
                <w:rFonts w:cs="Arial"/>
                <w:szCs w:val="16"/>
              </w:rPr>
              <w:t>Grade 8</w:t>
            </w:r>
          </w:p>
        </w:tc>
        <w:tc>
          <w:tcPr>
            <w:tcW w:w="833" w:type="pct"/>
          </w:tcPr>
          <w:p w14:paraId="4F273831" w14:textId="66CE1E6B" w:rsidR="00D22450" w:rsidRPr="00210AC6" w:rsidRDefault="00D22450" w:rsidP="00D22450">
            <w:pPr>
              <w:rPr>
                <w:rFonts w:cs="Arial"/>
                <w:szCs w:val="16"/>
              </w:rPr>
            </w:pPr>
            <w:r w:rsidRPr="00210AC6">
              <w:rPr>
                <w:rFonts w:cs="Arial"/>
                <w:szCs w:val="16"/>
              </w:rPr>
              <w:t>22%</w:t>
            </w:r>
          </w:p>
        </w:tc>
        <w:tc>
          <w:tcPr>
            <w:tcW w:w="833" w:type="pct"/>
          </w:tcPr>
          <w:p w14:paraId="2EA39B53" w14:textId="06051205" w:rsidR="00D22450" w:rsidRPr="00210AC6" w:rsidRDefault="00D22450" w:rsidP="00D22450">
            <w:pPr>
              <w:rPr>
                <w:rFonts w:cs="Arial"/>
                <w:szCs w:val="16"/>
              </w:rPr>
            </w:pPr>
            <w:r w:rsidRPr="00210AC6">
              <w:rPr>
                <w:rFonts w:cs="Arial"/>
                <w:szCs w:val="16"/>
              </w:rPr>
              <w:t>0</w:t>
            </w:r>
          </w:p>
        </w:tc>
      </w:tr>
      <w:tr w:rsidR="00D22450" w:rsidRPr="00210AC6" w14:paraId="13947FC1" w14:textId="77777777" w:rsidTr="00D4744F">
        <w:tc>
          <w:tcPr>
            <w:tcW w:w="2500" w:type="pct"/>
          </w:tcPr>
          <w:p w14:paraId="3F1F50D6" w14:textId="6B972482" w:rsidR="00D22450" w:rsidRPr="00210AC6" w:rsidRDefault="00D22450" w:rsidP="00D22450">
            <w:pPr>
              <w:rPr>
                <w:rFonts w:cs="Arial"/>
                <w:b/>
                <w:bCs/>
                <w:szCs w:val="16"/>
              </w:rPr>
            </w:pPr>
            <w:r w:rsidRPr="00210AC6">
              <w:rPr>
                <w:rFonts w:cs="Arial"/>
                <w:b/>
                <w:bCs/>
                <w:szCs w:val="16"/>
              </w:rPr>
              <w:t>Percentage of Children with Disabilities Included in Testing on the National Assessment of Educational Progress</w:t>
            </w:r>
          </w:p>
        </w:tc>
        <w:tc>
          <w:tcPr>
            <w:tcW w:w="833" w:type="pct"/>
          </w:tcPr>
          <w:p w14:paraId="60249906" w14:textId="1501E8A4" w:rsidR="00D22450" w:rsidRPr="00210AC6" w:rsidRDefault="00D22450" w:rsidP="00D22450">
            <w:pPr>
              <w:jc w:val="center"/>
              <w:rPr>
                <w:rFonts w:cs="Arial"/>
                <w:szCs w:val="16"/>
              </w:rPr>
            </w:pPr>
            <w:r>
              <w:rPr>
                <w:rFonts w:cs="Arial"/>
                <w:szCs w:val="16"/>
              </w:rPr>
              <w:t>Grade 8</w:t>
            </w:r>
          </w:p>
        </w:tc>
        <w:tc>
          <w:tcPr>
            <w:tcW w:w="833" w:type="pct"/>
          </w:tcPr>
          <w:p w14:paraId="2F6CFBA8" w14:textId="0513B572" w:rsidR="00D22450" w:rsidRPr="00210AC6" w:rsidRDefault="00D22450" w:rsidP="00D22450">
            <w:pPr>
              <w:rPr>
                <w:rFonts w:cs="Arial"/>
                <w:szCs w:val="16"/>
              </w:rPr>
            </w:pPr>
            <w:r w:rsidRPr="00210AC6">
              <w:rPr>
                <w:rFonts w:cs="Arial"/>
                <w:szCs w:val="16"/>
              </w:rPr>
              <w:t>89%</w:t>
            </w:r>
          </w:p>
        </w:tc>
        <w:tc>
          <w:tcPr>
            <w:tcW w:w="833" w:type="pct"/>
          </w:tcPr>
          <w:p w14:paraId="02FF34AD" w14:textId="55F2DC29" w:rsidR="00D22450" w:rsidRPr="00210AC6" w:rsidRDefault="00D22450" w:rsidP="00D22450">
            <w:pPr>
              <w:rPr>
                <w:rFonts w:cs="Arial"/>
                <w:szCs w:val="16"/>
              </w:rPr>
            </w:pPr>
            <w:r w:rsidRPr="00210AC6">
              <w:rPr>
                <w:rFonts w:cs="Arial"/>
                <w:szCs w:val="16"/>
              </w:rPr>
              <w:t>1</w:t>
            </w:r>
          </w:p>
        </w:tc>
      </w:tr>
    </w:tbl>
    <w:bookmarkEnd w:id="101"/>
    <w:p w14:paraId="07CD2882" w14:textId="6892BE17" w:rsidR="00353EB1" w:rsidRDefault="00395B6C" w:rsidP="00BE0EEF">
      <w:pPr>
        <w:rPr>
          <w:rFonts w:cs="Arial"/>
          <w:b/>
          <w:bCs/>
          <w:szCs w:val="16"/>
        </w:rPr>
      </w:pPr>
      <w:r w:rsidRPr="00395B6C">
        <w:rPr>
          <w:rFonts w:cs="Arial"/>
          <w:b/>
          <w:bCs/>
          <w:szCs w:val="16"/>
        </w:rPr>
        <w:t>Math Assessment Elements</w:t>
      </w:r>
    </w:p>
    <w:tbl>
      <w:tblPr>
        <w:tblStyle w:val="TableGrid1"/>
        <w:tblW w:w="5000" w:type="pct"/>
        <w:tblLayout w:type="fixed"/>
        <w:tblLook w:val="04A0" w:firstRow="1" w:lastRow="0" w:firstColumn="1" w:lastColumn="0" w:noHBand="0" w:noVBand="1"/>
        <w:tblCaption w:val="BMTHENNSRSTCFFY"/>
      </w:tblPr>
      <w:tblGrid>
        <w:gridCol w:w="5396"/>
        <w:gridCol w:w="1798"/>
        <w:gridCol w:w="1798"/>
        <w:gridCol w:w="1798"/>
      </w:tblGrid>
      <w:tr w:rsidR="00440D29" w:rsidRPr="00210AC6" w14:paraId="469D669E" w14:textId="77777777" w:rsidTr="00440D29">
        <w:trPr>
          <w:tblHeader/>
        </w:trPr>
        <w:tc>
          <w:tcPr>
            <w:tcW w:w="2500" w:type="pct"/>
          </w:tcPr>
          <w:p w14:paraId="6D4794B6" w14:textId="77777777" w:rsidR="00440D29" w:rsidRPr="00210AC6" w:rsidRDefault="00440D29" w:rsidP="00EE6889">
            <w:pPr>
              <w:rPr>
                <w:rFonts w:cs="Arial"/>
                <w:b/>
                <w:bCs/>
                <w:szCs w:val="16"/>
              </w:rPr>
            </w:pPr>
            <w:r w:rsidRPr="00210AC6">
              <w:rPr>
                <w:rFonts w:cs="Arial"/>
                <w:b/>
                <w:bCs/>
                <w:szCs w:val="16"/>
              </w:rPr>
              <w:t>Math Assessment Elements</w:t>
            </w:r>
          </w:p>
        </w:tc>
        <w:tc>
          <w:tcPr>
            <w:tcW w:w="833" w:type="pct"/>
          </w:tcPr>
          <w:p w14:paraId="7ED216ED" w14:textId="543B82C9" w:rsidR="00440D29" w:rsidRPr="00210AC6" w:rsidRDefault="00440D29" w:rsidP="00440D29">
            <w:pPr>
              <w:jc w:val="center"/>
              <w:rPr>
                <w:rFonts w:cs="Arial"/>
                <w:b/>
                <w:bCs/>
                <w:szCs w:val="16"/>
              </w:rPr>
            </w:pPr>
            <w:r>
              <w:rPr>
                <w:rFonts w:cs="Arial"/>
                <w:b/>
                <w:bCs/>
                <w:szCs w:val="16"/>
              </w:rPr>
              <w:t>Grade</w:t>
            </w:r>
          </w:p>
        </w:tc>
        <w:tc>
          <w:tcPr>
            <w:tcW w:w="833" w:type="pct"/>
          </w:tcPr>
          <w:p w14:paraId="6E210526" w14:textId="3C0DF739" w:rsidR="00440D29" w:rsidRPr="00210AC6" w:rsidRDefault="00440D29" w:rsidP="00EE6889">
            <w:pPr>
              <w:rPr>
                <w:rFonts w:cs="Arial"/>
                <w:b/>
                <w:bCs/>
                <w:szCs w:val="16"/>
              </w:rPr>
            </w:pPr>
            <w:r w:rsidRPr="00210AC6">
              <w:rPr>
                <w:rFonts w:cs="Arial"/>
                <w:b/>
                <w:bCs/>
                <w:szCs w:val="16"/>
              </w:rPr>
              <w:t>Performance (%)</w:t>
            </w:r>
          </w:p>
        </w:tc>
        <w:tc>
          <w:tcPr>
            <w:tcW w:w="833" w:type="pct"/>
          </w:tcPr>
          <w:p w14:paraId="03CF668A" w14:textId="77777777" w:rsidR="00440D29" w:rsidRPr="00210AC6" w:rsidRDefault="00440D29" w:rsidP="00EE6889">
            <w:pPr>
              <w:rPr>
                <w:rFonts w:cs="Arial"/>
                <w:b/>
                <w:bCs/>
                <w:szCs w:val="16"/>
              </w:rPr>
            </w:pPr>
            <w:r w:rsidRPr="00210AC6">
              <w:rPr>
                <w:rFonts w:cs="Arial"/>
                <w:b/>
                <w:bCs/>
                <w:szCs w:val="16"/>
              </w:rPr>
              <w:t>Score</w:t>
            </w:r>
          </w:p>
        </w:tc>
      </w:tr>
      <w:tr w:rsidR="00440D29" w:rsidRPr="00210AC6" w14:paraId="715F4C9D" w14:textId="77777777" w:rsidTr="00440D29">
        <w:tc>
          <w:tcPr>
            <w:tcW w:w="2500" w:type="pct"/>
          </w:tcPr>
          <w:p w14:paraId="1318C25B" w14:textId="38FE7F21" w:rsidR="00440D29" w:rsidRPr="00210AC6" w:rsidRDefault="00440D29" w:rsidP="00440D29">
            <w:pPr>
              <w:rPr>
                <w:rFonts w:cs="Arial"/>
                <w:b/>
                <w:bCs/>
                <w:szCs w:val="16"/>
              </w:rPr>
            </w:pPr>
            <w:r w:rsidRPr="002C44AD">
              <w:rPr>
                <w:b/>
                <w:bCs/>
              </w:rPr>
              <w:t>Percentage of</w:t>
            </w:r>
            <w:r>
              <w:rPr>
                <w:b/>
                <w:bCs/>
              </w:rPr>
              <w:t xml:space="preserve"> </w:t>
            </w:r>
            <w:r w:rsidRPr="002C44AD">
              <w:rPr>
                <w:b/>
                <w:bCs/>
              </w:rPr>
              <w:t>Children with Disabilities Participating in Statewide Assessment</w:t>
            </w:r>
          </w:p>
        </w:tc>
        <w:tc>
          <w:tcPr>
            <w:tcW w:w="833" w:type="pct"/>
            <w:vAlign w:val="center"/>
          </w:tcPr>
          <w:p w14:paraId="37E4E49E" w14:textId="14DC7757" w:rsidR="00440D29" w:rsidRPr="00210AC6" w:rsidRDefault="00440D29" w:rsidP="00440D29">
            <w:pPr>
              <w:jc w:val="center"/>
              <w:rPr>
                <w:rFonts w:cs="Arial"/>
                <w:szCs w:val="16"/>
              </w:rPr>
            </w:pPr>
            <w:r w:rsidRPr="00781112">
              <w:rPr>
                <w:rFonts w:cs="Arial"/>
                <w:color w:val="000000" w:themeColor="text1"/>
                <w:szCs w:val="16"/>
              </w:rPr>
              <w:t>Grade 4</w:t>
            </w:r>
          </w:p>
        </w:tc>
        <w:tc>
          <w:tcPr>
            <w:tcW w:w="833" w:type="pct"/>
          </w:tcPr>
          <w:p w14:paraId="632346C8" w14:textId="1B261955" w:rsidR="00440D29" w:rsidRPr="008B60AB" w:rsidRDefault="008B60AB" w:rsidP="008B60AB">
            <w:pPr>
              <w:rPr>
                <w:rFonts w:cs="Arial"/>
                <w:color w:val="000000"/>
                <w:szCs w:val="16"/>
              </w:rPr>
            </w:pPr>
            <w:r>
              <w:rPr>
                <w:rFonts w:cs="Arial"/>
                <w:color w:val="000000"/>
                <w:szCs w:val="16"/>
              </w:rPr>
              <w:t>85%</w:t>
            </w:r>
          </w:p>
        </w:tc>
        <w:tc>
          <w:tcPr>
            <w:tcW w:w="833" w:type="pct"/>
          </w:tcPr>
          <w:p w14:paraId="5B5F4823" w14:textId="18B28AF7" w:rsidR="00440D29" w:rsidRPr="008B60AB" w:rsidRDefault="008B60AB" w:rsidP="008B60AB">
            <w:pPr>
              <w:rPr>
                <w:rFonts w:cs="Arial"/>
                <w:color w:val="000000"/>
                <w:szCs w:val="16"/>
              </w:rPr>
            </w:pPr>
            <w:r>
              <w:rPr>
                <w:rFonts w:cs="Arial"/>
                <w:color w:val="000000"/>
                <w:szCs w:val="16"/>
              </w:rPr>
              <w:t>0</w:t>
            </w:r>
          </w:p>
        </w:tc>
      </w:tr>
      <w:tr w:rsidR="00440D29" w:rsidRPr="00210AC6" w14:paraId="2E5CAE5E" w14:textId="77777777" w:rsidTr="00440D29">
        <w:tc>
          <w:tcPr>
            <w:tcW w:w="2500" w:type="pct"/>
          </w:tcPr>
          <w:p w14:paraId="700B246F" w14:textId="165FD62E" w:rsidR="00440D29" w:rsidRPr="00210AC6" w:rsidRDefault="00440D29" w:rsidP="00440D29">
            <w:pPr>
              <w:rPr>
                <w:rFonts w:cs="Arial"/>
                <w:b/>
                <w:bCs/>
                <w:szCs w:val="16"/>
              </w:rPr>
            </w:pPr>
            <w:r w:rsidRPr="002C44AD">
              <w:rPr>
                <w:b/>
                <w:bCs/>
              </w:rPr>
              <w:t>Percentage of Children with Disabilities Participating in Statewide Assessment</w:t>
            </w:r>
          </w:p>
        </w:tc>
        <w:tc>
          <w:tcPr>
            <w:tcW w:w="833" w:type="pct"/>
            <w:vAlign w:val="center"/>
          </w:tcPr>
          <w:p w14:paraId="7681AAD6" w14:textId="34BF400B" w:rsidR="00440D29" w:rsidRPr="00210AC6" w:rsidRDefault="00440D29" w:rsidP="00440D29">
            <w:pPr>
              <w:jc w:val="center"/>
              <w:rPr>
                <w:rFonts w:cs="Arial"/>
                <w:szCs w:val="16"/>
              </w:rPr>
            </w:pPr>
            <w:r w:rsidRPr="00781112">
              <w:rPr>
                <w:rFonts w:cs="Arial"/>
                <w:color w:val="000000" w:themeColor="text1"/>
                <w:szCs w:val="16"/>
              </w:rPr>
              <w:t>Grade 8</w:t>
            </w:r>
          </w:p>
        </w:tc>
        <w:tc>
          <w:tcPr>
            <w:tcW w:w="833" w:type="pct"/>
          </w:tcPr>
          <w:p w14:paraId="6783BEF6" w14:textId="7046E174" w:rsidR="00440D29" w:rsidRPr="008B60AB" w:rsidRDefault="008B60AB" w:rsidP="008B60AB">
            <w:pPr>
              <w:rPr>
                <w:rFonts w:cs="Arial"/>
                <w:color w:val="000000"/>
                <w:szCs w:val="16"/>
              </w:rPr>
            </w:pPr>
            <w:r>
              <w:rPr>
                <w:rFonts w:cs="Arial"/>
                <w:color w:val="000000"/>
                <w:szCs w:val="16"/>
              </w:rPr>
              <w:t>74%</w:t>
            </w:r>
          </w:p>
        </w:tc>
        <w:tc>
          <w:tcPr>
            <w:tcW w:w="833" w:type="pct"/>
          </w:tcPr>
          <w:p w14:paraId="4441E0DF" w14:textId="04D150FC" w:rsidR="00440D29" w:rsidRPr="008B60AB" w:rsidRDefault="008B60AB" w:rsidP="008B60AB">
            <w:pPr>
              <w:rPr>
                <w:rFonts w:cs="Arial"/>
                <w:color w:val="000000"/>
                <w:szCs w:val="16"/>
              </w:rPr>
            </w:pPr>
            <w:r>
              <w:rPr>
                <w:rFonts w:cs="Arial"/>
                <w:color w:val="000000"/>
                <w:szCs w:val="16"/>
              </w:rPr>
              <w:t>0</w:t>
            </w:r>
          </w:p>
        </w:tc>
      </w:tr>
      <w:tr w:rsidR="00440D29" w:rsidRPr="00210AC6" w14:paraId="6ACA5C8B" w14:textId="77777777" w:rsidTr="00440D29">
        <w:tc>
          <w:tcPr>
            <w:tcW w:w="2500" w:type="pct"/>
          </w:tcPr>
          <w:p w14:paraId="178F722C" w14:textId="0D5B0680" w:rsidR="00440D29" w:rsidRPr="00210AC6" w:rsidRDefault="00440D29" w:rsidP="00440D29">
            <w:pPr>
              <w:rPr>
                <w:rFonts w:cs="Arial"/>
                <w:b/>
                <w:bCs/>
                <w:szCs w:val="16"/>
              </w:rPr>
            </w:pPr>
            <w:r w:rsidRPr="00210AC6">
              <w:rPr>
                <w:rFonts w:cs="Arial"/>
                <w:b/>
                <w:bCs/>
                <w:szCs w:val="16"/>
              </w:rPr>
              <w:t>Percentage of Children with Disabilities Scoring at Basic or Above on the National Assessment of Educational Progress</w:t>
            </w:r>
          </w:p>
        </w:tc>
        <w:tc>
          <w:tcPr>
            <w:tcW w:w="833" w:type="pct"/>
          </w:tcPr>
          <w:p w14:paraId="78046286" w14:textId="747F942D" w:rsidR="00440D29" w:rsidRPr="00210AC6" w:rsidRDefault="00440D29" w:rsidP="00440D29">
            <w:pPr>
              <w:jc w:val="center"/>
              <w:rPr>
                <w:rFonts w:cs="Arial"/>
                <w:szCs w:val="16"/>
              </w:rPr>
            </w:pPr>
            <w:r>
              <w:rPr>
                <w:rFonts w:cs="Arial"/>
                <w:szCs w:val="16"/>
              </w:rPr>
              <w:t>Grade 4</w:t>
            </w:r>
          </w:p>
        </w:tc>
        <w:tc>
          <w:tcPr>
            <w:tcW w:w="833" w:type="pct"/>
          </w:tcPr>
          <w:p w14:paraId="751BB010" w14:textId="0F923B94" w:rsidR="00440D29" w:rsidRPr="00210AC6" w:rsidRDefault="00440D29" w:rsidP="00440D29">
            <w:pPr>
              <w:rPr>
                <w:rFonts w:cs="Arial"/>
                <w:szCs w:val="16"/>
              </w:rPr>
            </w:pPr>
            <w:r w:rsidRPr="00210AC6">
              <w:rPr>
                <w:rFonts w:cs="Arial"/>
                <w:szCs w:val="16"/>
              </w:rPr>
              <w:t>42%</w:t>
            </w:r>
          </w:p>
        </w:tc>
        <w:tc>
          <w:tcPr>
            <w:tcW w:w="833" w:type="pct"/>
          </w:tcPr>
          <w:p w14:paraId="423E4ADA" w14:textId="0CADE31A" w:rsidR="00440D29" w:rsidRPr="00210AC6" w:rsidRDefault="00440D29" w:rsidP="00440D29">
            <w:pPr>
              <w:rPr>
                <w:rFonts w:cs="Arial"/>
                <w:szCs w:val="16"/>
              </w:rPr>
            </w:pPr>
            <w:r w:rsidRPr="00210AC6">
              <w:rPr>
                <w:rFonts w:cs="Arial"/>
                <w:szCs w:val="16"/>
              </w:rPr>
              <w:t>1</w:t>
            </w:r>
          </w:p>
        </w:tc>
      </w:tr>
      <w:tr w:rsidR="00440D29" w:rsidRPr="00210AC6" w14:paraId="3940F80A" w14:textId="77777777" w:rsidTr="00440D29">
        <w:tc>
          <w:tcPr>
            <w:tcW w:w="2500" w:type="pct"/>
          </w:tcPr>
          <w:p w14:paraId="704D280B" w14:textId="7815100C" w:rsidR="00440D29" w:rsidRPr="00210AC6" w:rsidRDefault="00440D29" w:rsidP="00440D29">
            <w:pPr>
              <w:rPr>
                <w:rFonts w:cs="Arial"/>
                <w:b/>
                <w:bCs/>
                <w:szCs w:val="16"/>
              </w:rPr>
            </w:pPr>
            <w:r w:rsidRPr="00210AC6">
              <w:rPr>
                <w:rFonts w:cs="Arial"/>
                <w:b/>
                <w:bCs/>
                <w:szCs w:val="16"/>
              </w:rPr>
              <w:t>Percentage of Children with Disabilities Included in Testing on the National Assessment of Educational Progress</w:t>
            </w:r>
          </w:p>
        </w:tc>
        <w:tc>
          <w:tcPr>
            <w:tcW w:w="833" w:type="pct"/>
          </w:tcPr>
          <w:p w14:paraId="71E0215C" w14:textId="5D647AFB" w:rsidR="00440D29" w:rsidRPr="00210AC6" w:rsidRDefault="00440D29" w:rsidP="00440D29">
            <w:pPr>
              <w:jc w:val="center"/>
              <w:rPr>
                <w:rFonts w:cs="Arial"/>
                <w:szCs w:val="16"/>
              </w:rPr>
            </w:pPr>
            <w:r>
              <w:rPr>
                <w:rFonts w:cs="Arial"/>
                <w:szCs w:val="16"/>
              </w:rPr>
              <w:t>Grade 4</w:t>
            </w:r>
          </w:p>
        </w:tc>
        <w:tc>
          <w:tcPr>
            <w:tcW w:w="833" w:type="pct"/>
          </w:tcPr>
          <w:p w14:paraId="5B062F65" w14:textId="5B449A4B" w:rsidR="00440D29" w:rsidRPr="00210AC6" w:rsidRDefault="00440D29" w:rsidP="00440D29">
            <w:pPr>
              <w:rPr>
                <w:rFonts w:cs="Arial"/>
                <w:szCs w:val="16"/>
              </w:rPr>
            </w:pPr>
            <w:r w:rsidRPr="00210AC6">
              <w:rPr>
                <w:rFonts w:cs="Arial"/>
                <w:szCs w:val="16"/>
              </w:rPr>
              <w:t>91%</w:t>
            </w:r>
          </w:p>
        </w:tc>
        <w:tc>
          <w:tcPr>
            <w:tcW w:w="833" w:type="pct"/>
          </w:tcPr>
          <w:p w14:paraId="17552A35" w14:textId="1A894F87" w:rsidR="00440D29" w:rsidRPr="00210AC6" w:rsidRDefault="00440D29" w:rsidP="00440D29">
            <w:pPr>
              <w:rPr>
                <w:rFonts w:cs="Arial"/>
                <w:szCs w:val="16"/>
              </w:rPr>
            </w:pPr>
            <w:r w:rsidRPr="00210AC6">
              <w:rPr>
                <w:rFonts w:cs="Arial"/>
                <w:szCs w:val="16"/>
              </w:rPr>
              <w:t>1</w:t>
            </w:r>
          </w:p>
        </w:tc>
      </w:tr>
      <w:tr w:rsidR="00440D29" w:rsidRPr="00210AC6" w14:paraId="3328409B" w14:textId="77777777" w:rsidTr="00440D29">
        <w:tc>
          <w:tcPr>
            <w:tcW w:w="2500" w:type="pct"/>
          </w:tcPr>
          <w:p w14:paraId="0C7867BC" w14:textId="5B159B5D" w:rsidR="00440D29" w:rsidRPr="00210AC6" w:rsidRDefault="00440D29" w:rsidP="00440D29">
            <w:pPr>
              <w:rPr>
                <w:rFonts w:cs="Arial"/>
                <w:b/>
                <w:bCs/>
                <w:szCs w:val="16"/>
              </w:rPr>
            </w:pPr>
            <w:r w:rsidRPr="00210AC6">
              <w:rPr>
                <w:rFonts w:cs="Arial"/>
                <w:b/>
                <w:bCs/>
                <w:szCs w:val="16"/>
              </w:rPr>
              <w:t>Percentage of Children with Disabilities Scoring at Basic or Above on the National Assessment of Educational Progress</w:t>
            </w:r>
          </w:p>
        </w:tc>
        <w:tc>
          <w:tcPr>
            <w:tcW w:w="833" w:type="pct"/>
          </w:tcPr>
          <w:p w14:paraId="6BF8F1DF" w14:textId="72CEDA1A" w:rsidR="00440D29" w:rsidRPr="00210AC6" w:rsidRDefault="00440D29" w:rsidP="00440D29">
            <w:pPr>
              <w:jc w:val="center"/>
              <w:rPr>
                <w:rFonts w:cs="Arial"/>
                <w:szCs w:val="16"/>
              </w:rPr>
            </w:pPr>
            <w:r>
              <w:rPr>
                <w:rFonts w:cs="Arial"/>
                <w:szCs w:val="16"/>
              </w:rPr>
              <w:t>Grade 8</w:t>
            </w:r>
          </w:p>
        </w:tc>
        <w:tc>
          <w:tcPr>
            <w:tcW w:w="833" w:type="pct"/>
          </w:tcPr>
          <w:p w14:paraId="02305172" w14:textId="3E6CB8C3" w:rsidR="00440D29" w:rsidRPr="00210AC6" w:rsidRDefault="00440D29" w:rsidP="00440D29">
            <w:pPr>
              <w:rPr>
                <w:rFonts w:cs="Arial"/>
                <w:szCs w:val="16"/>
              </w:rPr>
            </w:pPr>
            <w:r w:rsidRPr="00210AC6">
              <w:rPr>
                <w:rFonts w:cs="Arial"/>
                <w:szCs w:val="16"/>
              </w:rPr>
              <w:t>17%</w:t>
            </w:r>
          </w:p>
        </w:tc>
        <w:tc>
          <w:tcPr>
            <w:tcW w:w="833" w:type="pct"/>
          </w:tcPr>
          <w:p w14:paraId="12B13418" w14:textId="014DA8D1" w:rsidR="00440D29" w:rsidRPr="00210AC6" w:rsidRDefault="00440D29" w:rsidP="00440D29">
            <w:pPr>
              <w:rPr>
                <w:rFonts w:cs="Arial"/>
                <w:szCs w:val="16"/>
              </w:rPr>
            </w:pPr>
            <w:r w:rsidRPr="00210AC6">
              <w:rPr>
                <w:rFonts w:cs="Arial"/>
                <w:szCs w:val="16"/>
              </w:rPr>
              <w:t>0</w:t>
            </w:r>
          </w:p>
        </w:tc>
      </w:tr>
      <w:tr w:rsidR="00440D29" w:rsidRPr="00210AC6" w14:paraId="7EE431B9" w14:textId="77777777" w:rsidTr="00440D29">
        <w:tc>
          <w:tcPr>
            <w:tcW w:w="2500" w:type="pct"/>
          </w:tcPr>
          <w:p w14:paraId="2A435A85" w14:textId="66F61420" w:rsidR="00440D29" w:rsidRPr="00210AC6" w:rsidRDefault="00440D29" w:rsidP="00440D29">
            <w:pPr>
              <w:rPr>
                <w:rFonts w:cs="Arial"/>
                <w:b/>
                <w:bCs/>
                <w:szCs w:val="16"/>
              </w:rPr>
            </w:pPr>
            <w:r w:rsidRPr="00210AC6">
              <w:rPr>
                <w:rFonts w:cs="Arial"/>
                <w:b/>
                <w:bCs/>
                <w:szCs w:val="16"/>
              </w:rPr>
              <w:t>Percentage of Children with Disabilities Included in Testing on the National Assessment of Educational Progress</w:t>
            </w:r>
          </w:p>
        </w:tc>
        <w:tc>
          <w:tcPr>
            <w:tcW w:w="833" w:type="pct"/>
          </w:tcPr>
          <w:p w14:paraId="39C0FB25" w14:textId="04921F5F" w:rsidR="00440D29" w:rsidRPr="00210AC6" w:rsidRDefault="00440D29" w:rsidP="00440D29">
            <w:pPr>
              <w:jc w:val="center"/>
              <w:rPr>
                <w:rFonts w:cs="Arial"/>
                <w:szCs w:val="16"/>
              </w:rPr>
            </w:pPr>
            <w:r>
              <w:rPr>
                <w:rFonts w:cs="Arial"/>
                <w:szCs w:val="16"/>
              </w:rPr>
              <w:t>Grade 8</w:t>
            </w:r>
          </w:p>
        </w:tc>
        <w:tc>
          <w:tcPr>
            <w:tcW w:w="833" w:type="pct"/>
          </w:tcPr>
          <w:p w14:paraId="74F45C7B" w14:textId="4863DA78" w:rsidR="00440D29" w:rsidRPr="00210AC6" w:rsidRDefault="00440D29" w:rsidP="00440D29">
            <w:pPr>
              <w:rPr>
                <w:rFonts w:cs="Arial"/>
                <w:szCs w:val="16"/>
              </w:rPr>
            </w:pPr>
            <w:r w:rsidRPr="00210AC6">
              <w:rPr>
                <w:rFonts w:cs="Arial"/>
                <w:szCs w:val="16"/>
              </w:rPr>
              <w:t>90%</w:t>
            </w:r>
          </w:p>
        </w:tc>
        <w:tc>
          <w:tcPr>
            <w:tcW w:w="833" w:type="pct"/>
          </w:tcPr>
          <w:p w14:paraId="5D8CD56A" w14:textId="372C2AD5" w:rsidR="00440D29" w:rsidRPr="00210AC6" w:rsidRDefault="00440D29" w:rsidP="00440D29">
            <w:pPr>
              <w:rPr>
                <w:rFonts w:cs="Arial"/>
                <w:szCs w:val="16"/>
              </w:rPr>
            </w:pPr>
            <w:r w:rsidRPr="00210AC6">
              <w:rPr>
                <w:rFonts w:cs="Arial"/>
                <w:szCs w:val="16"/>
              </w:rPr>
              <w:t>1</w:t>
            </w:r>
          </w:p>
        </w:tc>
      </w:tr>
    </w:tbl>
    <w:p w14:paraId="64D285D9" w14:textId="0C057F27" w:rsidR="00562B2C" w:rsidRPr="00372273" w:rsidRDefault="00562B2C" w:rsidP="00562B2C">
      <w:pPr>
        <w:rPr>
          <w:b/>
          <w:bCs/>
          <w:color w:val="000000" w:themeColor="text1"/>
        </w:rPr>
      </w:pPr>
      <w:r w:rsidRPr="00372273">
        <w:rPr>
          <w:b/>
          <w:bCs/>
          <w:color w:val="000000" w:themeColor="text1"/>
        </w:rPr>
        <w:t>(</w:t>
      </w:r>
      <w:r>
        <w:rPr>
          <w:b/>
          <w:bCs/>
          <w:color w:val="000000" w:themeColor="text1"/>
        </w:rPr>
        <w:t>2</w:t>
      </w:r>
      <w:r w:rsidRPr="00372273">
        <w:rPr>
          <w:b/>
          <w:bCs/>
          <w:color w:val="000000" w:themeColor="text1"/>
        </w:rPr>
        <w:t xml:space="preserve">) </w:t>
      </w:r>
      <w:r>
        <w:rPr>
          <w:b/>
          <w:bCs/>
          <w:color w:val="000000" w:themeColor="text1"/>
        </w:rPr>
        <w:t>Statewide assessments include the regular assessment and the alternate assessment.</w:t>
      </w:r>
    </w:p>
    <w:p w14:paraId="26B2A12B" w14:textId="1B0A42CF" w:rsidR="00570930" w:rsidRPr="0007196B" w:rsidRDefault="00570930">
      <w:pPr>
        <w:spacing w:before="0" w:after="200" w:line="276" w:lineRule="auto"/>
        <w:rPr>
          <w:rFonts w:cs="Arial"/>
          <w:b/>
          <w:bCs/>
          <w:szCs w:val="16"/>
        </w:rPr>
      </w:pPr>
      <w:r w:rsidRPr="0007196B">
        <w:rPr>
          <w:rFonts w:cs="Arial"/>
          <w:b/>
          <w:bCs/>
          <w:szCs w:val="16"/>
        </w:rPr>
        <w:br w:type="page"/>
      </w:r>
    </w:p>
    <w:p w14:paraId="575750B6" w14:textId="01189256" w:rsidR="004613BA" w:rsidRDefault="00BE0EEF" w:rsidP="00BE0EEF">
      <w:pPr>
        <w:rPr>
          <w:rFonts w:cs="Arial"/>
          <w:b/>
          <w:bCs/>
          <w:szCs w:val="16"/>
        </w:rPr>
      </w:pPr>
      <w:r w:rsidRPr="00210AC6">
        <w:rPr>
          <w:rFonts w:cs="Arial"/>
          <w:b/>
          <w:bCs/>
          <w:szCs w:val="16"/>
        </w:rPr>
        <w:lastRenderedPageBreak/>
        <w:t>Exiting Data Elements</w:t>
      </w:r>
    </w:p>
    <w:tbl>
      <w:tblPr>
        <w:tblStyle w:val="TableGrid1"/>
        <w:tblW w:w="5000" w:type="pct"/>
        <w:tblLook w:val="04A0" w:firstRow="1" w:lastRow="0" w:firstColumn="1" w:lastColumn="0" w:noHBand="0" w:noVBand="1"/>
        <w:tblCaption w:val="BENNSRSTCFFYEXIT"/>
      </w:tblPr>
      <w:tblGrid>
        <w:gridCol w:w="4939"/>
        <w:gridCol w:w="2877"/>
        <w:gridCol w:w="2974"/>
      </w:tblGrid>
      <w:tr w:rsidR="0075626F" w14:paraId="7384A561" w14:textId="77777777">
        <w:trPr>
          <w:divId w:val="380713603"/>
          <w:tblHeader/>
        </w:trPr>
        <w:tc>
          <w:tcPr>
            <w:tcW w:w="2289" w:type="pct"/>
            <w:tcBorders>
              <w:top w:val="single" w:sz="4" w:space="0" w:color="auto"/>
              <w:left w:val="single" w:sz="4" w:space="0" w:color="auto"/>
              <w:bottom w:val="single" w:sz="4" w:space="0" w:color="auto"/>
              <w:right w:val="single" w:sz="4" w:space="0" w:color="auto"/>
            </w:tcBorders>
            <w:hideMark/>
          </w:tcPr>
          <w:p w14:paraId="7D74420D" w14:textId="77777777" w:rsidR="0075626F" w:rsidRDefault="0075626F" w:rsidP="0075626F">
            <w:pPr>
              <w:rPr>
                <w:rFonts w:cs="Arial"/>
                <w:b/>
                <w:bCs/>
                <w:szCs w:val="16"/>
              </w:rPr>
            </w:pPr>
            <w:r>
              <w:rPr>
                <w:rFonts w:cs="Arial"/>
                <w:b/>
                <w:bCs/>
                <w:szCs w:val="16"/>
              </w:rPr>
              <w:t>Exiting Data Elements</w:t>
            </w:r>
          </w:p>
        </w:tc>
        <w:tc>
          <w:tcPr>
            <w:tcW w:w="1333" w:type="pct"/>
            <w:tcBorders>
              <w:top w:val="single" w:sz="4" w:space="0" w:color="auto"/>
              <w:left w:val="single" w:sz="4" w:space="0" w:color="auto"/>
              <w:bottom w:val="single" w:sz="4" w:space="0" w:color="auto"/>
              <w:right w:val="single" w:sz="4" w:space="0" w:color="auto"/>
            </w:tcBorders>
            <w:hideMark/>
          </w:tcPr>
          <w:p w14:paraId="7016EA73" w14:textId="77777777" w:rsidR="0075626F" w:rsidRDefault="0075626F" w:rsidP="0075626F">
            <w:pPr>
              <w:rPr>
                <w:rFonts w:cs="Arial"/>
                <w:b/>
                <w:bCs/>
                <w:szCs w:val="16"/>
              </w:rPr>
            </w:pPr>
            <w:r>
              <w:rPr>
                <w:rFonts w:cs="Arial"/>
                <w:b/>
                <w:bCs/>
                <w:szCs w:val="16"/>
              </w:rPr>
              <w:t>Performance (%)</w:t>
            </w:r>
          </w:p>
        </w:tc>
        <w:tc>
          <w:tcPr>
            <w:tcW w:w="1378" w:type="pct"/>
            <w:tcBorders>
              <w:top w:val="single" w:sz="4" w:space="0" w:color="auto"/>
              <w:left w:val="single" w:sz="4" w:space="0" w:color="auto"/>
              <w:bottom w:val="single" w:sz="4" w:space="0" w:color="auto"/>
              <w:right w:val="single" w:sz="4" w:space="0" w:color="auto"/>
            </w:tcBorders>
            <w:hideMark/>
          </w:tcPr>
          <w:p w14:paraId="3A2D3630" w14:textId="77777777" w:rsidR="0075626F" w:rsidRDefault="0075626F" w:rsidP="0075626F">
            <w:pPr>
              <w:rPr>
                <w:rFonts w:cs="Arial"/>
                <w:b/>
                <w:bCs/>
                <w:szCs w:val="16"/>
              </w:rPr>
            </w:pPr>
            <w:r>
              <w:rPr>
                <w:rFonts w:cs="Arial"/>
                <w:b/>
                <w:bCs/>
                <w:szCs w:val="16"/>
              </w:rPr>
              <w:t>Score</w:t>
            </w:r>
          </w:p>
        </w:tc>
      </w:tr>
      <w:tr w:rsidR="0075626F" w14:paraId="47FF2742" w14:textId="77777777">
        <w:trPr>
          <w:divId w:val="380713603"/>
        </w:trPr>
        <w:tc>
          <w:tcPr>
            <w:tcW w:w="2289" w:type="pct"/>
            <w:tcBorders>
              <w:top w:val="single" w:sz="4" w:space="0" w:color="auto"/>
              <w:left w:val="single" w:sz="4" w:space="0" w:color="auto"/>
              <w:bottom w:val="single" w:sz="4" w:space="0" w:color="auto"/>
              <w:right w:val="single" w:sz="4" w:space="0" w:color="auto"/>
            </w:tcBorders>
            <w:hideMark/>
          </w:tcPr>
          <w:p w14:paraId="42C96131" w14:textId="77777777" w:rsidR="0075626F" w:rsidRDefault="0075626F" w:rsidP="0075626F">
            <w:pPr>
              <w:rPr>
                <w:rFonts w:cs="Arial"/>
                <w:b/>
                <w:bCs/>
                <w:szCs w:val="16"/>
              </w:rPr>
            </w:pPr>
            <w:r>
              <w:rPr>
                <w:rFonts w:cs="Arial"/>
                <w:b/>
                <w:bCs/>
                <w:szCs w:val="16"/>
              </w:rPr>
              <w:t>Percentage of Children with Disabilities who Dropped Out</w:t>
            </w:r>
          </w:p>
        </w:tc>
        <w:tc>
          <w:tcPr>
            <w:tcW w:w="1333" w:type="pct"/>
            <w:tcBorders>
              <w:top w:val="single" w:sz="4" w:space="0" w:color="auto"/>
              <w:left w:val="single" w:sz="4" w:space="0" w:color="auto"/>
              <w:bottom w:val="single" w:sz="4" w:space="0" w:color="auto"/>
              <w:right w:val="single" w:sz="4" w:space="0" w:color="auto"/>
            </w:tcBorders>
            <w:hideMark/>
          </w:tcPr>
          <w:p w14:paraId="42A25E75" w14:textId="77777777" w:rsidR="0075626F" w:rsidRDefault="0075626F" w:rsidP="0075626F">
            <w:pPr>
              <w:rPr>
                <w:rFonts w:cs="Arial"/>
                <w:szCs w:val="16"/>
              </w:rPr>
            </w:pPr>
            <w:r>
              <w:rPr>
                <w:rFonts w:cs="Arial"/>
                <w:szCs w:val="16"/>
              </w:rPr>
              <w:t>19</w:t>
            </w:r>
          </w:p>
        </w:tc>
        <w:tc>
          <w:tcPr>
            <w:tcW w:w="1378" w:type="pct"/>
            <w:tcBorders>
              <w:top w:val="single" w:sz="4" w:space="0" w:color="auto"/>
              <w:left w:val="single" w:sz="4" w:space="0" w:color="auto"/>
              <w:bottom w:val="single" w:sz="4" w:space="0" w:color="auto"/>
              <w:right w:val="single" w:sz="4" w:space="0" w:color="auto"/>
            </w:tcBorders>
            <w:hideMark/>
          </w:tcPr>
          <w:p w14:paraId="6A0E772F" w14:textId="77777777" w:rsidR="0075626F" w:rsidRDefault="0075626F" w:rsidP="0075626F">
            <w:pPr>
              <w:rPr>
                <w:rFonts w:cs="Arial"/>
                <w:szCs w:val="16"/>
              </w:rPr>
            </w:pPr>
            <w:r>
              <w:rPr>
                <w:rFonts w:cs="Arial"/>
                <w:szCs w:val="16"/>
              </w:rPr>
              <w:t>1</w:t>
            </w:r>
          </w:p>
        </w:tc>
      </w:tr>
      <w:tr w:rsidR="0075626F" w14:paraId="7946F4E5" w14:textId="77777777">
        <w:trPr>
          <w:divId w:val="380713603"/>
        </w:trPr>
        <w:tc>
          <w:tcPr>
            <w:tcW w:w="2289" w:type="pct"/>
            <w:tcBorders>
              <w:top w:val="single" w:sz="4" w:space="0" w:color="auto"/>
              <w:left w:val="single" w:sz="4" w:space="0" w:color="auto"/>
              <w:bottom w:val="single" w:sz="4" w:space="0" w:color="auto"/>
              <w:right w:val="single" w:sz="4" w:space="0" w:color="auto"/>
            </w:tcBorders>
            <w:hideMark/>
          </w:tcPr>
          <w:p w14:paraId="2291D902" w14:textId="2BEE28A5" w:rsidR="0075626F" w:rsidRDefault="0075626F" w:rsidP="0075626F">
            <w:pPr>
              <w:rPr>
                <w:rFonts w:cs="Arial"/>
                <w:b/>
                <w:bCs/>
                <w:szCs w:val="16"/>
              </w:rPr>
            </w:pPr>
            <w:r>
              <w:rPr>
                <w:rFonts w:cs="Arial"/>
                <w:b/>
                <w:bCs/>
                <w:szCs w:val="16"/>
              </w:rPr>
              <w:t>Percentage of Children with Disabilities who Graduated with a Regular High School Diploma**</w:t>
            </w:r>
          </w:p>
        </w:tc>
        <w:tc>
          <w:tcPr>
            <w:tcW w:w="1333" w:type="pct"/>
            <w:tcBorders>
              <w:top w:val="single" w:sz="4" w:space="0" w:color="auto"/>
              <w:left w:val="single" w:sz="4" w:space="0" w:color="auto"/>
              <w:bottom w:val="single" w:sz="4" w:space="0" w:color="auto"/>
              <w:right w:val="single" w:sz="4" w:space="0" w:color="auto"/>
            </w:tcBorders>
            <w:hideMark/>
          </w:tcPr>
          <w:p w14:paraId="503EE6E2" w14:textId="77777777" w:rsidR="0075626F" w:rsidRDefault="0075626F" w:rsidP="0075626F">
            <w:pPr>
              <w:rPr>
                <w:rFonts w:cs="Arial"/>
                <w:szCs w:val="16"/>
              </w:rPr>
            </w:pPr>
            <w:r>
              <w:rPr>
                <w:rFonts w:cs="Arial"/>
                <w:szCs w:val="16"/>
              </w:rPr>
              <w:t>78</w:t>
            </w:r>
          </w:p>
        </w:tc>
        <w:tc>
          <w:tcPr>
            <w:tcW w:w="1378" w:type="pct"/>
            <w:tcBorders>
              <w:top w:val="single" w:sz="4" w:space="0" w:color="auto"/>
              <w:left w:val="single" w:sz="4" w:space="0" w:color="auto"/>
              <w:bottom w:val="single" w:sz="4" w:space="0" w:color="auto"/>
              <w:right w:val="single" w:sz="4" w:space="0" w:color="auto"/>
            </w:tcBorders>
            <w:hideMark/>
          </w:tcPr>
          <w:p w14:paraId="182C5F0B" w14:textId="77777777" w:rsidR="0075626F" w:rsidRDefault="0075626F" w:rsidP="0075626F">
            <w:pPr>
              <w:rPr>
                <w:rFonts w:cs="Arial"/>
                <w:szCs w:val="16"/>
              </w:rPr>
            </w:pPr>
            <w:r>
              <w:rPr>
                <w:rFonts w:cs="Arial"/>
                <w:szCs w:val="16"/>
              </w:rPr>
              <w:t>1</w:t>
            </w:r>
          </w:p>
        </w:tc>
      </w:tr>
    </w:tbl>
    <w:p w14:paraId="0C2E315C" w14:textId="243BC30E" w:rsidR="00D12506" w:rsidRDefault="00C56EE8" w:rsidP="00BE0EEF">
      <w:pPr>
        <w:rPr>
          <w:rFonts w:cstheme="minorHAnsi"/>
          <w:szCs w:val="16"/>
        </w:rPr>
      </w:pPr>
      <w:r>
        <w:rPr>
          <w:rFonts w:cstheme="minorHAnsi"/>
          <w:szCs w:val="16"/>
        </w:rPr>
        <w:t>**When providing exiting data under section 618 of the IDEA, States are required to report on the number of students with disabilities who exited an educational program through receipt of a regular high school diploma. These students meet the same standards for graduation as those for students without disabilities. As explained in 34 C.F.R. §300.102(a)(3)(iv), in effect June 30, 2017, “the term regular high school diploma means the standard high school diploma awarded to the preponderance of students in the State that is fully aligned with State standards, or a higher diploma, except that a regular high school diploma shall not be aligned to the alternate academic achievement standards described in section 1111(b)(1)(E) of the ESEA. A regular high school diploma does not include a recognized equivalent of a diploma, such as a general equivalency diploma, certificate of completion, certificate of attendance, or similar lesser credential.”</w:t>
      </w:r>
    </w:p>
    <w:p w14:paraId="472B8AF6" w14:textId="1512DB7C" w:rsidR="00BE0EEF" w:rsidRPr="00210AC6" w:rsidRDefault="00D12506" w:rsidP="00D12506">
      <w:pPr>
        <w:spacing w:before="0" w:after="200" w:line="276" w:lineRule="auto"/>
        <w:rPr>
          <w:rFonts w:cs="Arial"/>
          <w:b/>
          <w:bCs/>
          <w:szCs w:val="16"/>
        </w:rPr>
      </w:pPr>
      <w:r>
        <w:rPr>
          <w:rFonts w:cs="Arial"/>
          <w:b/>
          <w:bCs/>
          <w:szCs w:val="16"/>
        </w:rPr>
        <w:br w:type="page"/>
      </w:r>
      <w:r w:rsidR="00BE0EEF" w:rsidRPr="00210AC6">
        <w:rPr>
          <w:rFonts w:cs="Arial"/>
          <w:b/>
          <w:bCs/>
          <w:szCs w:val="16"/>
        </w:rPr>
        <w:lastRenderedPageBreak/>
        <w:t>2024 Part B Compliance Matrix</w:t>
      </w:r>
    </w:p>
    <w:tbl>
      <w:tblPr>
        <w:tblStyle w:val="TableGrid1"/>
        <w:tblW w:w="5004" w:type="pct"/>
        <w:tblLayout w:type="fixed"/>
        <w:tblLook w:val="04A0" w:firstRow="1" w:lastRow="0" w:firstColumn="1" w:lastColumn="0" w:noHBand="0" w:noVBand="1"/>
        <w:tblCaption w:val="BENNSRSTCFFYCMP"/>
      </w:tblPr>
      <w:tblGrid>
        <w:gridCol w:w="5408"/>
        <w:gridCol w:w="1797"/>
        <w:gridCol w:w="1797"/>
        <w:gridCol w:w="1797"/>
      </w:tblGrid>
      <w:tr w:rsidR="00BE0EEF" w:rsidRPr="00210AC6" w14:paraId="5D2BF1AF" w14:textId="77777777" w:rsidTr="00C74568">
        <w:trPr>
          <w:tblHeader/>
        </w:trPr>
        <w:tc>
          <w:tcPr>
            <w:tcW w:w="2504" w:type="pct"/>
          </w:tcPr>
          <w:p w14:paraId="6C7ED070" w14:textId="23B6A822" w:rsidR="00BE0EEF" w:rsidRPr="00210AC6" w:rsidRDefault="00BE0EEF" w:rsidP="00EE6889">
            <w:pPr>
              <w:rPr>
                <w:rFonts w:cs="Arial"/>
                <w:b/>
                <w:bCs/>
                <w:szCs w:val="16"/>
              </w:rPr>
            </w:pPr>
            <w:r w:rsidRPr="00210AC6">
              <w:rPr>
                <w:rFonts w:cs="Arial"/>
                <w:b/>
                <w:bCs/>
                <w:szCs w:val="16"/>
              </w:rPr>
              <w:t xml:space="preserve">Part B Compliance Indicator </w:t>
            </w:r>
            <w:r w:rsidR="0007196B">
              <w:rPr>
                <w:rFonts w:cs="Arial"/>
                <w:szCs w:val="16"/>
              </w:rPr>
              <w:t>(</w:t>
            </w:r>
            <w:r w:rsidR="00562B2C">
              <w:rPr>
                <w:rFonts w:cs="Arial"/>
                <w:szCs w:val="16"/>
              </w:rPr>
              <w:t>3</w:t>
            </w:r>
            <w:r w:rsidR="0007196B">
              <w:rPr>
                <w:rFonts w:cs="Arial"/>
                <w:szCs w:val="16"/>
              </w:rPr>
              <w:t>)</w:t>
            </w:r>
          </w:p>
        </w:tc>
        <w:tc>
          <w:tcPr>
            <w:tcW w:w="832" w:type="pct"/>
          </w:tcPr>
          <w:p w14:paraId="580F470E" w14:textId="77777777" w:rsidR="00BE0EEF" w:rsidRPr="00210AC6" w:rsidRDefault="00BE0EEF" w:rsidP="00EE6889">
            <w:pPr>
              <w:rPr>
                <w:rFonts w:cs="Arial"/>
                <w:b/>
                <w:bCs/>
                <w:szCs w:val="16"/>
              </w:rPr>
            </w:pPr>
            <w:r w:rsidRPr="00210AC6">
              <w:rPr>
                <w:rFonts w:cs="Arial"/>
                <w:b/>
                <w:bCs/>
                <w:szCs w:val="16"/>
              </w:rPr>
              <w:t xml:space="preserve">Performance (%) </w:t>
            </w:r>
          </w:p>
        </w:tc>
        <w:tc>
          <w:tcPr>
            <w:tcW w:w="832" w:type="pct"/>
          </w:tcPr>
          <w:p w14:paraId="5D25D35A" w14:textId="116609C9" w:rsidR="00BE0EEF" w:rsidRPr="00210AC6" w:rsidRDefault="00BE0EEF" w:rsidP="00EE6889">
            <w:pPr>
              <w:rPr>
                <w:rFonts w:cs="Arial"/>
                <w:b/>
                <w:bCs/>
                <w:szCs w:val="16"/>
              </w:rPr>
            </w:pPr>
            <w:r w:rsidRPr="00210AC6">
              <w:rPr>
                <w:rFonts w:cs="Arial"/>
                <w:b/>
                <w:bCs/>
                <w:szCs w:val="16"/>
              </w:rPr>
              <w:t>Full Correction of Findings of Noncompliance Identified in FFY 202</w:t>
            </w:r>
            <w:r w:rsidR="0073067C">
              <w:rPr>
                <w:rFonts w:cs="Arial"/>
                <w:b/>
                <w:bCs/>
                <w:szCs w:val="16"/>
              </w:rPr>
              <w:t>1</w:t>
            </w:r>
            <w:r w:rsidRPr="00210AC6">
              <w:rPr>
                <w:rFonts w:cs="Arial"/>
                <w:b/>
                <w:bCs/>
                <w:szCs w:val="16"/>
              </w:rPr>
              <w:t xml:space="preserve"> </w:t>
            </w:r>
            <w:r w:rsidR="0007196B">
              <w:rPr>
                <w:rFonts w:cs="Arial"/>
                <w:szCs w:val="16"/>
              </w:rPr>
              <w:t>(</w:t>
            </w:r>
            <w:r w:rsidR="00562B2C">
              <w:rPr>
                <w:rFonts w:cs="Arial"/>
                <w:szCs w:val="16"/>
              </w:rPr>
              <w:t>4</w:t>
            </w:r>
            <w:r w:rsidR="0007196B">
              <w:rPr>
                <w:rFonts w:cs="Arial"/>
                <w:szCs w:val="16"/>
              </w:rPr>
              <w:t>)</w:t>
            </w:r>
          </w:p>
        </w:tc>
        <w:tc>
          <w:tcPr>
            <w:tcW w:w="832" w:type="pct"/>
          </w:tcPr>
          <w:p w14:paraId="0F2A19C9" w14:textId="77777777" w:rsidR="00BE0EEF" w:rsidRPr="00210AC6" w:rsidRDefault="00BE0EEF" w:rsidP="00EE6889">
            <w:pPr>
              <w:rPr>
                <w:rFonts w:cs="Arial"/>
                <w:b/>
                <w:bCs/>
                <w:szCs w:val="16"/>
              </w:rPr>
            </w:pPr>
            <w:r w:rsidRPr="00210AC6">
              <w:rPr>
                <w:rFonts w:cs="Arial"/>
                <w:b/>
                <w:bCs/>
                <w:szCs w:val="16"/>
              </w:rPr>
              <w:t>Score</w:t>
            </w:r>
          </w:p>
        </w:tc>
      </w:tr>
      <w:tr w:rsidR="00AA1152" w:rsidRPr="00210AC6" w14:paraId="58EE7EBF" w14:textId="77777777" w:rsidTr="00FB3F34">
        <w:tc>
          <w:tcPr>
            <w:tcW w:w="2504" w:type="pct"/>
          </w:tcPr>
          <w:p w14:paraId="79E3B338" w14:textId="77777777" w:rsidR="00AA1152" w:rsidRPr="00210AC6" w:rsidRDefault="00AA1152" w:rsidP="00AA1152">
            <w:pPr>
              <w:rPr>
                <w:rFonts w:cs="Arial"/>
                <w:b/>
                <w:bCs/>
                <w:szCs w:val="16"/>
              </w:rPr>
            </w:pPr>
            <w:r w:rsidRPr="00210AC6">
              <w:rPr>
                <w:rFonts w:cs="Arial"/>
                <w:b/>
                <w:bCs/>
                <w:szCs w:val="16"/>
              </w:rPr>
              <w:t>Indicator 4B: Significant discrepancy, by race and ethnicity, in the rate of suspension and expulsion, and policies, procedures or practices that contribute to the significant discrepancy and do not comply with specified requirements.</w:t>
            </w:r>
          </w:p>
        </w:tc>
        <w:tc>
          <w:tcPr>
            <w:tcW w:w="832" w:type="pct"/>
          </w:tcPr>
          <w:p w14:paraId="2F5F53B8" w14:textId="72EE73B0" w:rsidR="00AA1152" w:rsidRPr="00210AC6" w:rsidRDefault="00AA1152" w:rsidP="00AA1152">
            <w:pPr>
              <w:rPr>
                <w:rFonts w:cs="Arial"/>
                <w:szCs w:val="16"/>
              </w:rPr>
            </w:pPr>
            <w:r w:rsidRPr="00210AC6">
              <w:rPr>
                <w:rFonts w:cs="Arial"/>
                <w:szCs w:val="16"/>
              </w:rPr>
              <w:t>0.00%</w:t>
            </w:r>
          </w:p>
        </w:tc>
        <w:tc>
          <w:tcPr>
            <w:tcW w:w="832" w:type="pct"/>
          </w:tcPr>
          <w:p w14:paraId="771B94BB" w14:textId="4E9D5A8F" w:rsidR="00AA1152" w:rsidRPr="00210AC6" w:rsidRDefault="00AA1152" w:rsidP="00AA1152">
            <w:pPr>
              <w:rPr>
                <w:rFonts w:cs="Arial"/>
                <w:szCs w:val="16"/>
              </w:rPr>
            </w:pPr>
            <w:r w:rsidRPr="00210AC6">
              <w:rPr>
                <w:rFonts w:cs="Arial"/>
                <w:szCs w:val="16"/>
              </w:rPr>
              <w:t>N/A</w:t>
            </w:r>
          </w:p>
        </w:tc>
        <w:tc>
          <w:tcPr>
            <w:tcW w:w="832" w:type="pct"/>
          </w:tcPr>
          <w:p w14:paraId="7825B06F" w14:textId="05A81092" w:rsidR="00AA1152" w:rsidRPr="00210AC6" w:rsidRDefault="00AA1152" w:rsidP="00AA1152">
            <w:pPr>
              <w:rPr>
                <w:rFonts w:cs="Arial"/>
                <w:szCs w:val="16"/>
              </w:rPr>
            </w:pPr>
            <w:r w:rsidRPr="00210AC6">
              <w:rPr>
                <w:rFonts w:cs="Arial"/>
                <w:szCs w:val="16"/>
              </w:rPr>
              <w:t>2</w:t>
            </w:r>
          </w:p>
        </w:tc>
      </w:tr>
      <w:tr w:rsidR="00AA1152" w:rsidRPr="00210AC6" w14:paraId="21C2980E" w14:textId="77777777" w:rsidTr="00FB3F34">
        <w:tc>
          <w:tcPr>
            <w:tcW w:w="2504" w:type="pct"/>
          </w:tcPr>
          <w:p w14:paraId="508138EE" w14:textId="77777777" w:rsidR="00AA1152" w:rsidRPr="00210AC6" w:rsidRDefault="00AA1152" w:rsidP="00AA1152">
            <w:pPr>
              <w:rPr>
                <w:rFonts w:cs="Arial"/>
                <w:b/>
                <w:bCs/>
                <w:szCs w:val="16"/>
              </w:rPr>
            </w:pPr>
            <w:r w:rsidRPr="00210AC6">
              <w:rPr>
                <w:rFonts w:cs="Arial"/>
                <w:b/>
                <w:bCs/>
                <w:szCs w:val="16"/>
              </w:rPr>
              <w:t>Indicator 9: Disproportionate representation of racial and ethnic groups in special education and related services due to inappropriate identification.</w:t>
            </w:r>
          </w:p>
        </w:tc>
        <w:tc>
          <w:tcPr>
            <w:tcW w:w="832" w:type="pct"/>
          </w:tcPr>
          <w:p w14:paraId="0871F09C" w14:textId="625E28D3" w:rsidR="00AA1152" w:rsidRPr="00210AC6" w:rsidRDefault="00AA1152" w:rsidP="00AA1152">
            <w:pPr>
              <w:rPr>
                <w:rFonts w:cs="Arial"/>
                <w:szCs w:val="16"/>
              </w:rPr>
            </w:pPr>
            <w:r w:rsidRPr="00210AC6">
              <w:rPr>
                <w:rFonts w:cs="Arial"/>
                <w:szCs w:val="16"/>
              </w:rPr>
              <w:t>0.00%</w:t>
            </w:r>
          </w:p>
        </w:tc>
        <w:tc>
          <w:tcPr>
            <w:tcW w:w="832" w:type="pct"/>
          </w:tcPr>
          <w:p w14:paraId="1628449A" w14:textId="0D758D3E" w:rsidR="00AA1152" w:rsidRPr="00210AC6" w:rsidRDefault="00AA1152" w:rsidP="00AA1152">
            <w:pPr>
              <w:rPr>
                <w:rFonts w:cs="Arial"/>
                <w:szCs w:val="16"/>
              </w:rPr>
            </w:pPr>
            <w:r w:rsidRPr="00210AC6">
              <w:rPr>
                <w:rFonts w:cs="Arial"/>
                <w:szCs w:val="16"/>
              </w:rPr>
              <w:t>N/A</w:t>
            </w:r>
          </w:p>
        </w:tc>
        <w:tc>
          <w:tcPr>
            <w:tcW w:w="832" w:type="pct"/>
          </w:tcPr>
          <w:p w14:paraId="21DC76B4" w14:textId="71B82A2F" w:rsidR="00AA1152" w:rsidRPr="00210AC6" w:rsidRDefault="00AA1152" w:rsidP="00AA1152">
            <w:pPr>
              <w:rPr>
                <w:rFonts w:cs="Arial"/>
                <w:szCs w:val="16"/>
              </w:rPr>
            </w:pPr>
            <w:r w:rsidRPr="00210AC6">
              <w:rPr>
                <w:rFonts w:cs="Arial"/>
                <w:szCs w:val="16"/>
              </w:rPr>
              <w:t>2</w:t>
            </w:r>
          </w:p>
        </w:tc>
      </w:tr>
      <w:tr w:rsidR="00AA1152" w:rsidRPr="00210AC6" w14:paraId="03A38C11" w14:textId="77777777" w:rsidTr="00FB3F34">
        <w:tc>
          <w:tcPr>
            <w:tcW w:w="2504" w:type="pct"/>
          </w:tcPr>
          <w:p w14:paraId="4150218F" w14:textId="77777777" w:rsidR="00AA1152" w:rsidRPr="00210AC6" w:rsidRDefault="00AA1152" w:rsidP="00AA1152">
            <w:pPr>
              <w:rPr>
                <w:rFonts w:cs="Arial"/>
                <w:b/>
                <w:bCs/>
                <w:szCs w:val="16"/>
              </w:rPr>
            </w:pPr>
            <w:r w:rsidRPr="00210AC6">
              <w:rPr>
                <w:rFonts w:cs="Arial"/>
                <w:b/>
                <w:bCs/>
                <w:szCs w:val="16"/>
              </w:rPr>
              <w:t>Indicator 10: Disproportionate representation of racial and ethnic groups in specific disability categories due to inappropriate identification.</w:t>
            </w:r>
          </w:p>
        </w:tc>
        <w:tc>
          <w:tcPr>
            <w:tcW w:w="832" w:type="pct"/>
          </w:tcPr>
          <w:p w14:paraId="3A2447F0" w14:textId="2F7DA60E" w:rsidR="00AA1152" w:rsidRPr="00210AC6" w:rsidRDefault="00AA1152" w:rsidP="00AA1152">
            <w:pPr>
              <w:rPr>
                <w:rFonts w:cs="Arial"/>
                <w:szCs w:val="16"/>
              </w:rPr>
            </w:pPr>
            <w:r w:rsidRPr="00210AC6">
              <w:rPr>
                <w:rFonts w:cs="Arial"/>
                <w:szCs w:val="16"/>
              </w:rPr>
              <w:t>1.52%</w:t>
            </w:r>
          </w:p>
        </w:tc>
        <w:tc>
          <w:tcPr>
            <w:tcW w:w="832" w:type="pct"/>
          </w:tcPr>
          <w:p w14:paraId="1CE885A0" w14:textId="000A00A6" w:rsidR="00AA1152" w:rsidRPr="00210AC6" w:rsidRDefault="00AA1152" w:rsidP="00AA1152">
            <w:pPr>
              <w:rPr>
                <w:rFonts w:cs="Arial"/>
                <w:szCs w:val="16"/>
              </w:rPr>
            </w:pPr>
            <w:r w:rsidRPr="00210AC6">
              <w:rPr>
                <w:rFonts w:cs="Arial"/>
                <w:szCs w:val="16"/>
              </w:rPr>
              <w:t>N/A</w:t>
            </w:r>
          </w:p>
        </w:tc>
        <w:tc>
          <w:tcPr>
            <w:tcW w:w="832" w:type="pct"/>
          </w:tcPr>
          <w:p w14:paraId="1F5B10E3" w14:textId="1AC79BCD" w:rsidR="00AA1152" w:rsidRPr="00210AC6" w:rsidRDefault="00AA1152" w:rsidP="00AA1152">
            <w:pPr>
              <w:rPr>
                <w:rFonts w:cs="Arial"/>
                <w:szCs w:val="16"/>
              </w:rPr>
            </w:pPr>
            <w:r w:rsidRPr="00210AC6">
              <w:rPr>
                <w:rFonts w:cs="Arial"/>
                <w:szCs w:val="16"/>
              </w:rPr>
              <w:t>2</w:t>
            </w:r>
          </w:p>
        </w:tc>
      </w:tr>
      <w:tr w:rsidR="00AA1152" w:rsidRPr="00210AC6" w14:paraId="785C2AF8" w14:textId="77777777" w:rsidTr="00FB3F34">
        <w:tc>
          <w:tcPr>
            <w:tcW w:w="2504" w:type="pct"/>
          </w:tcPr>
          <w:p w14:paraId="3441131C" w14:textId="77777777" w:rsidR="00AA1152" w:rsidRPr="00210AC6" w:rsidRDefault="00AA1152" w:rsidP="00AA1152">
            <w:pPr>
              <w:rPr>
                <w:rFonts w:cs="Arial"/>
                <w:b/>
                <w:bCs/>
                <w:szCs w:val="16"/>
              </w:rPr>
            </w:pPr>
            <w:r w:rsidRPr="00210AC6">
              <w:rPr>
                <w:rFonts w:cs="Arial"/>
                <w:b/>
                <w:bCs/>
                <w:szCs w:val="16"/>
              </w:rPr>
              <w:t>Indicator 11: Timely initial evaluation</w:t>
            </w:r>
          </w:p>
        </w:tc>
        <w:tc>
          <w:tcPr>
            <w:tcW w:w="832" w:type="pct"/>
          </w:tcPr>
          <w:p w14:paraId="3F86F615" w14:textId="0AA0A53C" w:rsidR="00AA1152" w:rsidRPr="00210AC6" w:rsidRDefault="00AA1152" w:rsidP="00AA1152">
            <w:pPr>
              <w:rPr>
                <w:rFonts w:cs="Arial"/>
                <w:szCs w:val="16"/>
              </w:rPr>
            </w:pPr>
            <w:r w:rsidRPr="00210AC6">
              <w:rPr>
                <w:rFonts w:cs="Arial"/>
                <w:szCs w:val="16"/>
              </w:rPr>
              <w:t>98.96%</w:t>
            </w:r>
          </w:p>
        </w:tc>
        <w:tc>
          <w:tcPr>
            <w:tcW w:w="832" w:type="pct"/>
          </w:tcPr>
          <w:p w14:paraId="379B6676" w14:textId="76488CD7" w:rsidR="00AA1152" w:rsidRPr="00210AC6" w:rsidRDefault="00AA1152" w:rsidP="00AA1152">
            <w:pPr>
              <w:rPr>
                <w:rFonts w:cs="Arial"/>
                <w:szCs w:val="16"/>
              </w:rPr>
            </w:pPr>
            <w:r w:rsidRPr="00210AC6">
              <w:rPr>
                <w:rFonts w:cs="Arial"/>
                <w:szCs w:val="16"/>
              </w:rPr>
              <w:t>YES</w:t>
            </w:r>
          </w:p>
        </w:tc>
        <w:tc>
          <w:tcPr>
            <w:tcW w:w="832" w:type="pct"/>
          </w:tcPr>
          <w:p w14:paraId="5FB686BF" w14:textId="58500CD0" w:rsidR="00AA1152" w:rsidRPr="00210AC6" w:rsidRDefault="00AA1152" w:rsidP="00AA1152">
            <w:pPr>
              <w:rPr>
                <w:rFonts w:cs="Arial"/>
                <w:szCs w:val="16"/>
              </w:rPr>
            </w:pPr>
            <w:r w:rsidRPr="00210AC6">
              <w:rPr>
                <w:rFonts w:cs="Arial"/>
                <w:szCs w:val="16"/>
              </w:rPr>
              <w:t>2</w:t>
            </w:r>
          </w:p>
        </w:tc>
      </w:tr>
      <w:tr w:rsidR="00AA1152" w:rsidRPr="00210AC6" w14:paraId="02526753" w14:textId="77777777" w:rsidTr="00FB3F34">
        <w:tc>
          <w:tcPr>
            <w:tcW w:w="2504" w:type="pct"/>
          </w:tcPr>
          <w:p w14:paraId="02E96748" w14:textId="77777777" w:rsidR="00AA1152" w:rsidRPr="00210AC6" w:rsidRDefault="00AA1152" w:rsidP="00AA1152">
            <w:pPr>
              <w:rPr>
                <w:rFonts w:cs="Arial"/>
                <w:b/>
                <w:bCs/>
                <w:szCs w:val="16"/>
              </w:rPr>
            </w:pPr>
            <w:r w:rsidRPr="00210AC6">
              <w:rPr>
                <w:rFonts w:cs="Arial"/>
                <w:b/>
                <w:bCs/>
                <w:szCs w:val="16"/>
              </w:rPr>
              <w:t>Indicator 12: IEP developed and implemented by third birthday</w:t>
            </w:r>
          </w:p>
        </w:tc>
        <w:tc>
          <w:tcPr>
            <w:tcW w:w="832" w:type="pct"/>
          </w:tcPr>
          <w:p w14:paraId="4F2BD9F2" w14:textId="398FC4CF" w:rsidR="00AA1152" w:rsidRPr="00210AC6" w:rsidRDefault="00AA1152" w:rsidP="00AA1152">
            <w:pPr>
              <w:rPr>
                <w:rFonts w:cs="Arial"/>
                <w:szCs w:val="16"/>
              </w:rPr>
            </w:pPr>
            <w:r w:rsidRPr="00210AC6">
              <w:rPr>
                <w:rFonts w:cs="Arial"/>
                <w:szCs w:val="16"/>
              </w:rPr>
              <w:t>99.18%</w:t>
            </w:r>
          </w:p>
        </w:tc>
        <w:tc>
          <w:tcPr>
            <w:tcW w:w="832" w:type="pct"/>
          </w:tcPr>
          <w:p w14:paraId="6054F9DF" w14:textId="274B8111" w:rsidR="00AA1152" w:rsidRPr="00210AC6" w:rsidRDefault="00AA1152" w:rsidP="00AA1152">
            <w:pPr>
              <w:rPr>
                <w:rFonts w:cs="Arial"/>
                <w:szCs w:val="16"/>
              </w:rPr>
            </w:pPr>
            <w:r w:rsidRPr="00210AC6">
              <w:rPr>
                <w:rFonts w:cs="Arial"/>
                <w:szCs w:val="16"/>
              </w:rPr>
              <w:t>YES</w:t>
            </w:r>
          </w:p>
        </w:tc>
        <w:tc>
          <w:tcPr>
            <w:tcW w:w="832" w:type="pct"/>
          </w:tcPr>
          <w:p w14:paraId="3702D281" w14:textId="352F6EC2" w:rsidR="00AA1152" w:rsidRPr="00210AC6" w:rsidRDefault="00AA1152" w:rsidP="00AA1152">
            <w:pPr>
              <w:rPr>
                <w:rFonts w:cs="Arial"/>
                <w:szCs w:val="16"/>
              </w:rPr>
            </w:pPr>
            <w:r w:rsidRPr="00210AC6">
              <w:rPr>
                <w:rFonts w:cs="Arial"/>
                <w:szCs w:val="16"/>
              </w:rPr>
              <w:t>2</w:t>
            </w:r>
          </w:p>
        </w:tc>
      </w:tr>
      <w:tr w:rsidR="00AA1152" w:rsidRPr="00210AC6" w14:paraId="74763DC8" w14:textId="77777777" w:rsidTr="00FB3F34">
        <w:tc>
          <w:tcPr>
            <w:tcW w:w="2504" w:type="pct"/>
          </w:tcPr>
          <w:p w14:paraId="2E528111" w14:textId="77777777" w:rsidR="00AA1152" w:rsidRPr="00210AC6" w:rsidRDefault="00AA1152" w:rsidP="00AA1152">
            <w:pPr>
              <w:rPr>
                <w:rFonts w:cs="Arial"/>
                <w:b/>
                <w:bCs/>
                <w:szCs w:val="16"/>
              </w:rPr>
            </w:pPr>
            <w:r w:rsidRPr="00210AC6">
              <w:rPr>
                <w:rFonts w:cs="Arial"/>
                <w:b/>
                <w:bCs/>
                <w:szCs w:val="16"/>
              </w:rPr>
              <w:t>Indicator 13: Secondary transition</w:t>
            </w:r>
          </w:p>
        </w:tc>
        <w:tc>
          <w:tcPr>
            <w:tcW w:w="832" w:type="pct"/>
          </w:tcPr>
          <w:p w14:paraId="2E2E3F92" w14:textId="0CE14D00" w:rsidR="00AA1152" w:rsidRPr="00210AC6" w:rsidRDefault="00AA1152" w:rsidP="00AA1152">
            <w:pPr>
              <w:rPr>
                <w:rFonts w:cs="Arial"/>
                <w:szCs w:val="16"/>
              </w:rPr>
            </w:pPr>
            <w:r w:rsidRPr="00210AC6">
              <w:rPr>
                <w:rFonts w:cs="Arial"/>
                <w:szCs w:val="16"/>
              </w:rPr>
              <w:t>97.32%</w:t>
            </w:r>
          </w:p>
        </w:tc>
        <w:tc>
          <w:tcPr>
            <w:tcW w:w="832" w:type="pct"/>
          </w:tcPr>
          <w:p w14:paraId="3F499F14" w14:textId="09C97ADF" w:rsidR="00AA1152" w:rsidRPr="00210AC6" w:rsidRDefault="00AA1152" w:rsidP="00AA1152">
            <w:pPr>
              <w:rPr>
                <w:rFonts w:cs="Arial"/>
                <w:szCs w:val="16"/>
              </w:rPr>
            </w:pPr>
            <w:r w:rsidRPr="00210AC6">
              <w:rPr>
                <w:rFonts w:cs="Arial"/>
                <w:szCs w:val="16"/>
              </w:rPr>
              <w:t>NO</w:t>
            </w:r>
          </w:p>
        </w:tc>
        <w:tc>
          <w:tcPr>
            <w:tcW w:w="832" w:type="pct"/>
          </w:tcPr>
          <w:p w14:paraId="06689058" w14:textId="117B6780" w:rsidR="00AA1152" w:rsidRPr="00210AC6" w:rsidRDefault="00AA1152" w:rsidP="00AA1152">
            <w:pPr>
              <w:rPr>
                <w:rFonts w:cs="Arial"/>
                <w:szCs w:val="16"/>
              </w:rPr>
            </w:pPr>
            <w:r w:rsidRPr="00210AC6">
              <w:rPr>
                <w:rFonts w:cs="Arial"/>
                <w:szCs w:val="16"/>
              </w:rPr>
              <w:t>2</w:t>
            </w:r>
          </w:p>
        </w:tc>
      </w:tr>
      <w:tr w:rsidR="00AA1152" w:rsidRPr="00210AC6" w14:paraId="5B73C8AC" w14:textId="77777777" w:rsidTr="00AA1152">
        <w:tc>
          <w:tcPr>
            <w:tcW w:w="2504" w:type="pct"/>
          </w:tcPr>
          <w:p w14:paraId="772D1C3C" w14:textId="77777777" w:rsidR="00AA1152" w:rsidRPr="00210AC6" w:rsidRDefault="00AA1152" w:rsidP="00AA1152">
            <w:pPr>
              <w:rPr>
                <w:rFonts w:cs="Arial"/>
                <w:b/>
                <w:bCs/>
                <w:szCs w:val="16"/>
              </w:rPr>
            </w:pPr>
            <w:r w:rsidRPr="00210AC6">
              <w:rPr>
                <w:rFonts w:cs="Arial"/>
                <w:b/>
                <w:bCs/>
                <w:szCs w:val="16"/>
              </w:rPr>
              <w:t>Timely and Accurate State-Reported Data</w:t>
            </w:r>
          </w:p>
        </w:tc>
        <w:tc>
          <w:tcPr>
            <w:tcW w:w="832" w:type="pct"/>
          </w:tcPr>
          <w:p w14:paraId="18A1304C" w14:textId="765F1D9B" w:rsidR="00AA1152" w:rsidRPr="00210AC6" w:rsidRDefault="00AA1152" w:rsidP="00AA1152">
            <w:pPr>
              <w:rPr>
                <w:rFonts w:cs="Arial"/>
                <w:szCs w:val="16"/>
              </w:rPr>
            </w:pPr>
            <w:r w:rsidRPr="00210AC6">
              <w:rPr>
                <w:rFonts w:cs="Arial"/>
                <w:szCs w:val="16"/>
              </w:rPr>
              <w:t>100.00%</w:t>
            </w:r>
          </w:p>
        </w:tc>
        <w:tc>
          <w:tcPr>
            <w:tcW w:w="832" w:type="pct"/>
            <w:shd w:val="clear" w:color="auto" w:fill="D9D9D9" w:themeFill="background1" w:themeFillShade="D9"/>
          </w:tcPr>
          <w:p w14:paraId="7AC688E1" w14:textId="77777777" w:rsidR="00AA1152" w:rsidRPr="00210AC6" w:rsidRDefault="00AA1152" w:rsidP="00AA1152">
            <w:pPr>
              <w:rPr>
                <w:rFonts w:cs="Arial"/>
                <w:szCs w:val="16"/>
              </w:rPr>
            </w:pPr>
          </w:p>
        </w:tc>
        <w:tc>
          <w:tcPr>
            <w:tcW w:w="832" w:type="pct"/>
          </w:tcPr>
          <w:p w14:paraId="2D7E2590" w14:textId="5F40EEE6" w:rsidR="00AA1152" w:rsidRPr="00210AC6" w:rsidRDefault="00AA1152" w:rsidP="00AA1152">
            <w:pPr>
              <w:rPr>
                <w:rFonts w:cs="Arial"/>
                <w:szCs w:val="16"/>
              </w:rPr>
            </w:pPr>
            <w:r w:rsidRPr="00210AC6">
              <w:rPr>
                <w:rFonts w:cs="Arial"/>
                <w:szCs w:val="16"/>
              </w:rPr>
              <w:t>2</w:t>
            </w:r>
          </w:p>
        </w:tc>
      </w:tr>
      <w:tr w:rsidR="00AA1152" w:rsidRPr="00210AC6" w14:paraId="5B2DC82D" w14:textId="77777777" w:rsidTr="00AA1152">
        <w:tc>
          <w:tcPr>
            <w:tcW w:w="2504" w:type="pct"/>
          </w:tcPr>
          <w:p w14:paraId="03E653A4" w14:textId="77777777" w:rsidR="00AA1152" w:rsidRPr="00210AC6" w:rsidRDefault="00AA1152" w:rsidP="00AA1152">
            <w:pPr>
              <w:rPr>
                <w:rFonts w:cs="Arial"/>
                <w:b/>
                <w:bCs/>
                <w:szCs w:val="16"/>
              </w:rPr>
            </w:pPr>
            <w:r w:rsidRPr="00210AC6">
              <w:rPr>
                <w:rFonts w:cs="Arial"/>
                <w:b/>
                <w:bCs/>
                <w:szCs w:val="16"/>
              </w:rPr>
              <w:t>Timely State Complaint Decisions</w:t>
            </w:r>
          </w:p>
        </w:tc>
        <w:tc>
          <w:tcPr>
            <w:tcW w:w="832" w:type="pct"/>
          </w:tcPr>
          <w:p w14:paraId="3623764C" w14:textId="2150291E" w:rsidR="00AA1152" w:rsidRPr="00210AC6" w:rsidRDefault="00AA1152" w:rsidP="00AA1152">
            <w:pPr>
              <w:rPr>
                <w:rFonts w:cs="Arial"/>
                <w:szCs w:val="16"/>
              </w:rPr>
            </w:pPr>
            <w:r w:rsidRPr="00210AC6">
              <w:rPr>
                <w:rFonts w:cs="Arial"/>
                <w:szCs w:val="16"/>
              </w:rPr>
              <w:t>100.00%</w:t>
            </w:r>
          </w:p>
        </w:tc>
        <w:tc>
          <w:tcPr>
            <w:tcW w:w="832" w:type="pct"/>
            <w:shd w:val="clear" w:color="auto" w:fill="D9D9D9" w:themeFill="background1" w:themeFillShade="D9"/>
          </w:tcPr>
          <w:p w14:paraId="097E1289" w14:textId="77777777" w:rsidR="00AA1152" w:rsidRPr="00210AC6" w:rsidRDefault="00AA1152" w:rsidP="00AA1152">
            <w:pPr>
              <w:rPr>
                <w:rFonts w:cs="Arial"/>
                <w:szCs w:val="16"/>
              </w:rPr>
            </w:pPr>
          </w:p>
        </w:tc>
        <w:tc>
          <w:tcPr>
            <w:tcW w:w="832" w:type="pct"/>
          </w:tcPr>
          <w:p w14:paraId="4499CBD7" w14:textId="4E7EAE4B" w:rsidR="00AA1152" w:rsidRPr="00210AC6" w:rsidRDefault="00AA1152" w:rsidP="00AA1152">
            <w:pPr>
              <w:rPr>
                <w:rFonts w:cs="Arial"/>
                <w:szCs w:val="16"/>
              </w:rPr>
            </w:pPr>
            <w:r w:rsidRPr="00210AC6">
              <w:rPr>
                <w:rFonts w:cs="Arial"/>
                <w:szCs w:val="16"/>
              </w:rPr>
              <w:t>2</w:t>
            </w:r>
          </w:p>
        </w:tc>
      </w:tr>
      <w:tr w:rsidR="00AA1152" w:rsidRPr="00210AC6" w14:paraId="4BFA68EF" w14:textId="77777777" w:rsidTr="00AA1152">
        <w:tc>
          <w:tcPr>
            <w:tcW w:w="2504" w:type="pct"/>
          </w:tcPr>
          <w:p w14:paraId="066554B9" w14:textId="77777777" w:rsidR="00AA1152" w:rsidRPr="00210AC6" w:rsidRDefault="00AA1152" w:rsidP="00AA1152">
            <w:pPr>
              <w:rPr>
                <w:rFonts w:cs="Arial"/>
                <w:b/>
                <w:bCs/>
                <w:szCs w:val="16"/>
              </w:rPr>
            </w:pPr>
            <w:r w:rsidRPr="00210AC6">
              <w:rPr>
                <w:rFonts w:cs="Arial"/>
                <w:b/>
                <w:bCs/>
                <w:szCs w:val="16"/>
              </w:rPr>
              <w:t>Timely Due Process Hearing Decisions</w:t>
            </w:r>
          </w:p>
        </w:tc>
        <w:tc>
          <w:tcPr>
            <w:tcW w:w="832" w:type="pct"/>
          </w:tcPr>
          <w:p w14:paraId="786FDFAC" w14:textId="6F373ECA" w:rsidR="00AA1152" w:rsidRPr="00210AC6" w:rsidRDefault="00AA1152" w:rsidP="00AA1152">
            <w:pPr>
              <w:rPr>
                <w:rFonts w:cs="Arial"/>
                <w:szCs w:val="16"/>
              </w:rPr>
            </w:pPr>
            <w:r w:rsidRPr="00210AC6">
              <w:rPr>
                <w:rFonts w:cs="Arial"/>
                <w:szCs w:val="16"/>
              </w:rPr>
              <w:t>100.00%</w:t>
            </w:r>
          </w:p>
        </w:tc>
        <w:tc>
          <w:tcPr>
            <w:tcW w:w="832" w:type="pct"/>
            <w:shd w:val="clear" w:color="auto" w:fill="D9D9D9" w:themeFill="background1" w:themeFillShade="D9"/>
          </w:tcPr>
          <w:p w14:paraId="76E4B89A" w14:textId="77777777" w:rsidR="00AA1152" w:rsidRPr="00210AC6" w:rsidRDefault="00AA1152" w:rsidP="00AA1152">
            <w:pPr>
              <w:rPr>
                <w:rFonts w:cs="Arial"/>
                <w:szCs w:val="16"/>
              </w:rPr>
            </w:pPr>
          </w:p>
        </w:tc>
        <w:tc>
          <w:tcPr>
            <w:tcW w:w="832" w:type="pct"/>
          </w:tcPr>
          <w:p w14:paraId="3F8AD42C" w14:textId="7F0D6356" w:rsidR="00AA1152" w:rsidRPr="00210AC6" w:rsidRDefault="00AA1152" w:rsidP="00AA1152">
            <w:pPr>
              <w:rPr>
                <w:rFonts w:cs="Arial"/>
                <w:szCs w:val="16"/>
              </w:rPr>
            </w:pPr>
            <w:r w:rsidRPr="00210AC6">
              <w:rPr>
                <w:rFonts w:cs="Arial"/>
                <w:szCs w:val="16"/>
              </w:rPr>
              <w:t>2</w:t>
            </w:r>
          </w:p>
        </w:tc>
      </w:tr>
      <w:tr w:rsidR="00AA1152" w:rsidRPr="00210AC6" w14:paraId="26770970" w14:textId="77777777" w:rsidTr="00AA1152">
        <w:tc>
          <w:tcPr>
            <w:tcW w:w="2504" w:type="pct"/>
          </w:tcPr>
          <w:p w14:paraId="60988791" w14:textId="77777777" w:rsidR="00AA1152" w:rsidRPr="00210AC6" w:rsidRDefault="00AA1152" w:rsidP="00AA1152">
            <w:pPr>
              <w:rPr>
                <w:rFonts w:cs="Arial"/>
                <w:b/>
                <w:bCs/>
                <w:szCs w:val="16"/>
              </w:rPr>
            </w:pPr>
            <w:r w:rsidRPr="00210AC6">
              <w:rPr>
                <w:rFonts w:cs="Arial"/>
                <w:b/>
                <w:bCs/>
                <w:szCs w:val="16"/>
              </w:rPr>
              <w:t>Longstanding Noncompliance</w:t>
            </w:r>
          </w:p>
        </w:tc>
        <w:tc>
          <w:tcPr>
            <w:tcW w:w="832" w:type="pct"/>
            <w:shd w:val="clear" w:color="auto" w:fill="D9D9D9" w:themeFill="background1" w:themeFillShade="D9"/>
          </w:tcPr>
          <w:p w14:paraId="5695B159" w14:textId="77777777" w:rsidR="00AA1152" w:rsidRPr="00210AC6" w:rsidRDefault="00AA1152" w:rsidP="00AA1152">
            <w:pPr>
              <w:rPr>
                <w:rFonts w:cs="Arial"/>
                <w:szCs w:val="16"/>
              </w:rPr>
            </w:pPr>
          </w:p>
        </w:tc>
        <w:tc>
          <w:tcPr>
            <w:tcW w:w="832" w:type="pct"/>
            <w:shd w:val="clear" w:color="auto" w:fill="D9D9D9" w:themeFill="background1" w:themeFillShade="D9"/>
          </w:tcPr>
          <w:p w14:paraId="47C17DD8" w14:textId="77777777" w:rsidR="00AA1152" w:rsidRPr="00210AC6" w:rsidRDefault="00AA1152" w:rsidP="00AA1152">
            <w:pPr>
              <w:rPr>
                <w:rFonts w:cs="Arial"/>
                <w:szCs w:val="16"/>
              </w:rPr>
            </w:pPr>
          </w:p>
        </w:tc>
        <w:tc>
          <w:tcPr>
            <w:tcW w:w="832" w:type="pct"/>
          </w:tcPr>
          <w:p w14:paraId="6505B17E" w14:textId="4908393C" w:rsidR="00AA1152" w:rsidRPr="00210AC6" w:rsidRDefault="00AA1152" w:rsidP="00AA1152">
            <w:pPr>
              <w:rPr>
                <w:rFonts w:cs="Arial"/>
                <w:szCs w:val="16"/>
              </w:rPr>
            </w:pPr>
            <w:r w:rsidRPr="00210AC6">
              <w:rPr>
                <w:rFonts w:cs="Arial"/>
                <w:szCs w:val="16"/>
              </w:rPr>
              <w:t>2</w:t>
            </w:r>
          </w:p>
        </w:tc>
      </w:tr>
      <w:tr w:rsidR="00210AC6" w:rsidRPr="00210AC6" w14:paraId="37FD1A53" w14:textId="77777777" w:rsidTr="00AA1152">
        <w:tc>
          <w:tcPr>
            <w:tcW w:w="2504" w:type="pct"/>
          </w:tcPr>
          <w:p w14:paraId="3FB1DF49" w14:textId="3CF86348" w:rsidR="00AA1152" w:rsidRPr="00210AC6" w:rsidRDefault="00AF1F7D" w:rsidP="00FB3CF2">
            <w:pPr>
              <w:ind w:left="720"/>
              <w:rPr>
                <w:rFonts w:cs="Arial"/>
                <w:b/>
                <w:bCs/>
                <w:szCs w:val="16"/>
              </w:rPr>
            </w:pPr>
            <w:r>
              <w:rPr>
                <w:rFonts w:cs="Arial"/>
                <w:b/>
                <w:bCs/>
                <w:szCs w:val="16"/>
              </w:rPr>
              <w:t xml:space="preserve">Programmatic </w:t>
            </w:r>
            <w:r w:rsidR="00AA1152" w:rsidRPr="00210AC6">
              <w:rPr>
                <w:rFonts w:cs="Arial"/>
                <w:b/>
                <w:bCs/>
                <w:szCs w:val="16"/>
              </w:rPr>
              <w:t>Specific Conditions</w:t>
            </w:r>
          </w:p>
        </w:tc>
        <w:tc>
          <w:tcPr>
            <w:tcW w:w="832" w:type="pct"/>
          </w:tcPr>
          <w:p w14:paraId="25CFC5F1" w14:textId="52880491" w:rsidR="00AA1152" w:rsidRPr="00210AC6" w:rsidRDefault="00AA1152" w:rsidP="00AA1152">
            <w:pPr>
              <w:rPr>
                <w:rFonts w:cs="Arial"/>
                <w:szCs w:val="16"/>
              </w:rPr>
            </w:pPr>
            <w:r w:rsidRPr="00210AC6">
              <w:rPr>
                <w:rFonts w:cs="Arial"/>
                <w:szCs w:val="16"/>
              </w:rPr>
              <w:t>None</w:t>
            </w:r>
          </w:p>
        </w:tc>
        <w:tc>
          <w:tcPr>
            <w:tcW w:w="832" w:type="pct"/>
            <w:shd w:val="clear" w:color="auto" w:fill="D9D9D9" w:themeFill="background1" w:themeFillShade="D9"/>
          </w:tcPr>
          <w:p w14:paraId="2EE980E6" w14:textId="77777777" w:rsidR="00AA1152" w:rsidRPr="00210AC6" w:rsidRDefault="00AA1152" w:rsidP="00AA1152">
            <w:pPr>
              <w:rPr>
                <w:rFonts w:cs="Arial"/>
                <w:szCs w:val="16"/>
              </w:rPr>
            </w:pPr>
          </w:p>
        </w:tc>
        <w:tc>
          <w:tcPr>
            <w:tcW w:w="832" w:type="pct"/>
            <w:shd w:val="clear" w:color="auto" w:fill="D9D9D9" w:themeFill="background1" w:themeFillShade="D9"/>
          </w:tcPr>
          <w:p w14:paraId="4F02C2EF" w14:textId="77777777" w:rsidR="00AA1152" w:rsidRPr="00210AC6" w:rsidRDefault="00AA1152" w:rsidP="00AA1152">
            <w:pPr>
              <w:rPr>
                <w:rFonts w:cs="Arial"/>
                <w:szCs w:val="16"/>
              </w:rPr>
            </w:pPr>
          </w:p>
        </w:tc>
      </w:tr>
      <w:tr w:rsidR="00AA1152" w:rsidRPr="00210AC6" w14:paraId="280FAD4D" w14:textId="77777777" w:rsidTr="00AA1152">
        <w:tc>
          <w:tcPr>
            <w:tcW w:w="2504" w:type="pct"/>
          </w:tcPr>
          <w:p w14:paraId="03E7B148" w14:textId="77777777" w:rsidR="00AA1152" w:rsidRPr="00210AC6" w:rsidRDefault="00AA1152" w:rsidP="00FB3CF2">
            <w:pPr>
              <w:ind w:left="720"/>
              <w:rPr>
                <w:rFonts w:cs="Arial"/>
                <w:b/>
                <w:bCs/>
                <w:szCs w:val="16"/>
              </w:rPr>
            </w:pPr>
            <w:r w:rsidRPr="00210AC6">
              <w:rPr>
                <w:rFonts w:cs="Arial"/>
                <w:b/>
                <w:bCs/>
                <w:szCs w:val="16"/>
              </w:rPr>
              <w:t>Uncorrected identified noncompliance</w:t>
            </w:r>
          </w:p>
        </w:tc>
        <w:tc>
          <w:tcPr>
            <w:tcW w:w="832" w:type="pct"/>
          </w:tcPr>
          <w:p w14:paraId="6A88C370" w14:textId="640AB405" w:rsidR="00AA1152" w:rsidRPr="00210AC6" w:rsidRDefault="00AA1152" w:rsidP="00AA1152">
            <w:pPr>
              <w:rPr>
                <w:rFonts w:cs="Arial"/>
                <w:szCs w:val="16"/>
              </w:rPr>
            </w:pPr>
            <w:r w:rsidRPr="00210AC6">
              <w:rPr>
                <w:rFonts w:cs="Arial"/>
                <w:szCs w:val="16"/>
              </w:rPr>
              <w:t>None</w:t>
            </w:r>
          </w:p>
        </w:tc>
        <w:tc>
          <w:tcPr>
            <w:tcW w:w="832" w:type="pct"/>
            <w:shd w:val="clear" w:color="auto" w:fill="D9D9D9" w:themeFill="background1" w:themeFillShade="D9"/>
          </w:tcPr>
          <w:p w14:paraId="1BBE86F1" w14:textId="77777777" w:rsidR="00AA1152" w:rsidRPr="00210AC6" w:rsidRDefault="00AA1152" w:rsidP="00AA1152">
            <w:pPr>
              <w:rPr>
                <w:rFonts w:cs="Arial"/>
                <w:szCs w:val="16"/>
              </w:rPr>
            </w:pPr>
          </w:p>
        </w:tc>
        <w:tc>
          <w:tcPr>
            <w:tcW w:w="832" w:type="pct"/>
            <w:shd w:val="clear" w:color="auto" w:fill="D9D9D9" w:themeFill="background1" w:themeFillShade="D9"/>
          </w:tcPr>
          <w:p w14:paraId="774B8A90" w14:textId="77777777" w:rsidR="00AA1152" w:rsidRPr="00210AC6" w:rsidRDefault="00AA1152" w:rsidP="00AA1152">
            <w:pPr>
              <w:rPr>
                <w:rFonts w:cs="Arial"/>
                <w:szCs w:val="16"/>
              </w:rPr>
            </w:pPr>
          </w:p>
        </w:tc>
      </w:tr>
    </w:tbl>
    <w:p w14:paraId="72E10240" w14:textId="77777777" w:rsidR="00B42C5F" w:rsidRPr="00210AC6" w:rsidRDefault="00B42C5F" w:rsidP="00BE0EEF">
      <w:pPr>
        <w:rPr>
          <w:rFonts w:cs="Arial"/>
          <w:b/>
          <w:szCs w:val="16"/>
        </w:rPr>
      </w:pPr>
    </w:p>
    <w:p w14:paraId="4871FF24" w14:textId="129218C6" w:rsidR="006B6EF0" w:rsidRDefault="0007196B" w:rsidP="006B6EF0">
      <w:pPr>
        <w:spacing w:before="0" w:after="120" w:line="276" w:lineRule="auto"/>
        <w:rPr>
          <w:b/>
          <w:bCs/>
          <w:szCs w:val="16"/>
        </w:rPr>
      </w:pPr>
      <w:r w:rsidRPr="00845B9B">
        <w:rPr>
          <w:b/>
          <w:bCs/>
          <w:szCs w:val="16"/>
        </w:rPr>
        <w:t>(</w:t>
      </w:r>
      <w:r w:rsidR="00562B2C">
        <w:rPr>
          <w:b/>
          <w:bCs/>
          <w:szCs w:val="16"/>
        </w:rPr>
        <w:t>3</w:t>
      </w:r>
      <w:r w:rsidRPr="00845B9B">
        <w:rPr>
          <w:b/>
          <w:bCs/>
          <w:szCs w:val="16"/>
        </w:rPr>
        <w:t xml:space="preserve">) The complete language for each indicator is located in the Part B SPP/APR Indicator Measurement Table at: </w:t>
      </w:r>
      <w:hyperlink w:history="1"/>
      <w:hyperlink r:id="rId12" w:history="1">
        <w:r w:rsidRPr="00845B9B">
          <w:rPr>
            <w:rStyle w:val="Hyperlink"/>
            <w:b/>
            <w:bCs/>
            <w:szCs w:val="16"/>
          </w:rPr>
          <w:t>https://sites.ed.gov/idea/files/2024_Part-B_SPP-APR_Measurement_Table.pdf</w:t>
        </w:r>
      </w:hyperlink>
      <w:r w:rsidRPr="00845B9B">
        <w:rPr>
          <w:b/>
          <w:bCs/>
          <w:szCs w:val="16"/>
        </w:rPr>
        <w:t xml:space="preserve"> </w:t>
      </w:r>
    </w:p>
    <w:p w14:paraId="089CABA4" w14:textId="175A7572" w:rsidR="00D1413B" w:rsidRPr="00D1413B" w:rsidRDefault="0007196B" w:rsidP="00D1413B">
      <w:pPr>
        <w:spacing w:before="0" w:after="120" w:line="276" w:lineRule="auto"/>
        <w:rPr>
          <w:b/>
          <w:bCs/>
        </w:rPr>
      </w:pPr>
      <w:r>
        <w:rPr>
          <w:b/>
          <w:bCs/>
          <w:szCs w:val="16"/>
        </w:rPr>
        <w:t>(</w:t>
      </w:r>
      <w:r w:rsidR="00562B2C">
        <w:rPr>
          <w:b/>
          <w:bCs/>
        </w:rPr>
        <w:t>4</w:t>
      </w:r>
      <w:r>
        <w:rPr>
          <w:b/>
          <w:bCs/>
        </w:rPr>
        <w:t xml:space="preserve">) </w:t>
      </w:r>
      <w:r>
        <w:rPr>
          <w:b/>
        </w:rPr>
        <w:t>This column reflects full correction, which is factored into the scoring only when the compliance data are &gt;=5% and &lt;10% for Indicators 4B, 9, and 10, and &gt;=90% and &lt;95% for Indicators 11, 12, and 13.</w:t>
      </w:r>
      <w:r w:rsidRPr="00CE3AB1">
        <w:rPr>
          <w:b/>
          <w:bCs/>
        </w:rPr>
        <w:t xml:space="preserve"> </w:t>
      </w:r>
    </w:p>
    <w:p w14:paraId="329F2F2C" w14:textId="63E09295" w:rsidR="006A44D8" w:rsidRPr="00845B9B" w:rsidRDefault="006A44D8" w:rsidP="00845B9B">
      <w:pPr>
        <w:spacing w:before="0" w:after="120" w:line="276" w:lineRule="auto"/>
        <w:rPr>
          <w:b/>
          <w:bCs/>
          <w:szCs w:val="16"/>
        </w:rPr>
      </w:pPr>
      <w:r w:rsidRPr="00845B9B">
        <w:rPr>
          <w:b/>
          <w:bCs/>
        </w:rPr>
        <w:br w:type="page"/>
      </w:r>
    </w:p>
    <w:p w14:paraId="594193B2" w14:textId="16D7A99F" w:rsidR="00BE0EEF" w:rsidRDefault="00BE0EEF" w:rsidP="00BE0EEF">
      <w:pPr>
        <w:pStyle w:val="Heading2"/>
      </w:pPr>
      <w:r w:rsidRPr="003E43D9">
        <w:lastRenderedPageBreak/>
        <w:t>Data Rubric</w:t>
      </w:r>
    </w:p>
    <w:p w14:paraId="174BC165" w14:textId="02F99E88" w:rsidR="00D1413B" w:rsidRPr="00D1413B" w:rsidRDefault="00D1413B" w:rsidP="00D1413B">
      <w:pPr>
        <w:rPr>
          <w:b/>
          <w:bCs/>
          <w:sz w:val="18"/>
          <w:szCs w:val="18"/>
        </w:rPr>
      </w:pPr>
      <w:r w:rsidRPr="00D1413B">
        <w:rPr>
          <w:b/>
          <w:bCs/>
          <w:sz w:val="18"/>
          <w:szCs w:val="18"/>
        </w:rPr>
        <w:t>Colorado</w:t>
      </w:r>
    </w:p>
    <w:p w14:paraId="24531E0C" w14:textId="77777777" w:rsidR="006B6EF0" w:rsidRDefault="006B6EF0" w:rsidP="006B6EF0"/>
    <w:p w14:paraId="27E7D5D5" w14:textId="1037C32A" w:rsidR="00110BB6" w:rsidRPr="00845B9B" w:rsidRDefault="00110BB6" w:rsidP="006B6EF0">
      <w:pPr>
        <w:rPr>
          <w:b/>
          <w:bCs/>
        </w:rPr>
      </w:pPr>
      <w:r w:rsidRPr="00845B9B">
        <w:rPr>
          <w:b/>
          <w:bCs/>
        </w:rPr>
        <w:t>FFY 2022 APR</w:t>
      </w:r>
      <w:r w:rsidR="006B6EF0">
        <w:t xml:space="preserve"> (1)</w:t>
      </w:r>
    </w:p>
    <w:p w14:paraId="09616E16" w14:textId="66FAE548" w:rsidR="006B6EF0" w:rsidRDefault="006B6EF0" w:rsidP="00845B9B">
      <w:r w:rsidRPr="00210AC6">
        <w:rPr>
          <w:rFonts w:eastAsia="Times New Roman" w:cs="Arial"/>
          <w:b/>
          <w:bCs/>
          <w:szCs w:val="16"/>
        </w:rPr>
        <w:t>Part B Timely and Accurate Data -- SPP/APR Data</w:t>
      </w:r>
    </w:p>
    <w:tbl>
      <w:tblPr>
        <w:tblStyle w:val="TableGrid1"/>
        <w:tblW w:w="9824" w:type="dxa"/>
        <w:tblLook w:val="04A0" w:firstRow="1" w:lastRow="0" w:firstColumn="1" w:lastColumn="0" w:noHBand="0" w:noVBand="1"/>
        <w:tblCaption w:val="BRUBCFFYINDVRSTAT"/>
      </w:tblPr>
      <w:tblGrid>
        <w:gridCol w:w="1866"/>
        <w:gridCol w:w="5260"/>
        <w:gridCol w:w="2698"/>
      </w:tblGrid>
      <w:tr w:rsidR="00BE0EEF" w:rsidRPr="00210AC6" w14:paraId="3A3A0C16" w14:textId="77777777" w:rsidTr="00845B9B">
        <w:trPr>
          <w:trHeight w:val="432"/>
        </w:trPr>
        <w:tc>
          <w:tcPr>
            <w:tcW w:w="1866" w:type="dxa"/>
            <w:vAlign w:val="center"/>
            <w:hideMark/>
          </w:tcPr>
          <w:p w14:paraId="68434036" w14:textId="77777777" w:rsidR="00BE0EEF" w:rsidRPr="00210AC6" w:rsidRDefault="00BE0EEF" w:rsidP="006620B0">
            <w:pPr>
              <w:spacing w:before="0" w:after="0"/>
              <w:jc w:val="center"/>
              <w:rPr>
                <w:rFonts w:eastAsia="Times New Roman" w:cs="Arial"/>
                <w:b/>
                <w:bCs/>
                <w:szCs w:val="16"/>
              </w:rPr>
            </w:pPr>
            <w:r w:rsidRPr="00210AC6">
              <w:rPr>
                <w:rFonts w:eastAsia="Times New Roman" w:cs="Arial"/>
                <w:b/>
                <w:bCs/>
                <w:szCs w:val="16"/>
              </w:rPr>
              <w:t>APR Indicator</w:t>
            </w:r>
          </w:p>
        </w:tc>
        <w:tc>
          <w:tcPr>
            <w:tcW w:w="5260" w:type="dxa"/>
            <w:vAlign w:val="center"/>
            <w:hideMark/>
          </w:tcPr>
          <w:p w14:paraId="77033CEB" w14:textId="77777777" w:rsidR="00BE0EEF" w:rsidRPr="00210AC6" w:rsidRDefault="00BE0EEF" w:rsidP="006620B0">
            <w:pPr>
              <w:spacing w:before="0" w:after="0"/>
              <w:jc w:val="center"/>
              <w:rPr>
                <w:rFonts w:eastAsia="Times New Roman" w:cs="Arial"/>
                <w:b/>
                <w:bCs/>
                <w:szCs w:val="16"/>
              </w:rPr>
            </w:pPr>
            <w:r w:rsidRPr="00210AC6">
              <w:rPr>
                <w:rFonts w:eastAsia="Times New Roman" w:cs="Arial"/>
                <w:b/>
                <w:bCs/>
                <w:szCs w:val="16"/>
              </w:rPr>
              <w:t>Valid and Reliable</w:t>
            </w:r>
          </w:p>
        </w:tc>
        <w:tc>
          <w:tcPr>
            <w:tcW w:w="2698" w:type="dxa"/>
            <w:vAlign w:val="center"/>
            <w:hideMark/>
          </w:tcPr>
          <w:p w14:paraId="5244F363" w14:textId="77777777" w:rsidR="00BE0EEF" w:rsidRPr="00210AC6" w:rsidRDefault="00BE0EEF" w:rsidP="006620B0">
            <w:pPr>
              <w:spacing w:before="0" w:after="0"/>
              <w:jc w:val="center"/>
              <w:rPr>
                <w:rFonts w:eastAsia="Times New Roman" w:cs="Arial"/>
                <w:b/>
                <w:bCs/>
                <w:szCs w:val="16"/>
              </w:rPr>
            </w:pPr>
            <w:r w:rsidRPr="00210AC6">
              <w:rPr>
                <w:rFonts w:eastAsia="Times New Roman" w:cs="Arial"/>
                <w:b/>
                <w:bCs/>
                <w:szCs w:val="16"/>
              </w:rPr>
              <w:t>Total</w:t>
            </w:r>
          </w:p>
        </w:tc>
      </w:tr>
      <w:tr w:rsidR="007135ED" w:rsidRPr="00210AC6" w14:paraId="67229BAC" w14:textId="77777777" w:rsidTr="00845B9B">
        <w:trPr>
          <w:trHeight w:val="432"/>
        </w:trPr>
        <w:tc>
          <w:tcPr>
            <w:tcW w:w="1866" w:type="dxa"/>
            <w:vAlign w:val="center"/>
            <w:hideMark/>
          </w:tcPr>
          <w:p w14:paraId="5FEE69C7" w14:textId="77777777" w:rsidR="007135ED" w:rsidRPr="00210AC6" w:rsidRDefault="007135ED" w:rsidP="006620B0">
            <w:pPr>
              <w:spacing w:before="0" w:after="0"/>
              <w:jc w:val="center"/>
              <w:rPr>
                <w:rFonts w:eastAsia="Times New Roman" w:cs="Arial"/>
                <w:b/>
                <w:bCs/>
                <w:szCs w:val="16"/>
              </w:rPr>
            </w:pPr>
            <w:r w:rsidRPr="00210AC6">
              <w:rPr>
                <w:rFonts w:eastAsia="Times New Roman" w:cs="Arial"/>
                <w:b/>
                <w:bCs/>
                <w:szCs w:val="16"/>
              </w:rPr>
              <w:t>1</w:t>
            </w:r>
          </w:p>
        </w:tc>
        <w:tc>
          <w:tcPr>
            <w:tcW w:w="5260" w:type="dxa"/>
            <w:vAlign w:val="center"/>
            <w:hideMark/>
          </w:tcPr>
          <w:p w14:paraId="585CE390" w14:textId="7E251BE0" w:rsidR="007135ED" w:rsidRPr="00210AC6" w:rsidRDefault="007135ED" w:rsidP="006620B0">
            <w:pPr>
              <w:spacing w:before="0" w:after="0"/>
              <w:jc w:val="center"/>
              <w:rPr>
                <w:rFonts w:eastAsia="Times New Roman" w:cs="Arial"/>
                <w:szCs w:val="16"/>
              </w:rPr>
            </w:pPr>
            <w:r w:rsidRPr="00210AC6">
              <w:rPr>
                <w:rFonts w:cs="Arial"/>
                <w:szCs w:val="16"/>
              </w:rPr>
              <w:t>1</w:t>
            </w:r>
          </w:p>
        </w:tc>
        <w:tc>
          <w:tcPr>
            <w:tcW w:w="2698" w:type="dxa"/>
            <w:vAlign w:val="center"/>
            <w:hideMark/>
          </w:tcPr>
          <w:p w14:paraId="7E92F735" w14:textId="595A48A0" w:rsidR="007135ED" w:rsidRPr="00210AC6" w:rsidRDefault="007135ED" w:rsidP="006620B0">
            <w:pPr>
              <w:spacing w:before="0" w:after="0"/>
              <w:jc w:val="center"/>
              <w:rPr>
                <w:rFonts w:eastAsia="Times New Roman" w:cs="Arial"/>
                <w:szCs w:val="16"/>
              </w:rPr>
            </w:pPr>
            <w:r w:rsidRPr="00210AC6">
              <w:rPr>
                <w:rFonts w:cs="Arial"/>
                <w:szCs w:val="16"/>
              </w:rPr>
              <w:t>1</w:t>
            </w:r>
          </w:p>
        </w:tc>
      </w:tr>
      <w:tr w:rsidR="007135ED" w:rsidRPr="00210AC6" w14:paraId="3EB60AC4" w14:textId="77777777" w:rsidTr="00845B9B">
        <w:trPr>
          <w:trHeight w:val="432"/>
        </w:trPr>
        <w:tc>
          <w:tcPr>
            <w:tcW w:w="1866" w:type="dxa"/>
            <w:vAlign w:val="center"/>
            <w:hideMark/>
          </w:tcPr>
          <w:p w14:paraId="35BAF338" w14:textId="77777777" w:rsidR="007135ED" w:rsidRPr="00210AC6" w:rsidRDefault="007135ED" w:rsidP="006620B0">
            <w:pPr>
              <w:spacing w:before="0" w:after="0"/>
              <w:jc w:val="center"/>
              <w:rPr>
                <w:rFonts w:eastAsia="Times New Roman" w:cs="Arial"/>
                <w:b/>
                <w:bCs/>
                <w:szCs w:val="16"/>
              </w:rPr>
            </w:pPr>
            <w:r w:rsidRPr="00210AC6">
              <w:rPr>
                <w:rFonts w:eastAsia="Times New Roman" w:cs="Arial"/>
                <w:b/>
                <w:bCs/>
                <w:szCs w:val="16"/>
              </w:rPr>
              <w:t>2</w:t>
            </w:r>
          </w:p>
        </w:tc>
        <w:tc>
          <w:tcPr>
            <w:tcW w:w="5260" w:type="dxa"/>
            <w:vAlign w:val="center"/>
            <w:hideMark/>
          </w:tcPr>
          <w:p w14:paraId="60118E19" w14:textId="7A45D844" w:rsidR="007135ED" w:rsidRPr="00210AC6" w:rsidRDefault="007135ED" w:rsidP="006620B0">
            <w:pPr>
              <w:spacing w:before="0" w:after="0"/>
              <w:jc w:val="center"/>
              <w:rPr>
                <w:rFonts w:eastAsia="Times New Roman" w:cs="Arial"/>
                <w:szCs w:val="16"/>
              </w:rPr>
            </w:pPr>
            <w:r w:rsidRPr="00210AC6">
              <w:rPr>
                <w:rFonts w:cs="Arial"/>
                <w:szCs w:val="16"/>
              </w:rPr>
              <w:t>1</w:t>
            </w:r>
          </w:p>
        </w:tc>
        <w:tc>
          <w:tcPr>
            <w:tcW w:w="2698" w:type="dxa"/>
            <w:vAlign w:val="center"/>
            <w:hideMark/>
          </w:tcPr>
          <w:p w14:paraId="1C853E5C" w14:textId="79D75765" w:rsidR="007135ED" w:rsidRPr="00210AC6" w:rsidRDefault="007135ED" w:rsidP="006620B0">
            <w:pPr>
              <w:spacing w:before="0" w:after="0"/>
              <w:jc w:val="center"/>
              <w:rPr>
                <w:rFonts w:eastAsia="Times New Roman" w:cs="Arial"/>
                <w:szCs w:val="16"/>
              </w:rPr>
            </w:pPr>
            <w:r w:rsidRPr="00210AC6">
              <w:rPr>
                <w:rFonts w:cs="Arial"/>
                <w:szCs w:val="16"/>
              </w:rPr>
              <w:t>1</w:t>
            </w:r>
          </w:p>
        </w:tc>
      </w:tr>
      <w:tr w:rsidR="007135ED" w:rsidRPr="00210AC6" w14:paraId="25CF8C38" w14:textId="77777777" w:rsidTr="00845B9B">
        <w:trPr>
          <w:trHeight w:val="432"/>
        </w:trPr>
        <w:tc>
          <w:tcPr>
            <w:tcW w:w="1866" w:type="dxa"/>
            <w:vAlign w:val="center"/>
            <w:hideMark/>
          </w:tcPr>
          <w:p w14:paraId="68C7D5A5" w14:textId="77777777" w:rsidR="007135ED" w:rsidRPr="00210AC6" w:rsidRDefault="007135ED" w:rsidP="006620B0">
            <w:pPr>
              <w:spacing w:before="0" w:after="0"/>
              <w:jc w:val="center"/>
              <w:rPr>
                <w:rFonts w:eastAsia="Times New Roman" w:cs="Arial"/>
                <w:b/>
                <w:bCs/>
                <w:szCs w:val="16"/>
              </w:rPr>
            </w:pPr>
            <w:r w:rsidRPr="00210AC6">
              <w:rPr>
                <w:rFonts w:eastAsia="Times New Roman" w:cs="Arial"/>
                <w:b/>
                <w:bCs/>
                <w:szCs w:val="16"/>
              </w:rPr>
              <w:t>3A</w:t>
            </w:r>
          </w:p>
        </w:tc>
        <w:tc>
          <w:tcPr>
            <w:tcW w:w="5260" w:type="dxa"/>
            <w:vAlign w:val="center"/>
            <w:hideMark/>
          </w:tcPr>
          <w:p w14:paraId="555C0FFA" w14:textId="1DF093AF" w:rsidR="007135ED" w:rsidRPr="00210AC6" w:rsidRDefault="007135ED" w:rsidP="006620B0">
            <w:pPr>
              <w:spacing w:before="0" w:after="0"/>
              <w:jc w:val="center"/>
              <w:rPr>
                <w:rFonts w:eastAsia="Times New Roman" w:cs="Arial"/>
                <w:szCs w:val="16"/>
              </w:rPr>
            </w:pPr>
            <w:r w:rsidRPr="00210AC6">
              <w:rPr>
                <w:rFonts w:cs="Arial"/>
                <w:szCs w:val="16"/>
              </w:rPr>
              <w:t>1</w:t>
            </w:r>
          </w:p>
        </w:tc>
        <w:tc>
          <w:tcPr>
            <w:tcW w:w="2698" w:type="dxa"/>
            <w:vAlign w:val="center"/>
            <w:hideMark/>
          </w:tcPr>
          <w:p w14:paraId="47DDDF62" w14:textId="2D82E5CE" w:rsidR="007135ED" w:rsidRPr="00210AC6" w:rsidRDefault="007135ED" w:rsidP="006620B0">
            <w:pPr>
              <w:spacing w:before="0" w:after="0"/>
              <w:jc w:val="center"/>
              <w:rPr>
                <w:rFonts w:eastAsia="Times New Roman" w:cs="Arial"/>
                <w:szCs w:val="16"/>
              </w:rPr>
            </w:pPr>
            <w:r w:rsidRPr="00210AC6">
              <w:rPr>
                <w:rFonts w:cs="Arial"/>
                <w:szCs w:val="16"/>
              </w:rPr>
              <w:t>1</w:t>
            </w:r>
          </w:p>
        </w:tc>
      </w:tr>
      <w:tr w:rsidR="007135ED" w:rsidRPr="00210AC6" w14:paraId="4B04E7EB" w14:textId="77777777" w:rsidTr="00845B9B">
        <w:trPr>
          <w:trHeight w:val="432"/>
        </w:trPr>
        <w:tc>
          <w:tcPr>
            <w:tcW w:w="1866" w:type="dxa"/>
            <w:vAlign w:val="center"/>
            <w:hideMark/>
          </w:tcPr>
          <w:p w14:paraId="2642FD1D" w14:textId="77777777" w:rsidR="007135ED" w:rsidRPr="00210AC6" w:rsidRDefault="007135ED" w:rsidP="006620B0">
            <w:pPr>
              <w:spacing w:before="0" w:after="0"/>
              <w:jc w:val="center"/>
              <w:rPr>
                <w:rFonts w:eastAsia="Times New Roman" w:cs="Arial"/>
                <w:b/>
                <w:bCs/>
                <w:szCs w:val="16"/>
              </w:rPr>
            </w:pPr>
            <w:r w:rsidRPr="00210AC6">
              <w:rPr>
                <w:rFonts w:eastAsia="Times New Roman" w:cs="Arial"/>
                <w:b/>
                <w:bCs/>
                <w:szCs w:val="16"/>
              </w:rPr>
              <w:t>3B</w:t>
            </w:r>
          </w:p>
        </w:tc>
        <w:tc>
          <w:tcPr>
            <w:tcW w:w="5260" w:type="dxa"/>
            <w:vAlign w:val="center"/>
            <w:hideMark/>
          </w:tcPr>
          <w:p w14:paraId="72F500EC" w14:textId="0E1B423F" w:rsidR="007135ED" w:rsidRPr="00210AC6" w:rsidRDefault="007135ED" w:rsidP="006620B0">
            <w:pPr>
              <w:spacing w:before="0" w:after="0"/>
              <w:jc w:val="center"/>
              <w:rPr>
                <w:rFonts w:eastAsia="Times New Roman" w:cs="Arial"/>
                <w:szCs w:val="16"/>
              </w:rPr>
            </w:pPr>
            <w:r w:rsidRPr="00210AC6">
              <w:rPr>
                <w:rFonts w:cs="Arial"/>
                <w:szCs w:val="16"/>
              </w:rPr>
              <w:t>1</w:t>
            </w:r>
          </w:p>
        </w:tc>
        <w:tc>
          <w:tcPr>
            <w:tcW w:w="2698" w:type="dxa"/>
            <w:vAlign w:val="center"/>
            <w:hideMark/>
          </w:tcPr>
          <w:p w14:paraId="3C315133" w14:textId="2F329A69" w:rsidR="007135ED" w:rsidRPr="00210AC6" w:rsidRDefault="007135ED" w:rsidP="006620B0">
            <w:pPr>
              <w:spacing w:before="0" w:after="0"/>
              <w:jc w:val="center"/>
              <w:rPr>
                <w:rFonts w:eastAsia="Times New Roman" w:cs="Arial"/>
                <w:szCs w:val="16"/>
              </w:rPr>
            </w:pPr>
            <w:r w:rsidRPr="00210AC6">
              <w:rPr>
                <w:rFonts w:cs="Arial"/>
                <w:szCs w:val="16"/>
              </w:rPr>
              <w:t>1</w:t>
            </w:r>
          </w:p>
        </w:tc>
      </w:tr>
      <w:tr w:rsidR="007135ED" w:rsidRPr="00210AC6" w14:paraId="13E4959E" w14:textId="77777777" w:rsidTr="00845B9B">
        <w:trPr>
          <w:trHeight w:val="432"/>
        </w:trPr>
        <w:tc>
          <w:tcPr>
            <w:tcW w:w="1866" w:type="dxa"/>
            <w:vAlign w:val="center"/>
            <w:hideMark/>
          </w:tcPr>
          <w:p w14:paraId="16420CC6" w14:textId="77777777" w:rsidR="007135ED" w:rsidRPr="00210AC6" w:rsidRDefault="007135ED" w:rsidP="006620B0">
            <w:pPr>
              <w:spacing w:before="0" w:after="0"/>
              <w:jc w:val="center"/>
              <w:rPr>
                <w:rFonts w:eastAsia="Times New Roman" w:cs="Arial"/>
                <w:b/>
                <w:bCs/>
                <w:szCs w:val="16"/>
              </w:rPr>
            </w:pPr>
            <w:r w:rsidRPr="00210AC6">
              <w:rPr>
                <w:rFonts w:eastAsia="Times New Roman" w:cs="Arial"/>
                <w:b/>
                <w:bCs/>
                <w:szCs w:val="16"/>
              </w:rPr>
              <w:t>3C</w:t>
            </w:r>
          </w:p>
        </w:tc>
        <w:tc>
          <w:tcPr>
            <w:tcW w:w="5260" w:type="dxa"/>
            <w:vAlign w:val="center"/>
            <w:hideMark/>
          </w:tcPr>
          <w:p w14:paraId="7EF0B8B4" w14:textId="2E5673AC" w:rsidR="007135ED" w:rsidRPr="00210AC6" w:rsidRDefault="007135ED" w:rsidP="006620B0">
            <w:pPr>
              <w:spacing w:before="0" w:after="0"/>
              <w:jc w:val="center"/>
              <w:rPr>
                <w:rFonts w:eastAsia="Times New Roman" w:cs="Arial"/>
                <w:szCs w:val="16"/>
              </w:rPr>
            </w:pPr>
            <w:r w:rsidRPr="00210AC6">
              <w:rPr>
                <w:rFonts w:cs="Arial"/>
                <w:szCs w:val="16"/>
              </w:rPr>
              <w:t>1</w:t>
            </w:r>
          </w:p>
        </w:tc>
        <w:tc>
          <w:tcPr>
            <w:tcW w:w="2698" w:type="dxa"/>
            <w:vAlign w:val="center"/>
            <w:hideMark/>
          </w:tcPr>
          <w:p w14:paraId="73EADB1B" w14:textId="03228018" w:rsidR="007135ED" w:rsidRPr="00210AC6" w:rsidRDefault="007135ED" w:rsidP="006620B0">
            <w:pPr>
              <w:spacing w:before="0" w:after="0"/>
              <w:jc w:val="center"/>
              <w:rPr>
                <w:rFonts w:eastAsia="Times New Roman" w:cs="Arial"/>
                <w:szCs w:val="16"/>
              </w:rPr>
            </w:pPr>
            <w:r w:rsidRPr="00210AC6">
              <w:rPr>
                <w:rFonts w:cs="Arial"/>
                <w:szCs w:val="16"/>
              </w:rPr>
              <w:t>1</w:t>
            </w:r>
          </w:p>
        </w:tc>
      </w:tr>
      <w:tr w:rsidR="007135ED" w:rsidRPr="00210AC6" w14:paraId="2844CEDC" w14:textId="77777777" w:rsidTr="00845B9B">
        <w:trPr>
          <w:trHeight w:val="432"/>
        </w:trPr>
        <w:tc>
          <w:tcPr>
            <w:tcW w:w="1866" w:type="dxa"/>
            <w:vAlign w:val="center"/>
            <w:hideMark/>
          </w:tcPr>
          <w:p w14:paraId="434C9D26" w14:textId="77777777" w:rsidR="007135ED" w:rsidRPr="00210AC6" w:rsidRDefault="007135ED" w:rsidP="006620B0">
            <w:pPr>
              <w:spacing w:before="0" w:after="0"/>
              <w:jc w:val="center"/>
              <w:rPr>
                <w:rFonts w:eastAsia="Times New Roman" w:cs="Arial"/>
                <w:b/>
                <w:bCs/>
                <w:szCs w:val="16"/>
              </w:rPr>
            </w:pPr>
            <w:r w:rsidRPr="00210AC6">
              <w:rPr>
                <w:rFonts w:eastAsia="Times New Roman" w:cs="Arial"/>
                <w:b/>
                <w:bCs/>
                <w:szCs w:val="16"/>
              </w:rPr>
              <w:t>3D</w:t>
            </w:r>
          </w:p>
        </w:tc>
        <w:tc>
          <w:tcPr>
            <w:tcW w:w="5260" w:type="dxa"/>
            <w:vAlign w:val="center"/>
            <w:hideMark/>
          </w:tcPr>
          <w:p w14:paraId="6D3590F8" w14:textId="33166A71" w:rsidR="007135ED" w:rsidRPr="00210AC6" w:rsidRDefault="007135ED" w:rsidP="006620B0">
            <w:pPr>
              <w:spacing w:before="0" w:after="0"/>
              <w:jc w:val="center"/>
              <w:rPr>
                <w:rFonts w:eastAsia="Times New Roman" w:cs="Arial"/>
                <w:szCs w:val="16"/>
              </w:rPr>
            </w:pPr>
            <w:r w:rsidRPr="00210AC6">
              <w:rPr>
                <w:rFonts w:cs="Arial"/>
                <w:szCs w:val="16"/>
              </w:rPr>
              <w:t>1</w:t>
            </w:r>
          </w:p>
        </w:tc>
        <w:tc>
          <w:tcPr>
            <w:tcW w:w="2698" w:type="dxa"/>
            <w:vAlign w:val="center"/>
            <w:hideMark/>
          </w:tcPr>
          <w:p w14:paraId="3B0775F3" w14:textId="492F13BA" w:rsidR="007135ED" w:rsidRPr="00210AC6" w:rsidRDefault="007135ED" w:rsidP="006620B0">
            <w:pPr>
              <w:spacing w:before="0" w:after="0"/>
              <w:jc w:val="center"/>
              <w:rPr>
                <w:rFonts w:eastAsia="Times New Roman" w:cs="Arial"/>
                <w:szCs w:val="16"/>
              </w:rPr>
            </w:pPr>
            <w:r w:rsidRPr="00210AC6">
              <w:rPr>
                <w:rFonts w:cs="Arial"/>
                <w:szCs w:val="16"/>
              </w:rPr>
              <w:t>1</w:t>
            </w:r>
          </w:p>
        </w:tc>
      </w:tr>
      <w:tr w:rsidR="007135ED" w:rsidRPr="00210AC6" w14:paraId="0C388C09" w14:textId="77777777" w:rsidTr="00845B9B">
        <w:trPr>
          <w:trHeight w:val="432"/>
        </w:trPr>
        <w:tc>
          <w:tcPr>
            <w:tcW w:w="1866" w:type="dxa"/>
            <w:vAlign w:val="center"/>
            <w:hideMark/>
          </w:tcPr>
          <w:p w14:paraId="72C090C1" w14:textId="77777777" w:rsidR="007135ED" w:rsidRPr="00210AC6" w:rsidRDefault="007135ED" w:rsidP="006620B0">
            <w:pPr>
              <w:spacing w:before="0" w:after="0"/>
              <w:jc w:val="center"/>
              <w:rPr>
                <w:rFonts w:eastAsia="Times New Roman" w:cs="Arial"/>
                <w:b/>
                <w:bCs/>
                <w:szCs w:val="16"/>
              </w:rPr>
            </w:pPr>
            <w:r w:rsidRPr="00210AC6">
              <w:rPr>
                <w:rFonts w:eastAsia="Times New Roman" w:cs="Arial"/>
                <w:b/>
                <w:bCs/>
                <w:szCs w:val="16"/>
              </w:rPr>
              <w:t>4A</w:t>
            </w:r>
          </w:p>
        </w:tc>
        <w:tc>
          <w:tcPr>
            <w:tcW w:w="5260" w:type="dxa"/>
            <w:vAlign w:val="center"/>
            <w:hideMark/>
          </w:tcPr>
          <w:p w14:paraId="607E3D37" w14:textId="1D2D59CA" w:rsidR="007135ED" w:rsidRPr="00210AC6" w:rsidRDefault="007135ED" w:rsidP="006620B0">
            <w:pPr>
              <w:spacing w:before="0" w:after="0"/>
              <w:jc w:val="center"/>
              <w:rPr>
                <w:rFonts w:eastAsia="Times New Roman" w:cs="Arial"/>
                <w:szCs w:val="16"/>
              </w:rPr>
            </w:pPr>
            <w:r w:rsidRPr="00210AC6">
              <w:rPr>
                <w:rFonts w:cs="Arial"/>
                <w:szCs w:val="16"/>
              </w:rPr>
              <w:t>1</w:t>
            </w:r>
          </w:p>
        </w:tc>
        <w:tc>
          <w:tcPr>
            <w:tcW w:w="2698" w:type="dxa"/>
            <w:vAlign w:val="center"/>
            <w:hideMark/>
          </w:tcPr>
          <w:p w14:paraId="65FF3F9E" w14:textId="6929A481" w:rsidR="007135ED" w:rsidRPr="00210AC6" w:rsidRDefault="007135ED" w:rsidP="006620B0">
            <w:pPr>
              <w:spacing w:before="0" w:after="0"/>
              <w:jc w:val="center"/>
              <w:rPr>
                <w:rFonts w:eastAsia="Times New Roman" w:cs="Arial"/>
                <w:szCs w:val="16"/>
              </w:rPr>
            </w:pPr>
            <w:r w:rsidRPr="00210AC6">
              <w:rPr>
                <w:rFonts w:cs="Arial"/>
                <w:szCs w:val="16"/>
              </w:rPr>
              <w:t>1</w:t>
            </w:r>
          </w:p>
        </w:tc>
      </w:tr>
      <w:tr w:rsidR="007135ED" w:rsidRPr="00210AC6" w14:paraId="189D00EB" w14:textId="77777777" w:rsidTr="00845B9B">
        <w:trPr>
          <w:trHeight w:val="432"/>
        </w:trPr>
        <w:tc>
          <w:tcPr>
            <w:tcW w:w="1866" w:type="dxa"/>
            <w:vAlign w:val="center"/>
            <w:hideMark/>
          </w:tcPr>
          <w:p w14:paraId="7060DD81" w14:textId="77777777" w:rsidR="007135ED" w:rsidRPr="00210AC6" w:rsidRDefault="007135ED" w:rsidP="006620B0">
            <w:pPr>
              <w:spacing w:before="0" w:after="0"/>
              <w:jc w:val="center"/>
              <w:rPr>
                <w:rFonts w:eastAsia="Times New Roman" w:cs="Arial"/>
                <w:b/>
                <w:bCs/>
                <w:szCs w:val="16"/>
              </w:rPr>
            </w:pPr>
            <w:r w:rsidRPr="00210AC6">
              <w:rPr>
                <w:rFonts w:eastAsia="Times New Roman" w:cs="Arial"/>
                <w:b/>
                <w:bCs/>
                <w:szCs w:val="16"/>
              </w:rPr>
              <w:t>4B</w:t>
            </w:r>
          </w:p>
        </w:tc>
        <w:tc>
          <w:tcPr>
            <w:tcW w:w="5260" w:type="dxa"/>
            <w:vAlign w:val="center"/>
            <w:hideMark/>
          </w:tcPr>
          <w:p w14:paraId="4F1E8C75" w14:textId="28AF9724" w:rsidR="007135ED" w:rsidRPr="00210AC6" w:rsidRDefault="007135ED" w:rsidP="006620B0">
            <w:pPr>
              <w:spacing w:before="0" w:after="0"/>
              <w:jc w:val="center"/>
              <w:rPr>
                <w:rFonts w:eastAsia="Times New Roman" w:cs="Arial"/>
                <w:szCs w:val="16"/>
              </w:rPr>
            </w:pPr>
            <w:r w:rsidRPr="00210AC6">
              <w:rPr>
                <w:rFonts w:cs="Arial"/>
                <w:szCs w:val="16"/>
              </w:rPr>
              <w:t>1</w:t>
            </w:r>
          </w:p>
        </w:tc>
        <w:tc>
          <w:tcPr>
            <w:tcW w:w="2698" w:type="dxa"/>
            <w:vAlign w:val="center"/>
            <w:hideMark/>
          </w:tcPr>
          <w:p w14:paraId="61FF423D" w14:textId="69E7F43F" w:rsidR="007135ED" w:rsidRPr="00210AC6" w:rsidRDefault="007135ED" w:rsidP="006620B0">
            <w:pPr>
              <w:spacing w:before="0" w:after="0"/>
              <w:jc w:val="center"/>
              <w:rPr>
                <w:rFonts w:eastAsia="Times New Roman" w:cs="Arial"/>
                <w:szCs w:val="16"/>
              </w:rPr>
            </w:pPr>
            <w:r w:rsidRPr="00210AC6">
              <w:rPr>
                <w:rFonts w:cs="Arial"/>
                <w:szCs w:val="16"/>
              </w:rPr>
              <w:t>1</w:t>
            </w:r>
          </w:p>
        </w:tc>
      </w:tr>
      <w:tr w:rsidR="007135ED" w:rsidRPr="00210AC6" w14:paraId="7506E39B" w14:textId="77777777" w:rsidTr="00845B9B">
        <w:trPr>
          <w:trHeight w:val="432"/>
        </w:trPr>
        <w:tc>
          <w:tcPr>
            <w:tcW w:w="1866" w:type="dxa"/>
            <w:vAlign w:val="center"/>
            <w:hideMark/>
          </w:tcPr>
          <w:p w14:paraId="5A38FA48" w14:textId="77777777" w:rsidR="007135ED" w:rsidRPr="00210AC6" w:rsidRDefault="007135ED" w:rsidP="006620B0">
            <w:pPr>
              <w:spacing w:before="0" w:after="0"/>
              <w:jc w:val="center"/>
              <w:rPr>
                <w:rFonts w:eastAsia="Times New Roman" w:cs="Arial"/>
                <w:b/>
                <w:bCs/>
                <w:szCs w:val="16"/>
              </w:rPr>
            </w:pPr>
            <w:r w:rsidRPr="00210AC6">
              <w:rPr>
                <w:rFonts w:eastAsia="Times New Roman" w:cs="Arial"/>
                <w:b/>
                <w:bCs/>
                <w:szCs w:val="16"/>
              </w:rPr>
              <w:t>5</w:t>
            </w:r>
          </w:p>
        </w:tc>
        <w:tc>
          <w:tcPr>
            <w:tcW w:w="5260" w:type="dxa"/>
            <w:vAlign w:val="center"/>
            <w:hideMark/>
          </w:tcPr>
          <w:p w14:paraId="56E67DDD" w14:textId="62C7A4C4" w:rsidR="007135ED" w:rsidRPr="00210AC6" w:rsidRDefault="007135ED" w:rsidP="006620B0">
            <w:pPr>
              <w:spacing w:before="0" w:after="0"/>
              <w:jc w:val="center"/>
              <w:rPr>
                <w:rFonts w:eastAsia="Times New Roman" w:cs="Arial"/>
                <w:szCs w:val="16"/>
              </w:rPr>
            </w:pPr>
            <w:r w:rsidRPr="00210AC6">
              <w:rPr>
                <w:rFonts w:cs="Arial"/>
                <w:szCs w:val="16"/>
              </w:rPr>
              <w:t>1</w:t>
            </w:r>
          </w:p>
        </w:tc>
        <w:tc>
          <w:tcPr>
            <w:tcW w:w="2698" w:type="dxa"/>
            <w:vAlign w:val="center"/>
            <w:hideMark/>
          </w:tcPr>
          <w:p w14:paraId="63775BBA" w14:textId="3962637A" w:rsidR="007135ED" w:rsidRPr="00210AC6" w:rsidRDefault="007135ED" w:rsidP="006620B0">
            <w:pPr>
              <w:spacing w:before="0" w:after="0"/>
              <w:jc w:val="center"/>
              <w:rPr>
                <w:rFonts w:eastAsia="Times New Roman" w:cs="Arial"/>
                <w:szCs w:val="16"/>
              </w:rPr>
            </w:pPr>
            <w:r w:rsidRPr="00210AC6">
              <w:rPr>
                <w:rFonts w:cs="Arial"/>
                <w:szCs w:val="16"/>
              </w:rPr>
              <w:t>1</w:t>
            </w:r>
          </w:p>
        </w:tc>
      </w:tr>
      <w:tr w:rsidR="007135ED" w:rsidRPr="00210AC6" w14:paraId="5377F841" w14:textId="77777777" w:rsidTr="00845B9B">
        <w:trPr>
          <w:trHeight w:val="432"/>
        </w:trPr>
        <w:tc>
          <w:tcPr>
            <w:tcW w:w="1866" w:type="dxa"/>
            <w:vAlign w:val="center"/>
            <w:hideMark/>
          </w:tcPr>
          <w:p w14:paraId="2456A6E0" w14:textId="77777777" w:rsidR="007135ED" w:rsidRPr="00210AC6" w:rsidRDefault="007135ED" w:rsidP="006620B0">
            <w:pPr>
              <w:spacing w:before="0" w:after="0"/>
              <w:jc w:val="center"/>
              <w:rPr>
                <w:rFonts w:eastAsia="Times New Roman" w:cs="Arial"/>
                <w:b/>
                <w:bCs/>
                <w:szCs w:val="16"/>
              </w:rPr>
            </w:pPr>
            <w:r w:rsidRPr="00210AC6">
              <w:rPr>
                <w:rFonts w:eastAsia="Times New Roman" w:cs="Arial"/>
                <w:b/>
                <w:bCs/>
                <w:szCs w:val="16"/>
              </w:rPr>
              <w:t>6</w:t>
            </w:r>
          </w:p>
        </w:tc>
        <w:tc>
          <w:tcPr>
            <w:tcW w:w="5260" w:type="dxa"/>
            <w:vAlign w:val="center"/>
            <w:hideMark/>
          </w:tcPr>
          <w:p w14:paraId="2B4C92B4" w14:textId="1001CA64" w:rsidR="007135ED" w:rsidRPr="00210AC6" w:rsidRDefault="007135ED" w:rsidP="006620B0">
            <w:pPr>
              <w:spacing w:before="0" w:after="0"/>
              <w:jc w:val="center"/>
              <w:rPr>
                <w:rFonts w:eastAsia="Times New Roman" w:cs="Arial"/>
                <w:szCs w:val="16"/>
              </w:rPr>
            </w:pPr>
            <w:r w:rsidRPr="00210AC6">
              <w:rPr>
                <w:rFonts w:cs="Arial"/>
                <w:szCs w:val="16"/>
              </w:rPr>
              <w:t>1</w:t>
            </w:r>
          </w:p>
        </w:tc>
        <w:tc>
          <w:tcPr>
            <w:tcW w:w="2698" w:type="dxa"/>
            <w:vAlign w:val="center"/>
            <w:hideMark/>
          </w:tcPr>
          <w:p w14:paraId="33A4C720" w14:textId="210A767D" w:rsidR="007135ED" w:rsidRPr="00210AC6" w:rsidRDefault="007135ED" w:rsidP="006620B0">
            <w:pPr>
              <w:spacing w:before="0" w:after="0"/>
              <w:jc w:val="center"/>
              <w:rPr>
                <w:rFonts w:eastAsia="Times New Roman" w:cs="Arial"/>
                <w:szCs w:val="16"/>
              </w:rPr>
            </w:pPr>
            <w:r w:rsidRPr="00210AC6">
              <w:rPr>
                <w:rFonts w:cs="Arial"/>
                <w:szCs w:val="16"/>
              </w:rPr>
              <w:t>1</w:t>
            </w:r>
          </w:p>
        </w:tc>
      </w:tr>
      <w:tr w:rsidR="007135ED" w:rsidRPr="00210AC6" w14:paraId="2AB6FF3A" w14:textId="77777777" w:rsidTr="00845B9B">
        <w:trPr>
          <w:trHeight w:val="432"/>
        </w:trPr>
        <w:tc>
          <w:tcPr>
            <w:tcW w:w="1866" w:type="dxa"/>
            <w:vAlign w:val="center"/>
            <w:hideMark/>
          </w:tcPr>
          <w:p w14:paraId="3C7BC974" w14:textId="77777777" w:rsidR="007135ED" w:rsidRPr="00210AC6" w:rsidRDefault="007135ED" w:rsidP="006620B0">
            <w:pPr>
              <w:spacing w:before="0" w:after="0"/>
              <w:jc w:val="center"/>
              <w:rPr>
                <w:rFonts w:eastAsia="Times New Roman" w:cs="Arial"/>
                <w:b/>
                <w:bCs/>
                <w:szCs w:val="16"/>
              </w:rPr>
            </w:pPr>
            <w:r w:rsidRPr="00210AC6">
              <w:rPr>
                <w:rFonts w:eastAsia="Times New Roman" w:cs="Arial"/>
                <w:b/>
                <w:bCs/>
                <w:szCs w:val="16"/>
              </w:rPr>
              <w:t>7</w:t>
            </w:r>
          </w:p>
        </w:tc>
        <w:tc>
          <w:tcPr>
            <w:tcW w:w="5260" w:type="dxa"/>
            <w:vAlign w:val="center"/>
            <w:hideMark/>
          </w:tcPr>
          <w:p w14:paraId="73EC39EF" w14:textId="2AD790D6" w:rsidR="007135ED" w:rsidRPr="00210AC6" w:rsidRDefault="007135ED" w:rsidP="006620B0">
            <w:pPr>
              <w:spacing w:before="0" w:after="0"/>
              <w:jc w:val="center"/>
              <w:rPr>
                <w:rFonts w:eastAsia="Times New Roman" w:cs="Arial"/>
                <w:szCs w:val="16"/>
              </w:rPr>
            </w:pPr>
            <w:r w:rsidRPr="00210AC6">
              <w:rPr>
                <w:rFonts w:cs="Arial"/>
                <w:szCs w:val="16"/>
              </w:rPr>
              <w:t>1</w:t>
            </w:r>
          </w:p>
        </w:tc>
        <w:tc>
          <w:tcPr>
            <w:tcW w:w="2698" w:type="dxa"/>
            <w:vAlign w:val="center"/>
            <w:hideMark/>
          </w:tcPr>
          <w:p w14:paraId="48777B03" w14:textId="55F47E9C" w:rsidR="007135ED" w:rsidRPr="00210AC6" w:rsidRDefault="007135ED" w:rsidP="006620B0">
            <w:pPr>
              <w:spacing w:before="0" w:after="0"/>
              <w:jc w:val="center"/>
              <w:rPr>
                <w:rFonts w:eastAsia="Times New Roman" w:cs="Arial"/>
                <w:szCs w:val="16"/>
              </w:rPr>
            </w:pPr>
            <w:r w:rsidRPr="00210AC6">
              <w:rPr>
                <w:rFonts w:cs="Arial"/>
                <w:szCs w:val="16"/>
              </w:rPr>
              <w:t>1</w:t>
            </w:r>
          </w:p>
        </w:tc>
      </w:tr>
      <w:tr w:rsidR="007135ED" w:rsidRPr="00210AC6" w14:paraId="0779C23E" w14:textId="77777777" w:rsidTr="00845B9B">
        <w:trPr>
          <w:trHeight w:val="432"/>
        </w:trPr>
        <w:tc>
          <w:tcPr>
            <w:tcW w:w="1866" w:type="dxa"/>
            <w:vAlign w:val="center"/>
            <w:hideMark/>
          </w:tcPr>
          <w:p w14:paraId="496A2571" w14:textId="77777777" w:rsidR="007135ED" w:rsidRPr="00210AC6" w:rsidRDefault="007135ED" w:rsidP="006620B0">
            <w:pPr>
              <w:spacing w:before="0" w:after="0"/>
              <w:jc w:val="center"/>
              <w:rPr>
                <w:rFonts w:eastAsia="Times New Roman" w:cs="Arial"/>
                <w:b/>
                <w:bCs/>
                <w:szCs w:val="16"/>
              </w:rPr>
            </w:pPr>
            <w:r w:rsidRPr="00210AC6">
              <w:rPr>
                <w:rFonts w:eastAsia="Times New Roman" w:cs="Arial"/>
                <w:b/>
                <w:bCs/>
                <w:szCs w:val="16"/>
              </w:rPr>
              <w:t>8</w:t>
            </w:r>
          </w:p>
        </w:tc>
        <w:tc>
          <w:tcPr>
            <w:tcW w:w="5260" w:type="dxa"/>
            <w:vAlign w:val="center"/>
            <w:hideMark/>
          </w:tcPr>
          <w:p w14:paraId="082B43EF" w14:textId="5ACD387E" w:rsidR="007135ED" w:rsidRPr="00210AC6" w:rsidRDefault="007135ED" w:rsidP="006620B0">
            <w:pPr>
              <w:spacing w:before="0" w:after="0"/>
              <w:jc w:val="center"/>
              <w:rPr>
                <w:rFonts w:eastAsia="Times New Roman" w:cs="Arial"/>
                <w:szCs w:val="16"/>
              </w:rPr>
            </w:pPr>
            <w:r w:rsidRPr="00210AC6">
              <w:rPr>
                <w:rFonts w:cs="Arial"/>
                <w:szCs w:val="16"/>
              </w:rPr>
              <w:t>1</w:t>
            </w:r>
          </w:p>
        </w:tc>
        <w:tc>
          <w:tcPr>
            <w:tcW w:w="2698" w:type="dxa"/>
            <w:vAlign w:val="center"/>
            <w:hideMark/>
          </w:tcPr>
          <w:p w14:paraId="7ED9E02B" w14:textId="568C62A7" w:rsidR="007135ED" w:rsidRPr="00210AC6" w:rsidRDefault="007135ED" w:rsidP="006620B0">
            <w:pPr>
              <w:spacing w:before="0" w:after="0"/>
              <w:jc w:val="center"/>
              <w:rPr>
                <w:rFonts w:eastAsia="Times New Roman" w:cs="Arial"/>
                <w:szCs w:val="16"/>
              </w:rPr>
            </w:pPr>
            <w:r w:rsidRPr="00210AC6">
              <w:rPr>
                <w:rFonts w:cs="Arial"/>
                <w:szCs w:val="16"/>
              </w:rPr>
              <w:t>1</w:t>
            </w:r>
          </w:p>
        </w:tc>
      </w:tr>
      <w:tr w:rsidR="007135ED" w:rsidRPr="00210AC6" w14:paraId="4AB1D469" w14:textId="77777777" w:rsidTr="00845B9B">
        <w:trPr>
          <w:trHeight w:val="432"/>
        </w:trPr>
        <w:tc>
          <w:tcPr>
            <w:tcW w:w="1866" w:type="dxa"/>
            <w:vAlign w:val="center"/>
            <w:hideMark/>
          </w:tcPr>
          <w:p w14:paraId="651D784C" w14:textId="77777777" w:rsidR="007135ED" w:rsidRPr="00210AC6" w:rsidRDefault="007135ED" w:rsidP="006620B0">
            <w:pPr>
              <w:spacing w:before="0" w:after="0"/>
              <w:jc w:val="center"/>
              <w:rPr>
                <w:rFonts w:eastAsia="Times New Roman" w:cs="Arial"/>
                <w:b/>
                <w:bCs/>
                <w:szCs w:val="16"/>
              </w:rPr>
            </w:pPr>
            <w:r w:rsidRPr="00210AC6">
              <w:rPr>
                <w:rFonts w:eastAsia="Times New Roman" w:cs="Arial"/>
                <w:b/>
                <w:bCs/>
                <w:szCs w:val="16"/>
              </w:rPr>
              <w:t>9</w:t>
            </w:r>
          </w:p>
        </w:tc>
        <w:tc>
          <w:tcPr>
            <w:tcW w:w="5260" w:type="dxa"/>
            <w:vAlign w:val="center"/>
            <w:hideMark/>
          </w:tcPr>
          <w:p w14:paraId="369CE928" w14:textId="448F558C" w:rsidR="007135ED" w:rsidRPr="00210AC6" w:rsidRDefault="007135ED" w:rsidP="006620B0">
            <w:pPr>
              <w:spacing w:before="0" w:after="0"/>
              <w:jc w:val="center"/>
              <w:rPr>
                <w:rFonts w:eastAsia="Times New Roman" w:cs="Arial"/>
                <w:szCs w:val="16"/>
              </w:rPr>
            </w:pPr>
            <w:r w:rsidRPr="00210AC6">
              <w:rPr>
                <w:rFonts w:cs="Arial"/>
                <w:szCs w:val="16"/>
              </w:rPr>
              <w:t>1</w:t>
            </w:r>
          </w:p>
        </w:tc>
        <w:tc>
          <w:tcPr>
            <w:tcW w:w="2698" w:type="dxa"/>
            <w:vAlign w:val="center"/>
            <w:hideMark/>
          </w:tcPr>
          <w:p w14:paraId="3CA96C70" w14:textId="4C654E07" w:rsidR="007135ED" w:rsidRPr="00210AC6" w:rsidRDefault="007135ED" w:rsidP="006620B0">
            <w:pPr>
              <w:spacing w:before="0" w:after="0"/>
              <w:jc w:val="center"/>
              <w:rPr>
                <w:rFonts w:eastAsia="Times New Roman" w:cs="Arial"/>
                <w:szCs w:val="16"/>
              </w:rPr>
            </w:pPr>
            <w:r w:rsidRPr="00210AC6">
              <w:rPr>
                <w:rFonts w:cs="Arial"/>
                <w:szCs w:val="16"/>
              </w:rPr>
              <w:t>1</w:t>
            </w:r>
          </w:p>
        </w:tc>
      </w:tr>
      <w:tr w:rsidR="007135ED" w:rsidRPr="00210AC6" w14:paraId="69A1B919" w14:textId="77777777" w:rsidTr="00845B9B">
        <w:trPr>
          <w:trHeight w:val="432"/>
        </w:trPr>
        <w:tc>
          <w:tcPr>
            <w:tcW w:w="1866" w:type="dxa"/>
            <w:vAlign w:val="center"/>
            <w:hideMark/>
          </w:tcPr>
          <w:p w14:paraId="232EA42D" w14:textId="77777777" w:rsidR="007135ED" w:rsidRPr="00210AC6" w:rsidRDefault="007135ED" w:rsidP="006620B0">
            <w:pPr>
              <w:spacing w:before="0" w:after="0"/>
              <w:jc w:val="center"/>
              <w:rPr>
                <w:rFonts w:eastAsia="Times New Roman" w:cs="Arial"/>
                <w:b/>
                <w:bCs/>
                <w:szCs w:val="16"/>
              </w:rPr>
            </w:pPr>
            <w:r w:rsidRPr="00210AC6">
              <w:rPr>
                <w:rFonts w:eastAsia="Times New Roman" w:cs="Arial"/>
                <w:b/>
                <w:bCs/>
                <w:szCs w:val="16"/>
              </w:rPr>
              <w:t>10</w:t>
            </w:r>
          </w:p>
        </w:tc>
        <w:tc>
          <w:tcPr>
            <w:tcW w:w="5260" w:type="dxa"/>
            <w:noWrap/>
            <w:vAlign w:val="center"/>
            <w:hideMark/>
          </w:tcPr>
          <w:p w14:paraId="4F5D18A1" w14:textId="0D0667C6" w:rsidR="007135ED" w:rsidRPr="00210AC6" w:rsidRDefault="007135ED" w:rsidP="006620B0">
            <w:pPr>
              <w:spacing w:before="0" w:after="0"/>
              <w:jc w:val="center"/>
              <w:rPr>
                <w:rFonts w:eastAsia="Times New Roman" w:cs="Arial"/>
                <w:szCs w:val="16"/>
              </w:rPr>
            </w:pPr>
            <w:r w:rsidRPr="00210AC6">
              <w:rPr>
                <w:rFonts w:cs="Arial"/>
                <w:szCs w:val="16"/>
              </w:rPr>
              <w:t>1</w:t>
            </w:r>
          </w:p>
        </w:tc>
        <w:tc>
          <w:tcPr>
            <w:tcW w:w="2698" w:type="dxa"/>
            <w:vAlign w:val="center"/>
            <w:hideMark/>
          </w:tcPr>
          <w:p w14:paraId="4186C0DD" w14:textId="7A9F886A" w:rsidR="007135ED" w:rsidRPr="00210AC6" w:rsidRDefault="007135ED" w:rsidP="006620B0">
            <w:pPr>
              <w:spacing w:before="0" w:after="0"/>
              <w:jc w:val="center"/>
              <w:rPr>
                <w:rFonts w:eastAsia="Times New Roman" w:cs="Arial"/>
                <w:szCs w:val="16"/>
              </w:rPr>
            </w:pPr>
            <w:r w:rsidRPr="00210AC6">
              <w:rPr>
                <w:rFonts w:cs="Arial"/>
                <w:szCs w:val="16"/>
              </w:rPr>
              <w:t>1</w:t>
            </w:r>
          </w:p>
        </w:tc>
      </w:tr>
      <w:tr w:rsidR="007135ED" w:rsidRPr="00210AC6" w14:paraId="58A1305C" w14:textId="77777777" w:rsidTr="00845B9B">
        <w:trPr>
          <w:trHeight w:val="432"/>
        </w:trPr>
        <w:tc>
          <w:tcPr>
            <w:tcW w:w="1866" w:type="dxa"/>
            <w:vAlign w:val="center"/>
            <w:hideMark/>
          </w:tcPr>
          <w:p w14:paraId="7C46D39D" w14:textId="77777777" w:rsidR="007135ED" w:rsidRPr="00210AC6" w:rsidRDefault="007135ED" w:rsidP="006620B0">
            <w:pPr>
              <w:spacing w:before="0" w:after="0"/>
              <w:jc w:val="center"/>
              <w:rPr>
                <w:rFonts w:eastAsia="Times New Roman" w:cs="Arial"/>
                <w:b/>
                <w:bCs/>
                <w:szCs w:val="16"/>
              </w:rPr>
            </w:pPr>
            <w:r w:rsidRPr="00210AC6">
              <w:rPr>
                <w:rFonts w:eastAsia="Times New Roman" w:cs="Arial"/>
                <w:b/>
                <w:bCs/>
                <w:szCs w:val="16"/>
              </w:rPr>
              <w:t>11</w:t>
            </w:r>
          </w:p>
        </w:tc>
        <w:tc>
          <w:tcPr>
            <w:tcW w:w="5260" w:type="dxa"/>
            <w:vAlign w:val="center"/>
            <w:hideMark/>
          </w:tcPr>
          <w:p w14:paraId="44311E94" w14:textId="0EFD9CDB" w:rsidR="007135ED" w:rsidRPr="00210AC6" w:rsidRDefault="007135ED" w:rsidP="006620B0">
            <w:pPr>
              <w:spacing w:before="0" w:after="0"/>
              <w:jc w:val="center"/>
              <w:rPr>
                <w:rFonts w:eastAsia="Times New Roman" w:cs="Arial"/>
                <w:szCs w:val="16"/>
              </w:rPr>
            </w:pPr>
            <w:r w:rsidRPr="00210AC6">
              <w:rPr>
                <w:rFonts w:cs="Arial"/>
                <w:szCs w:val="16"/>
              </w:rPr>
              <w:t>1</w:t>
            </w:r>
          </w:p>
        </w:tc>
        <w:tc>
          <w:tcPr>
            <w:tcW w:w="2698" w:type="dxa"/>
            <w:vAlign w:val="center"/>
            <w:hideMark/>
          </w:tcPr>
          <w:p w14:paraId="2B6EE703" w14:textId="41414374" w:rsidR="007135ED" w:rsidRPr="00210AC6" w:rsidRDefault="007135ED" w:rsidP="006620B0">
            <w:pPr>
              <w:spacing w:before="0" w:after="0"/>
              <w:jc w:val="center"/>
              <w:rPr>
                <w:rFonts w:eastAsia="Times New Roman" w:cs="Arial"/>
                <w:szCs w:val="16"/>
              </w:rPr>
            </w:pPr>
            <w:r w:rsidRPr="00210AC6">
              <w:rPr>
                <w:rFonts w:cs="Arial"/>
                <w:szCs w:val="16"/>
              </w:rPr>
              <w:t>1</w:t>
            </w:r>
          </w:p>
        </w:tc>
      </w:tr>
      <w:tr w:rsidR="007135ED" w:rsidRPr="00210AC6" w14:paraId="00BEC1BD" w14:textId="77777777" w:rsidTr="00845B9B">
        <w:trPr>
          <w:trHeight w:val="432"/>
        </w:trPr>
        <w:tc>
          <w:tcPr>
            <w:tcW w:w="1866" w:type="dxa"/>
            <w:vAlign w:val="center"/>
            <w:hideMark/>
          </w:tcPr>
          <w:p w14:paraId="3AC92432" w14:textId="77777777" w:rsidR="007135ED" w:rsidRPr="00210AC6" w:rsidRDefault="007135ED" w:rsidP="006620B0">
            <w:pPr>
              <w:spacing w:before="0" w:after="0"/>
              <w:jc w:val="center"/>
              <w:rPr>
                <w:rFonts w:eastAsia="Times New Roman" w:cs="Arial"/>
                <w:b/>
                <w:bCs/>
                <w:szCs w:val="16"/>
              </w:rPr>
            </w:pPr>
            <w:r w:rsidRPr="00210AC6">
              <w:rPr>
                <w:rFonts w:eastAsia="Times New Roman" w:cs="Arial"/>
                <w:b/>
                <w:bCs/>
                <w:szCs w:val="16"/>
              </w:rPr>
              <w:t>12</w:t>
            </w:r>
          </w:p>
        </w:tc>
        <w:tc>
          <w:tcPr>
            <w:tcW w:w="5260" w:type="dxa"/>
            <w:noWrap/>
            <w:vAlign w:val="center"/>
            <w:hideMark/>
          </w:tcPr>
          <w:p w14:paraId="517E65C9" w14:textId="22367138" w:rsidR="007135ED" w:rsidRPr="00210AC6" w:rsidRDefault="007135ED" w:rsidP="006620B0">
            <w:pPr>
              <w:spacing w:before="0" w:after="0"/>
              <w:jc w:val="center"/>
              <w:rPr>
                <w:rFonts w:eastAsia="Times New Roman" w:cs="Arial"/>
                <w:szCs w:val="16"/>
              </w:rPr>
            </w:pPr>
            <w:r w:rsidRPr="00210AC6">
              <w:rPr>
                <w:rFonts w:cs="Arial"/>
                <w:szCs w:val="16"/>
              </w:rPr>
              <w:t>1</w:t>
            </w:r>
          </w:p>
        </w:tc>
        <w:tc>
          <w:tcPr>
            <w:tcW w:w="2698" w:type="dxa"/>
            <w:vAlign w:val="center"/>
            <w:hideMark/>
          </w:tcPr>
          <w:p w14:paraId="79139EC4" w14:textId="58B023D9" w:rsidR="007135ED" w:rsidRPr="00210AC6" w:rsidRDefault="007135ED" w:rsidP="006620B0">
            <w:pPr>
              <w:spacing w:before="0" w:after="0"/>
              <w:jc w:val="center"/>
              <w:rPr>
                <w:rFonts w:eastAsia="Times New Roman" w:cs="Arial"/>
                <w:szCs w:val="16"/>
              </w:rPr>
            </w:pPr>
            <w:r w:rsidRPr="00210AC6">
              <w:rPr>
                <w:rFonts w:cs="Arial"/>
                <w:szCs w:val="16"/>
              </w:rPr>
              <w:t>1</w:t>
            </w:r>
          </w:p>
        </w:tc>
      </w:tr>
      <w:tr w:rsidR="007135ED" w:rsidRPr="00210AC6" w14:paraId="6208F430" w14:textId="77777777" w:rsidTr="00845B9B">
        <w:trPr>
          <w:trHeight w:val="432"/>
        </w:trPr>
        <w:tc>
          <w:tcPr>
            <w:tcW w:w="1866" w:type="dxa"/>
            <w:vAlign w:val="center"/>
            <w:hideMark/>
          </w:tcPr>
          <w:p w14:paraId="311B1EF1" w14:textId="77777777" w:rsidR="007135ED" w:rsidRPr="00210AC6" w:rsidRDefault="007135ED" w:rsidP="006620B0">
            <w:pPr>
              <w:spacing w:before="0" w:after="0"/>
              <w:jc w:val="center"/>
              <w:rPr>
                <w:rFonts w:eastAsia="Times New Roman" w:cs="Arial"/>
                <w:b/>
                <w:bCs/>
                <w:szCs w:val="16"/>
              </w:rPr>
            </w:pPr>
            <w:r w:rsidRPr="00210AC6">
              <w:rPr>
                <w:rFonts w:eastAsia="Times New Roman" w:cs="Arial"/>
                <w:b/>
                <w:bCs/>
                <w:szCs w:val="16"/>
              </w:rPr>
              <w:t>13</w:t>
            </w:r>
          </w:p>
        </w:tc>
        <w:tc>
          <w:tcPr>
            <w:tcW w:w="5260" w:type="dxa"/>
            <w:vAlign w:val="center"/>
            <w:hideMark/>
          </w:tcPr>
          <w:p w14:paraId="787ECEA1" w14:textId="72BB8351" w:rsidR="007135ED" w:rsidRPr="00210AC6" w:rsidRDefault="007135ED" w:rsidP="006620B0">
            <w:pPr>
              <w:spacing w:before="0" w:after="0"/>
              <w:jc w:val="center"/>
              <w:rPr>
                <w:rFonts w:eastAsia="Times New Roman" w:cs="Arial"/>
                <w:szCs w:val="16"/>
              </w:rPr>
            </w:pPr>
            <w:r w:rsidRPr="00210AC6">
              <w:rPr>
                <w:rFonts w:cs="Arial"/>
                <w:szCs w:val="16"/>
              </w:rPr>
              <w:t>1</w:t>
            </w:r>
          </w:p>
        </w:tc>
        <w:tc>
          <w:tcPr>
            <w:tcW w:w="2698" w:type="dxa"/>
            <w:vAlign w:val="center"/>
            <w:hideMark/>
          </w:tcPr>
          <w:p w14:paraId="33C9DBFB" w14:textId="006A7124" w:rsidR="007135ED" w:rsidRPr="00210AC6" w:rsidRDefault="007135ED" w:rsidP="006620B0">
            <w:pPr>
              <w:spacing w:before="0" w:after="0"/>
              <w:jc w:val="center"/>
              <w:rPr>
                <w:rFonts w:eastAsia="Times New Roman" w:cs="Arial"/>
                <w:szCs w:val="16"/>
              </w:rPr>
            </w:pPr>
            <w:r w:rsidRPr="00210AC6">
              <w:rPr>
                <w:rFonts w:cs="Arial"/>
                <w:szCs w:val="16"/>
              </w:rPr>
              <w:t>1</w:t>
            </w:r>
          </w:p>
        </w:tc>
      </w:tr>
      <w:tr w:rsidR="007135ED" w:rsidRPr="00210AC6" w14:paraId="755669C6" w14:textId="77777777" w:rsidTr="00845B9B">
        <w:trPr>
          <w:trHeight w:val="432"/>
        </w:trPr>
        <w:tc>
          <w:tcPr>
            <w:tcW w:w="1866" w:type="dxa"/>
            <w:vAlign w:val="center"/>
            <w:hideMark/>
          </w:tcPr>
          <w:p w14:paraId="0C8CC4A2" w14:textId="77777777" w:rsidR="007135ED" w:rsidRPr="00210AC6" w:rsidRDefault="007135ED" w:rsidP="006620B0">
            <w:pPr>
              <w:spacing w:before="0" w:after="0"/>
              <w:jc w:val="center"/>
              <w:rPr>
                <w:rFonts w:eastAsia="Times New Roman" w:cs="Arial"/>
                <w:b/>
                <w:bCs/>
                <w:szCs w:val="16"/>
              </w:rPr>
            </w:pPr>
            <w:r w:rsidRPr="00210AC6">
              <w:rPr>
                <w:rFonts w:eastAsia="Times New Roman" w:cs="Arial"/>
                <w:b/>
                <w:bCs/>
                <w:szCs w:val="16"/>
              </w:rPr>
              <w:t>14</w:t>
            </w:r>
          </w:p>
        </w:tc>
        <w:tc>
          <w:tcPr>
            <w:tcW w:w="5260" w:type="dxa"/>
            <w:vAlign w:val="center"/>
            <w:hideMark/>
          </w:tcPr>
          <w:p w14:paraId="0F60439C" w14:textId="6F9A8D8B" w:rsidR="007135ED" w:rsidRPr="00210AC6" w:rsidRDefault="007135ED" w:rsidP="006620B0">
            <w:pPr>
              <w:spacing w:before="0" w:after="0"/>
              <w:jc w:val="center"/>
              <w:rPr>
                <w:rFonts w:eastAsia="Times New Roman" w:cs="Arial"/>
                <w:szCs w:val="16"/>
              </w:rPr>
            </w:pPr>
            <w:r w:rsidRPr="00210AC6">
              <w:rPr>
                <w:rFonts w:cs="Arial"/>
                <w:szCs w:val="16"/>
              </w:rPr>
              <w:t>1</w:t>
            </w:r>
          </w:p>
        </w:tc>
        <w:tc>
          <w:tcPr>
            <w:tcW w:w="2698" w:type="dxa"/>
            <w:vAlign w:val="center"/>
            <w:hideMark/>
          </w:tcPr>
          <w:p w14:paraId="7B0E7975" w14:textId="5A277488" w:rsidR="007135ED" w:rsidRPr="00210AC6" w:rsidRDefault="007135ED" w:rsidP="006620B0">
            <w:pPr>
              <w:spacing w:before="0" w:after="0"/>
              <w:jc w:val="center"/>
              <w:rPr>
                <w:rFonts w:eastAsia="Times New Roman" w:cs="Arial"/>
                <w:szCs w:val="16"/>
              </w:rPr>
            </w:pPr>
            <w:r w:rsidRPr="00210AC6">
              <w:rPr>
                <w:rFonts w:cs="Arial"/>
                <w:szCs w:val="16"/>
              </w:rPr>
              <w:t>1</w:t>
            </w:r>
          </w:p>
        </w:tc>
      </w:tr>
      <w:tr w:rsidR="007135ED" w:rsidRPr="00210AC6" w14:paraId="5017B468" w14:textId="77777777" w:rsidTr="00845B9B">
        <w:trPr>
          <w:trHeight w:val="432"/>
        </w:trPr>
        <w:tc>
          <w:tcPr>
            <w:tcW w:w="1866" w:type="dxa"/>
            <w:vAlign w:val="center"/>
            <w:hideMark/>
          </w:tcPr>
          <w:p w14:paraId="0F24BCE8" w14:textId="77777777" w:rsidR="007135ED" w:rsidRPr="00210AC6" w:rsidRDefault="007135ED" w:rsidP="006620B0">
            <w:pPr>
              <w:spacing w:before="0" w:after="0"/>
              <w:jc w:val="center"/>
              <w:rPr>
                <w:rFonts w:eastAsia="Times New Roman" w:cs="Arial"/>
                <w:b/>
                <w:bCs/>
                <w:szCs w:val="16"/>
              </w:rPr>
            </w:pPr>
            <w:r w:rsidRPr="00210AC6">
              <w:rPr>
                <w:rFonts w:eastAsia="Times New Roman" w:cs="Arial"/>
                <w:b/>
                <w:bCs/>
                <w:szCs w:val="16"/>
              </w:rPr>
              <w:t>15</w:t>
            </w:r>
          </w:p>
        </w:tc>
        <w:tc>
          <w:tcPr>
            <w:tcW w:w="5260" w:type="dxa"/>
            <w:vAlign w:val="center"/>
            <w:hideMark/>
          </w:tcPr>
          <w:p w14:paraId="0F6FBA05" w14:textId="68CE842F" w:rsidR="007135ED" w:rsidRPr="00210AC6" w:rsidRDefault="007135ED" w:rsidP="006620B0">
            <w:pPr>
              <w:spacing w:before="0" w:after="0"/>
              <w:jc w:val="center"/>
              <w:rPr>
                <w:rFonts w:eastAsia="Times New Roman" w:cs="Arial"/>
                <w:szCs w:val="16"/>
              </w:rPr>
            </w:pPr>
            <w:r w:rsidRPr="00210AC6">
              <w:rPr>
                <w:rFonts w:cs="Arial"/>
                <w:szCs w:val="16"/>
              </w:rPr>
              <w:t>1</w:t>
            </w:r>
          </w:p>
        </w:tc>
        <w:tc>
          <w:tcPr>
            <w:tcW w:w="2698" w:type="dxa"/>
            <w:vAlign w:val="center"/>
            <w:hideMark/>
          </w:tcPr>
          <w:p w14:paraId="4C400BF6" w14:textId="5BEBC59F" w:rsidR="007135ED" w:rsidRPr="00210AC6" w:rsidRDefault="007135ED" w:rsidP="006620B0">
            <w:pPr>
              <w:spacing w:before="0" w:after="0"/>
              <w:jc w:val="center"/>
              <w:rPr>
                <w:rFonts w:eastAsia="Times New Roman" w:cs="Arial"/>
                <w:szCs w:val="16"/>
              </w:rPr>
            </w:pPr>
            <w:r w:rsidRPr="00210AC6">
              <w:rPr>
                <w:rFonts w:cs="Arial"/>
                <w:szCs w:val="16"/>
              </w:rPr>
              <w:t>1</w:t>
            </w:r>
          </w:p>
        </w:tc>
      </w:tr>
      <w:tr w:rsidR="007135ED" w:rsidRPr="00210AC6" w14:paraId="480B321C" w14:textId="77777777" w:rsidTr="00845B9B">
        <w:trPr>
          <w:trHeight w:val="432"/>
        </w:trPr>
        <w:tc>
          <w:tcPr>
            <w:tcW w:w="1866" w:type="dxa"/>
            <w:vAlign w:val="center"/>
            <w:hideMark/>
          </w:tcPr>
          <w:p w14:paraId="3870E408" w14:textId="77777777" w:rsidR="007135ED" w:rsidRPr="00210AC6" w:rsidRDefault="007135ED" w:rsidP="006620B0">
            <w:pPr>
              <w:spacing w:before="0" w:after="0"/>
              <w:jc w:val="center"/>
              <w:rPr>
                <w:rFonts w:eastAsia="Times New Roman" w:cs="Arial"/>
                <w:b/>
                <w:bCs/>
                <w:szCs w:val="16"/>
              </w:rPr>
            </w:pPr>
            <w:r w:rsidRPr="00210AC6">
              <w:rPr>
                <w:rFonts w:eastAsia="Times New Roman" w:cs="Arial"/>
                <w:b/>
                <w:bCs/>
                <w:szCs w:val="16"/>
              </w:rPr>
              <w:t>16</w:t>
            </w:r>
          </w:p>
        </w:tc>
        <w:tc>
          <w:tcPr>
            <w:tcW w:w="5260" w:type="dxa"/>
            <w:vAlign w:val="center"/>
            <w:hideMark/>
          </w:tcPr>
          <w:p w14:paraId="5DE8D01C" w14:textId="2664D1F2" w:rsidR="007135ED" w:rsidRPr="00210AC6" w:rsidRDefault="007135ED" w:rsidP="006620B0">
            <w:pPr>
              <w:spacing w:before="0" w:after="0"/>
              <w:jc w:val="center"/>
              <w:rPr>
                <w:rFonts w:eastAsia="Times New Roman" w:cs="Arial"/>
                <w:szCs w:val="16"/>
              </w:rPr>
            </w:pPr>
            <w:r w:rsidRPr="00210AC6">
              <w:rPr>
                <w:rFonts w:cs="Arial"/>
                <w:szCs w:val="16"/>
              </w:rPr>
              <w:t>1</w:t>
            </w:r>
          </w:p>
        </w:tc>
        <w:tc>
          <w:tcPr>
            <w:tcW w:w="2698" w:type="dxa"/>
            <w:vAlign w:val="center"/>
            <w:hideMark/>
          </w:tcPr>
          <w:p w14:paraId="4784ADC5" w14:textId="255F35D2" w:rsidR="007135ED" w:rsidRPr="00210AC6" w:rsidRDefault="007135ED" w:rsidP="006620B0">
            <w:pPr>
              <w:spacing w:before="0" w:after="0"/>
              <w:jc w:val="center"/>
              <w:rPr>
                <w:rFonts w:eastAsia="Times New Roman" w:cs="Arial"/>
                <w:szCs w:val="16"/>
              </w:rPr>
            </w:pPr>
            <w:r w:rsidRPr="00210AC6">
              <w:rPr>
                <w:rFonts w:cs="Arial"/>
                <w:szCs w:val="16"/>
              </w:rPr>
              <w:t>1</w:t>
            </w:r>
          </w:p>
        </w:tc>
      </w:tr>
      <w:tr w:rsidR="007135ED" w:rsidRPr="00210AC6" w14:paraId="496B687B" w14:textId="77777777" w:rsidTr="00845B9B">
        <w:trPr>
          <w:trHeight w:val="432"/>
        </w:trPr>
        <w:tc>
          <w:tcPr>
            <w:tcW w:w="1866" w:type="dxa"/>
            <w:vAlign w:val="center"/>
            <w:hideMark/>
          </w:tcPr>
          <w:p w14:paraId="708E4A50" w14:textId="77777777" w:rsidR="007135ED" w:rsidRPr="00210AC6" w:rsidRDefault="007135ED" w:rsidP="006620B0">
            <w:pPr>
              <w:spacing w:before="0" w:after="0"/>
              <w:jc w:val="center"/>
              <w:rPr>
                <w:rFonts w:eastAsia="Times New Roman" w:cs="Arial"/>
                <w:b/>
                <w:bCs/>
                <w:szCs w:val="16"/>
              </w:rPr>
            </w:pPr>
            <w:r w:rsidRPr="00210AC6">
              <w:rPr>
                <w:rFonts w:eastAsia="Times New Roman" w:cs="Arial"/>
                <w:b/>
                <w:bCs/>
                <w:szCs w:val="16"/>
              </w:rPr>
              <w:t>17</w:t>
            </w:r>
          </w:p>
        </w:tc>
        <w:tc>
          <w:tcPr>
            <w:tcW w:w="5260" w:type="dxa"/>
            <w:vAlign w:val="center"/>
            <w:hideMark/>
          </w:tcPr>
          <w:p w14:paraId="1DC5DFB7" w14:textId="43E1F80B" w:rsidR="007135ED" w:rsidRPr="00210AC6" w:rsidRDefault="007135ED" w:rsidP="006620B0">
            <w:pPr>
              <w:spacing w:before="0" w:after="0"/>
              <w:jc w:val="center"/>
              <w:rPr>
                <w:rFonts w:eastAsia="Times New Roman" w:cs="Arial"/>
                <w:szCs w:val="16"/>
              </w:rPr>
            </w:pPr>
            <w:r w:rsidRPr="00210AC6">
              <w:rPr>
                <w:rFonts w:cs="Arial"/>
                <w:szCs w:val="16"/>
              </w:rPr>
              <w:t>1</w:t>
            </w:r>
          </w:p>
        </w:tc>
        <w:tc>
          <w:tcPr>
            <w:tcW w:w="2698" w:type="dxa"/>
            <w:vAlign w:val="center"/>
            <w:hideMark/>
          </w:tcPr>
          <w:p w14:paraId="4B2444AC" w14:textId="3739D8B3" w:rsidR="007135ED" w:rsidRPr="00210AC6" w:rsidRDefault="007135ED" w:rsidP="006620B0">
            <w:pPr>
              <w:spacing w:before="0" w:after="0"/>
              <w:jc w:val="center"/>
              <w:rPr>
                <w:rFonts w:eastAsia="Times New Roman" w:cs="Arial"/>
                <w:szCs w:val="16"/>
              </w:rPr>
            </w:pPr>
            <w:r w:rsidRPr="00210AC6">
              <w:rPr>
                <w:rFonts w:cs="Arial"/>
                <w:szCs w:val="16"/>
              </w:rPr>
              <w:t>1</w:t>
            </w:r>
          </w:p>
        </w:tc>
      </w:tr>
    </w:tbl>
    <w:p w14:paraId="4B6D9F0C" w14:textId="295BC79F" w:rsidR="00570930" w:rsidRDefault="00570930" w:rsidP="00BE0EEF">
      <w:pPr>
        <w:rPr>
          <w:rFonts w:cs="Arial"/>
          <w:szCs w:val="16"/>
        </w:rPr>
      </w:pPr>
    </w:p>
    <w:p w14:paraId="02F3B0C9" w14:textId="2D9C5F68" w:rsidR="006B6EF0" w:rsidRDefault="006B6EF0" w:rsidP="00BD32FB">
      <w:pPr>
        <w:tabs>
          <w:tab w:val="right" w:pos="10800"/>
        </w:tabs>
        <w:rPr>
          <w:rFonts w:cs="Arial"/>
          <w:szCs w:val="16"/>
        </w:rPr>
      </w:pPr>
      <w:r w:rsidRPr="00210AC6">
        <w:rPr>
          <w:rFonts w:eastAsia="Times New Roman" w:cs="Arial"/>
          <w:b/>
          <w:bCs/>
          <w:szCs w:val="16"/>
        </w:rPr>
        <w:t>APR Score Calculation</w:t>
      </w:r>
      <w:r w:rsidR="00C57696">
        <w:rPr>
          <w:rFonts w:eastAsia="Times New Roman" w:cs="Arial"/>
          <w:b/>
          <w:bCs/>
          <w:szCs w:val="16"/>
        </w:rPr>
        <w:tab/>
      </w:r>
    </w:p>
    <w:tbl>
      <w:tblPr>
        <w:tblStyle w:val="TableGrid1"/>
        <w:tblW w:w="9824" w:type="dxa"/>
        <w:tblLook w:val="04A0" w:firstRow="1" w:lastRow="0" w:firstColumn="1" w:lastColumn="0" w:noHBand="0" w:noVBand="1"/>
        <w:tblCaption w:val="BRUBCFFYSCRCALC"/>
      </w:tblPr>
      <w:tblGrid>
        <w:gridCol w:w="6493"/>
        <w:gridCol w:w="3331"/>
      </w:tblGrid>
      <w:tr w:rsidR="006B6EF0" w:rsidRPr="00210AC6" w14:paraId="47AD3A98" w14:textId="77777777" w:rsidTr="00845B9B">
        <w:trPr>
          <w:trHeight w:val="432"/>
        </w:trPr>
        <w:tc>
          <w:tcPr>
            <w:tcW w:w="5260" w:type="dxa"/>
            <w:vAlign w:val="center"/>
            <w:hideMark/>
          </w:tcPr>
          <w:p w14:paraId="145B239F" w14:textId="77777777" w:rsidR="006B6EF0" w:rsidRPr="00210AC6" w:rsidRDefault="006B6EF0" w:rsidP="00845B9B">
            <w:pPr>
              <w:spacing w:before="0" w:after="0"/>
              <w:rPr>
                <w:rFonts w:eastAsia="Times New Roman" w:cs="Arial"/>
                <w:b/>
                <w:bCs/>
                <w:szCs w:val="16"/>
              </w:rPr>
            </w:pPr>
            <w:r w:rsidRPr="00210AC6">
              <w:rPr>
                <w:rFonts w:eastAsia="Times New Roman" w:cs="Arial"/>
                <w:b/>
                <w:bCs/>
                <w:szCs w:val="16"/>
              </w:rPr>
              <w:t>Subtotal</w:t>
            </w:r>
          </w:p>
        </w:tc>
        <w:tc>
          <w:tcPr>
            <w:tcW w:w="2698" w:type="dxa"/>
            <w:vAlign w:val="center"/>
            <w:hideMark/>
          </w:tcPr>
          <w:p w14:paraId="0772517F" w14:textId="77777777" w:rsidR="006B6EF0" w:rsidRPr="00210AC6" w:rsidRDefault="006B6EF0" w:rsidP="00EE6889">
            <w:pPr>
              <w:spacing w:before="0" w:after="0"/>
              <w:jc w:val="center"/>
              <w:rPr>
                <w:rFonts w:eastAsia="Times New Roman" w:cs="Arial"/>
                <w:szCs w:val="16"/>
              </w:rPr>
            </w:pPr>
            <w:r w:rsidRPr="00210AC6">
              <w:rPr>
                <w:rFonts w:cs="Arial"/>
                <w:szCs w:val="16"/>
              </w:rPr>
              <w:t>21</w:t>
            </w:r>
          </w:p>
        </w:tc>
      </w:tr>
      <w:tr w:rsidR="006B6EF0" w:rsidRPr="00210AC6" w14:paraId="713BDF54" w14:textId="77777777" w:rsidTr="00845B9B">
        <w:trPr>
          <w:trHeight w:val="701"/>
        </w:trPr>
        <w:tc>
          <w:tcPr>
            <w:tcW w:w="5260" w:type="dxa"/>
            <w:vAlign w:val="center"/>
            <w:hideMark/>
          </w:tcPr>
          <w:p w14:paraId="5BADC1AB" w14:textId="77777777" w:rsidR="006B6EF0" w:rsidRPr="00210AC6" w:rsidRDefault="006B6EF0" w:rsidP="00EE6889">
            <w:pPr>
              <w:spacing w:before="0" w:after="0"/>
              <w:rPr>
                <w:rFonts w:eastAsia="Times New Roman" w:cs="Arial"/>
                <w:b/>
                <w:bCs/>
                <w:szCs w:val="16"/>
              </w:rPr>
            </w:pPr>
            <w:r w:rsidRPr="00210AC6">
              <w:rPr>
                <w:rFonts w:eastAsia="Times New Roman" w:cs="Arial"/>
                <w:b/>
                <w:bCs/>
                <w:szCs w:val="16"/>
              </w:rPr>
              <w:t xml:space="preserve">Timely Submission Points </w:t>
            </w:r>
            <w:proofErr w:type="gramStart"/>
            <w:r w:rsidRPr="00210AC6">
              <w:rPr>
                <w:rFonts w:eastAsia="Times New Roman" w:cs="Arial"/>
                <w:szCs w:val="16"/>
              </w:rPr>
              <w:t>-  If</w:t>
            </w:r>
            <w:proofErr w:type="gramEnd"/>
            <w:r w:rsidRPr="00210AC6">
              <w:rPr>
                <w:rFonts w:eastAsia="Times New Roman" w:cs="Arial"/>
                <w:szCs w:val="16"/>
              </w:rPr>
              <w:t xml:space="preserve"> the FFY 202</w:t>
            </w:r>
            <w:r>
              <w:rPr>
                <w:rFonts w:eastAsia="Times New Roman" w:cs="Arial"/>
                <w:szCs w:val="16"/>
              </w:rPr>
              <w:t>2</w:t>
            </w:r>
            <w:r w:rsidRPr="00210AC6">
              <w:rPr>
                <w:rFonts w:eastAsia="Times New Roman" w:cs="Arial"/>
                <w:szCs w:val="16"/>
              </w:rPr>
              <w:t xml:space="preserve"> APR was submitted on-time, place the number 5 in the cell on the right.</w:t>
            </w:r>
          </w:p>
        </w:tc>
        <w:tc>
          <w:tcPr>
            <w:tcW w:w="2698" w:type="dxa"/>
            <w:vAlign w:val="center"/>
            <w:hideMark/>
          </w:tcPr>
          <w:p w14:paraId="33EB9EE7" w14:textId="77777777" w:rsidR="006B6EF0" w:rsidRPr="00210AC6" w:rsidRDefault="006B6EF0" w:rsidP="00EE6889">
            <w:pPr>
              <w:spacing w:before="0" w:after="0"/>
              <w:jc w:val="center"/>
              <w:rPr>
                <w:rFonts w:eastAsia="Times New Roman" w:cs="Arial"/>
                <w:szCs w:val="16"/>
              </w:rPr>
            </w:pPr>
            <w:r w:rsidRPr="00210AC6">
              <w:rPr>
                <w:rFonts w:cs="Arial"/>
                <w:szCs w:val="16"/>
              </w:rPr>
              <w:t>5</w:t>
            </w:r>
          </w:p>
        </w:tc>
      </w:tr>
      <w:tr w:rsidR="006B6EF0" w:rsidRPr="00210AC6" w14:paraId="75C39484" w14:textId="77777777" w:rsidTr="00845B9B">
        <w:trPr>
          <w:trHeight w:val="432"/>
        </w:trPr>
        <w:tc>
          <w:tcPr>
            <w:tcW w:w="5260" w:type="dxa"/>
            <w:vAlign w:val="center"/>
            <w:hideMark/>
          </w:tcPr>
          <w:p w14:paraId="20F38A6F" w14:textId="77777777" w:rsidR="006B6EF0" w:rsidRPr="00210AC6" w:rsidRDefault="006B6EF0" w:rsidP="00EE6889">
            <w:pPr>
              <w:spacing w:before="0" w:after="0"/>
              <w:rPr>
                <w:rFonts w:eastAsia="Times New Roman" w:cs="Arial"/>
                <w:b/>
                <w:bCs/>
                <w:szCs w:val="16"/>
              </w:rPr>
            </w:pPr>
            <w:r w:rsidRPr="00210AC6">
              <w:rPr>
                <w:rFonts w:eastAsia="Times New Roman" w:cs="Arial"/>
                <w:b/>
                <w:bCs/>
                <w:szCs w:val="16"/>
              </w:rPr>
              <w:t>Grand Total</w:t>
            </w:r>
            <w:r w:rsidRPr="00210AC6">
              <w:rPr>
                <w:rFonts w:eastAsia="Times New Roman" w:cs="Arial"/>
                <w:szCs w:val="16"/>
              </w:rPr>
              <w:t xml:space="preserve"> - (Sum of </w:t>
            </w:r>
            <w:r>
              <w:rPr>
                <w:rFonts w:eastAsia="Times New Roman" w:cs="Arial"/>
                <w:szCs w:val="16"/>
              </w:rPr>
              <w:t>S</w:t>
            </w:r>
            <w:r w:rsidRPr="00210AC6">
              <w:rPr>
                <w:rFonts w:eastAsia="Times New Roman" w:cs="Arial"/>
                <w:szCs w:val="16"/>
              </w:rPr>
              <w:t>ubtotal and Timely Submission Points) =</w:t>
            </w:r>
          </w:p>
        </w:tc>
        <w:tc>
          <w:tcPr>
            <w:tcW w:w="2698" w:type="dxa"/>
            <w:vAlign w:val="center"/>
            <w:hideMark/>
          </w:tcPr>
          <w:p w14:paraId="3A1293F9" w14:textId="77777777" w:rsidR="006B6EF0" w:rsidRPr="00210AC6" w:rsidRDefault="006B6EF0" w:rsidP="00EE6889">
            <w:pPr>
              <w:spacing w:before="0" w:after="0"/>
              <w:jc w:val="center"/>
              <w:rPr>
                <w:rFonts w:eastAsia="Times New Roman" w:cs="Arial"/>
                <w:szCs w:val="16"/>
              </w:rPr>
            </w:pPr>
            <w:r w:rsidRPr="00210AC6">
              <w:rPr>
                <w:rFonts w:cs="Arial"/>
                <w:szCs w:val="16"/>
              </w:rPr>
              <w:t>26</w:t>
            </w:r>
          </w:p>
        </w:tc>
      </w:tr>
    </w:tbl>
    <w:p w14:paraId="64E8A13E" w14:textId="77777777" w:rsidR="006B6EF0" w:rsidRDefault="006B6EF0" w:rsidP="00BE0EEF">
      <w:pPr>
        <w:rPr>
          <w:rFonts w:cs="Arial"/>
          <w:szCs w:val="16"/>
        </w:rPr>
      </w:pPr>
    </w:p>
    <w:p w14:paraId="0B899F42" w14:textId="20D25269" w:rsidR="006B6EF0" w:rsidRPr="00845B9B" w:rsidRDefault="006B6EF0" w:rsidP="00BE0EEF">
      <w:pPr>
        <w:rPr>
          <w:rFonts w:cs="Arial"/>
          <w:b/>
          <w:bCs/>
          <w:szCs w:val="16"/>
        </w:rPr>
      </w:pPr>
      <w:r w:rsidRPr="00845B9B">
        <w:rPr>
          <w:rFonts w:eastAsia="Times New Roman" w:cs="Arial"/>
          <w:b/>
          <w:bCs/>
          <w:szCs w:val="16"/>
        </w:rPr>
        <w:t xml:space="preserve">(1) In the SPP/APR Data table, where there is an N/A in the Valid and Reliable column, the Total column will display a 0. This is a change from prior years in display only; all calculation methods are unchanged. An N/A does not negatively affect a </w:t>
      </w:r>
      <w:proofErr w:type="gramStart"/>
      <w:r w:rsidRPr="00845B9B">
        <w:rPr>
          <w:rFonts w:eastAsia="Times New Roman" w:cs="Arial"/>
          <w:b/>
          <w:bCs/>
          <w:szCs w:val="16"/>
        </w:rPr>
        <w:t>State's</w:t>
      </w:r>
      <w:proofErr w:type="gramEnd"/>
      <w:r w:rsidRPr="00845B9B">
        <w:rPr>
          <w:rFonts w:eastAsia="Times New Roman" w:cs="Arial"/>
          <w:b/>
          <w:bCs/>
          <w:szCs w:val="16"/>
        </w:rPr>
        <w:t xml:space="preserve"> score; this is because 1 point is subtracted from the Denominator in the Indicator Calculation table for each cell marked as N/A in the SPP/APR Data table.</w:t>
      </w:r>
    </w:p>
    <w:p w14:paraId="4105F8D3" w14:textId="77777777" w:rsidR="00570930" w:rsidRDefault="00570930">
      <w:pPr>
        <w:spacing w:before="0" w:after="200" w:line="276" w:lineRule="auto"/>
        <w:rPr>
          <w:rFonts w:cs="Arial"/>
          <w:szCs w:val="16"/>
        </w:rPr>
      </w:pPr>
      <w:r>
        <w:rPr>
          <w:rFonts w:cs="Arial"/>
          <w:szCs w:val="16"/>
        </w:rPr>
        <w:br w:type="page"/>
      </w:r>
    </w:p>
    <w:p w14:paraId="0BF0A0F6" w14:textId="727DF3E9" w:rsidR="00BE0EEF" w:rsidRPr="00210AC6" w:rsidRDefault="006B6EF0" w:rsidP="00BE0EEF">
      <w:pPr>
        <w:rPr>
          <w:rFonts w:cs="Arial"/>
          <w:szCs w:val="16"/>
        </w:rPr>
      </w:pPr>
      <w:r w:rsidRPr="00210AC6">
        <w:rPr>
          <w:rFonts w:eastAsia="Times New Roman" w:cs="Arial"/>
          <w:b/>
          <w:bCs/>
          <w:szCs w:val="16"/>
        </w:rPr>
        <w:lastRenderedPageBreak/>
        <w:t>618 Data</w:t>
      </w:r>
      <w:r w:rsidRPr="006B6EF0">
        <w:rPr>
          <w:rFonts w:eastAsia="Times New Roman" w:cs="Arial"/>
          <w:szCs w:val="16"/>
        </w:rPr>
        <w:t xml:space="preserve"> (2)</w:t>
      </w:r>
    </w:p>
    <w:tbl>
      <w:tblPr>
        <w:tblStyle w:val="TableGrid1"/>
        <w:tblW w:w="9841" w:type="dxa"/>
        <w:tblLayout w:type="fixed"/>
        <w:tblLook w:val="04A0" w:firstRow="1" w:lastRow="0" w:firstColumn="1" w:lastColumn="0" w:noHBand="0" w:noVBand="1"/>
        <w:tblCaption w:val="BRUBCFFYCOLLSTAT"/>
      </w:tblPr>
      <w:tblGrid>
        <w:gridCol w:w="1968"/>
        <w:gridCol w:w="1968"/>
        <w:gridCol w:w="1968"/>
        <w:gridCol w:w="1968"/>
        <w:gridCol w:w="1969"/>
      </w:tblGrid>
      <w:tr w:rsidR="00210AC6" w:rsidRPr="00210AC6" w14:paraId="1B30C60F" w14:textId="77777777" w:rsidTr="00845B9B">
        <w:trPr>
          <w:trHeight w:val="576"/>
        </w:trPr>
        <w:tc>
          <w:tcPr>
            <w:tcW w:w="1968" w:type="dxa"/>
            <w:vAlign w:val="center"/>
            <w:hideMark/>
          </w:tcPr>
          <w:p w14:paraId="2B94BB69" w14:textId="77777777" w:rsidR="00BE0EEF" w:rsidRPr="00210AC6" w:rsidRDefault="00BE0EEF" w:rsidP="006620B0">
            <w:pPr>
              <w:spacing w:before="0" w:after="0"/>
              <w:jc w:val="center"/>
              <w:rPr>
                <w:rFonts w:eastAsia="Times New Roman" w:cs="Arial"/>
                <w:b/>
                <w:bCs/>
                <w:szCs w:val="16"/>
              </w:rPr>
            </w:pPr>
            <w:r w:rsidRPr="00210AC6">
              <w:rPr>
                <w:rFonts w:eastAsia="Times New Roman" w:cs="Arial"/>
                <w:b/>
                <w:bCs/>
                <w:szCs w:val="16"/>
              </w:rPr>
              <w:t>Table</w:t>
            </w:r>
          </w:p>
        </w:tc>
        <w:tc>
          <w:tcPr>
            <w:tcW w:w="1968" w:type="dxa"/>
            <w:vAlign w:val="center"/>
            <w:hideMark/>
          </w:tcPr>
          <w:p w14:paraId="03E67D32" w14:textId="77777777" w:rsidR="00BE0EEF" w:rsidRPr="00210AC6" w:rsidRDefault="00BE0EEF" w:rsidP="006620B0">
            <w:pPr>
              <w:spacing w:before="0" w:after="0"/>
              <w:jc w:val="center"/>
              <w:rPr>
                <w:rFonts w:eastAsia="Times New Roman" w:cs="Arial"/>
                <w:b/>
                <w:bCs/>
                <w:szCs w:val="16"/>
              </w:rPr>
            </w:pPr>
            <w:r w:rsidRPr="00210AC6">
              <w:rPr>
                <w:rFonts w:eastAsia="Times New Roman" w:cs="Arial"/>
                <w:b/>
                <w:bCs/>
                <w:szCs w:val="16"/>
              </w:rPr>
              <w:t>Timely</w:t>
            </w:r>
          </w:p>
        </w:tc>
        <w:tc>
          <w:tcPr>
            <w:tcW w:w="1968" w:type="dxa"/>
            <w:vAlign w:val="center"/>
            <w:hideMark/>
          </w:tcPr>
          <w:p w14:paraId="3C5D96AB" w14:textId="77777777" w:rsidR="00BE0EEF" w:rsidRPr="00210AC6" w:rsidRDefault="00BE0EEF" w:rsidP="006620B0">
            <w:pPr>
              <w:spacing w:before="0" w:after="0"/>
              <w:jc w:val="center"/>
              <w:rPr>
                <w:rFonts w:eastAsia="Times New Roman" w:cs="Arial"/>
                <w:b/>
                <w:bCs/>
                <w:szCs w:val="16"/>
              </w:rPr>
            </w:pPr>
            <w:r w:rsidRPr="00210AC6">
              <w:rPr>
                <w:rFonts w:eastAsia="Times New Roman" w:cs="Arial"/>
                <w:b/>
                <w:bCs/>
                <w:szCs w:val="16"/>
              </w:rPr>
              <w:t>Complete Data</w:t>
            </w:r>
          </w:p>
        </w:tc>
        <w:tc>
          <w:tcPr>
            <w:tcW w:w="1968" w:type="dxa"/>
            <w:vAlign w:val="center"/>
            <w:hideMark/>
          </w:tcPr>
          <w:p w14:paraId="6D69FE1A" w14:textId="77777777" w:rsidR="00BE0EEF" w:rsidRPr="00210AC6" w:rsidRDefault="00BE0EEF" w:rsidP="006620B0">
            <w:pPr>
              <w:spacing w:before="0" w:after="0"/>
              <w:jc w:val="center"/>
              <w:rPr>
                <w:rFonts w:eastAsia="Times New Roman" w:cs="Arial"/>
                <w:b/>
                <w:bCs/>
                <w:szCs w:val="16"/>
              </w:rPr>
            </w:pPr>
            <w:r w:rsidRPr="00210AC6">
              <w:rPr>
                <w:rFonts w:eastAsia="Times New Roman" w:cs="Arial"/>
                <w:b/>
                <w:bCs/>
                <w:szCs w:val="16"/>
              </w:rPr>
              <w:t>Passed Edit Check</w:t>
            </w:r>
          </w:p>
        </w:tc>
        <w:tc>
          <w:tcPr>
            <w:tcW w:w="1969" w:type="dxa"/>
            <w:vAlign w:val="center"/>
            <w:hideMark/>
          </w:tcPr>
          <w:p w14:paraId="16461F70" w14:textId="77777777" w:rsidR="00BE0EEF" w:rsidRPr="00210AC6" w:rsidRDefault="00BE0EEF" w:rsidP="006620B0">
            <w:pPr>
              <w:spacing w:before="0" w:after="0"/>
              <w:jc w:val="center"/>
              <w:rPr>
                <w:rFonts w:eastAsia="Times New Roman" w:cs="Arial"/>
                <w:b/>
                <w:bCs/>
                <w:szCs w:val="16"/>
              </w:rPr>
            </w:pPr>
            <w:r w:rsidRPr="00210AC6">
              <w:rPr>
                <w:rFonts w:eastAsia="Times New Roman" w:cs="Arial"/>
                <w:b/>
                <w:bCs/>
                <w:szCs w:val="16"/>
              </w:rPr>
              <w:t>Total</w:t>
            </w:r>
          </w:p>
        </w:tc>
      </w:tr>
      <w:tr w:rsidR="00934DC4" w:rsidRPr="00210AC6" w14:paraId="732EE18E" w14:textId="77777777" w:rsidTr="00845B9B">
        <w:trPr>
          <w:trHeight w:val="576"/>
        </w:trPr>
        <w:tc>
          <w:tcPr>
            <w:tcW w:w="1968" w:type="dxa"/>
            <w:vAlign w:val="center"/>
            <w:hideMark/>
          </w:tcPr>
          <w:p w14:paraId="27C353F2" w14:textId="77777777" w:rsidR="006F0B24" w:rsidRDefault="00934DC4" w:rsidP="006620B0">
            <w:pPr>
              <w:spacing w:before="0" w:after="0"/>
              <w:jc w:val="center"/>
              <w:rPr>
                <w:rFonts w:eastAsia="Times New Roman" w:cs="Arial"/>
                <w:b/>
                <w:bCs/>
                <w:szCs w:val="16"/>
              </w:rPr>
            </w:pPr>
            <w:r w:rsidRPr="00210AC6">
              <w:rPr>
                <w:rFonts w:eastAsia="Times New Roman" w:cs="Arial"/>
                <w:b/>
                <w:bCs/>
                <w:szCs w:val="16"/>
              </w:rPr>
              <w:t>Child Count/</w:t>
            </w:r>
          </w:p>
          <w:p w14:paraId="7C54D2F1" w14:textId="4DFA570D" w:rsidR="009926E2" w:rsidRDefault="006F0B24" w:rsidP="006620B0">
            <w:pPr>
              <w:spacing w:before="0" w:after="0"/>
              <w:jc w:val="center"/>
              <w:rPr>
                <w:rFonts w:eastAsia="Times New Roman" w:cs="Arial"/>
                <w:b/>
                <w:bCs/>
                <w:szCs w:val="16"/>
              </w:rPr>
            </w:pPr>
            <w:r w:rsidRPr="00B24034">
              <w:rPr>
                <w:rFonts w:eastAsia="Times New Roman" w:cs="Arial"/>
                <w:b/>
                <w:bCs/>
                <w:szCs w:val="16"/>
              </w:rPr>
              <w:t xml:space="preserve">Ed </w:t>
            </w:r>
            <w:proofErr w:type="spellStart"/>
            <w:r w:rsidRPr="00B24034">
              <w:rPr>
                <w:rFonts w:eastAsia="Times New Roman" w:cs="Arial"/>
                <w:b/>
                <w:bCs/>
                <w:szCs w:val="16"/>
              </w:rPr>
              <w:t>Envs</w:t>
            </w:r>
            <w:proofErr w:type="spellEnd"/>
            <w:r w:rsidRPr="00B24034">
              <w:rPr>
                <w:rFonts w:eastAsia="Times New Roman" w:cs="Arial"/>
                <w:b/>
                <w:bCs/>
                <w:szCs w:val="16"/>
              </w:rPr>
              <w:t xml:space="preserve"> </w:t>
            </w:r>
          </w:p>
          <w:p w14:paraId="392AF408" w14:textId="6B5AC09A" w:rsidR="00934DC4" w:rsidRPr="00210AC6" w:rsidRDefault="00934DC4" w:rsidP="006620B0">
            <w:pPr>
              <w:spacing w:before="0" w:after="0"/>
              <w:jc w:val="center"/>
              <w:rPr>
                <w:rFonts w:eastAsia="Times New Roman" w:cs="Arial"/>
                <w:b/>
                <w:bCs/>
                <w:szCs w:val="16"/>
              </w:rPr>
            </w:pPr>
            <w:r w:rsidRPr="00210AC6">
              <w:rPr>
                <w:rFonts w:eastAsia="Times New Roman" w:cs="Arial"/>
                <w:b/>
                <w:bCs/>
                <w:szCs w:val="16"/>
              </w:rPr>
              <w:t>Due Date: 8/30/23</w:t>
            </w:r>
          </w:p>
        </w:tc>
        <w:tc>
          <w:tcPr>
            <w:tcW w:w="1968" w:type="dxa"/>
            <w:vAlign w:val="center"/>
            <w:hideMark/>
          </w:tcPr>
          <w:p w14:paraId="3FE0B4CB" w14:textId="303091E9" w:rsidR="00934DC4" w:rsidRPr="00210AC6" w:rsidRDefault="00934DC4" w:rsidP="006620B0">
            <w:pPr>
              <w:spacing w:before="0" w:after="0"/>
              <w:jc w:val="center"/>
              <w:rPr>
                <w:rFonts w:eastAsia="Times New Roman" w:cs="Arial"/>
                <w:b/>
                <w:bCs/>
                <w:szCs w:val="16"/>
              </w:rPr>
            </w:pPr>
            <w:r w:rsidRPr="00210AC6">
              <w:rPr>
                <w:rFonts w:cs="Arial"/>
                <w:szCs w:val="16"/>
              </w:rPr>
              <w:t>1</w:t>
            </w:r>
          </w:p>
        </w:tc>
        <w:tc>
          <w:tcPr>
            <w:tcW w:w="1968" w:type="dxa"/>
            <w:vAlign w:val="center"/>
            <w:hideMark/>
          </w:tcPr>
          <w:p w14:paraId="2A849A14" w14:textId="6E5106CD" w:rsidR="00934DC4" w:rsidRPr="00210AC6" w:rsidRDefault="00934DC4" w:rsidP="006620B0">
            <w:pPr>
              <w:spacing w:before="0" w:after="0"/>
              <w:jc w:val="center"/>
              <w:rPr>
                <w:rFonts w:eastAsia="Times New Roman" w:cs="Arial"/>
                <w:b/>
                <w:bCs/>
                <w:szCs w:val="16"/>
              </w:rPr>
            </w:pPr>
            <w:r w:rsidRPr="00210AC6">
              <w:rPr>
                <w:rFonts w:cs="Arial"/>
                <w:szCs w:val="16"/>
              </w:rPr>
              <w:t>1</w:t>
            </w:r>
          </w:p>
        </w:tc>
        <w:tc>
          <w:tcPr>
            <w:tcW w:w="1968" w:type="dxa"/>
            <w:vAlign w:val="center"/>
            <w:hideMark/>
          </w:tcPr>
          <w:p w14:paraId="3C17ABEF" w14:textId="5D0E9314" w:rsidR="00934DC4" w:rsidRPr="00210AC6" w:rsidRDefault="00934DC4" w:rsidP="006620B0">
            <w:pPr>
              <w:spacing w:before="0" w:after="0"/>
              <w:jc w:val="center"/>
              <w:rPr>
                <w:rFonts w:eastAsia="Times New Roman" w:cs="Arial"/>
                <w:b/>
                <w:bCs/>
                <w:szCs w:val="16"/>
              </w:rPr>
            </w:pPr>
            <w:r w:rsidRPr="00210AC6">
              <w:rPr>
                <w:rFonts w:cs="Arial"/>
                <w:szCs w:val="16"/>
              </w:rPr>
              <w:t>1</w:t>
            </w:r>
          </w:p>
        </w:tc>
        <w:tc>
          <w:tcPr>
            <w:tcW w:w="1969" w:type="dxa"/>
            <w:noWrap/>
            <w:vAlign w:val="center"/>
            <w:hideMark/>
          </w:tcPr>
          <w:p w14:paraId="732BD247" w14:textId="5D8F0535" w:rsidR="00934DC4" w:rsidRPr="00210AC6" w:rsidRDefault="00934DC4" w:rsidP="006620B0">
            <w:pPr>
              <w:spacing w:before="0" w:after="0"/>
              <w:jc w:val="center"/>
              <w:rPr>
                <w:rFonts w:eastAsia="Times New Roman" w:cs="Arial"/>
                <w:b/>
                <w:bCs/>
                <w:szCs w:val="16"/>
              </w:rPr>
            </w:pPr>
            <w:r w:rsidRPr="00210AC6">
              <w:rPr>
                <w:rFonts w:cs="Arial"/>
                <w:szCs w:val="16"/>
              </w:rPr>
              <w:t>3</w:t>
            </w:r>
          </w:p>
        </w:tc>
      </w:tr>
      <w:tr w:rsidR="00210AC6" w:rsidRPr="00210AC6" w14:paraId="65D4F6C8" w14:textId="77777777" w:rsidTr="00845B9B">
        <w:trPr>
          <w:trHeight w:val="576"/>
        </w:trPr>
        <w:tc>
          <w:tcPr>
            <w:tcW w:w="1968" w:type="dxa"/>
            <w:vAlign w:val="center"/>
            <w:hideMark/>
          </w:tcPr>
          <w:p w14:paraId="688FF6D9" w14:textId="139BB1FC" w:rsidR="00934DC4" w:rsidRPr="00210AC6" w:rsidRDefault="00934DC4" w:rsidP="006620B0">
            <w:pPr>
              <w:spacing w:before="0" w:after="0"/>
              <w:jc w:val="center"/>
              <w:rPr>
                <w:rFonts w:eastAsia="Times New Roman" w:cs="Arial"/>
                <w:b/>
                <w:bCs/>
                <w:szCs w:val="16"/>
              </w:rPr>
            </w:pPr>
            <w:r w:rsidRPr="00210AC6">
              <w:rPr>
                <w:rFonts w:eastAsia="Times New Roman" w:cs="Arial"/>
                <w:b/>
                <w:bCs/>
                <w:szCs w:val="16"/>
              </w:rPr>
              <w:t>Personnel Due Date: 2/21/24</w:t>
            </w:r>
          </w:p>
        </w:tc>
        <w:tc>
          <w:tcPr>
            <w:tcW w:w="1968" w:type="dxa"/>
            <w:vAlign w:val="center"/>
            <w:hideMark/>
          </w:tcPr>
          <w:p w14:paraId="75FDE32E" w14:textId="4B79AC8A" w:rsidR="00934DC4" w:rsidRPr="00210AC6" w:rsidRDefault="00934DC4" w:rsidP="006620B0">
            <w:pPr>
              <w:spacing w:before="0" w:after="0"/>
              <w:jc w:val="center"/>
              <w:rPr>
                <w:rFonts w:eastAsia="Times New Roman" w:cs="Arial"/>
                <w:b/>
                <w:bCs/>
                <w:szCs w:val="16"/>
              </w:rPr>
            </w:pPr>
            <w:r w:rsidRPr="00210AC6">
              <w:rPr>
                <w:rFonts w:cs="Arial"/>
                <w:szCs w:val="16"/>
              </w:rPr>
              <w:t>1</w:t>
            </w:r>
          </w:p>
        </w:tc>
        <w:tc>
          <w:tcPr>
            <w:tcW w:w="1968" w:type="dxa"/>
            <w:vAlign w:val="center"/>
            <w:hideMark/>
          </w:tcPr>
          <w:p w14:paraId="280161AF" w14:textId="5A729EB0" w:rsidR="00934DC4" w:rsidRPr="00210AC6" w:rsidRDefault="00934DC4" w:rsidP="006620B0">
            <w:pPr>
              <w:spacing w:before="0" w:after="0"/>
              <w:jc w:val="center"/>
              <w:rPr>
                <w:rFonts w:eastAsia="Times New Roman" w:cs="Arial"/>
                <w:b/>
                <w:bCs/>
                <w:szCs w:val="16"/>
              </w:rPr>
            </w:pPr>
            <w:r w:rsidRPr="00210AC6">
              <w:rPr>
                <w:rFonts w:cs="Arial"/>
                <w:szCs w:val="16"/>
              </w:rPr>
              <w:t>1</w:t>
            </w:r>
          </w:p>
        </w:tc>
        <w:tc>
          <w:tcPr>
            <w:tcW w:w="1968" w:type="dxa"/>
            <w:vAlign w:val="center"/>
            <w:hideMark/>
          </w:tcPr>
          <w:p w14:paraId="580D47B8" w14:textId="53025EBE" w:rsidR="00934DC4" w:rsidRPr="00210AC6" w:rsidRDefault="00934DC4" w:rsidP="006620B0">
            <w:pPr>
              <w:spacing w:before="0" w:after="0"/>
              <w:jc w:val="center"/>
              <w:rPr>
                <w:rFonts w:eastAsia="Times New Roman" w:cs="Arial"/>
                <w:b/>
                <w:bCs/>
                <w:szCs w:val="16"/>
              </w:rPr>
            </w:pPr>
            <w:r w:rsidRPr="00210AC6">
              <w:rPr>
                <w:rFonts w:cs="Arial"/>
                <w:szCs w:val="16"/>
              </w:rPr>
              <w:t>1</w:t>
            </w:r>
          </w:p>
        </w:tc>
        <w:tc>
          <w:tcPr>
            <w:tcW w:w="1969" w:type="dxa"/>
            <w:noWrap/>
            <w:vAlign w:val="center"/>
            <w:hideMark/>
          </w:tcPr>
          <w:p w14:paraId="1085532F" w14:textId="524E2D44" w:rsidR="00934DC4" w:rsidRPr="00210AC6" w:rsidRDefault="00934DC4" w:rsidP="006620B0">
            <w:pPr>
              <w:spacing w:before="0" w:after="0"/>
              <w:jc w:val="center"/>
              <w:rPr>
                <w:rFonts w:eastAsia="Times New Roman" w:cs="Arial"/>
                <w:b/>
                <w:bCs/>
                <w:szCs w:val="16"/>
              </w:rPr>
            </w:pPr>
            <w:r w:rsidRPr="00210AC6">
              <w:rPr>
                <w:rFonts w:cs="Arial"/>
                <w:szCs w:val="16"/>
              </w:rPr>
              <w:t>3</w:t>
            </w:r>
          </w:p>
        </w:tc>
      </w:tr>
      <w:tr w:rsidR="00934DC4" w:rsidRPr="00210AC6" w14:paraId="4B088669" w14:textId="77777777" w:rsidTr="00845B9B">
        <w:trPr>
          <w:trHeight w:val="576"/>
        </w:trPr>
        <w:tc>
          <w:tcPr>
            <w:tcW w:w="1968" w:type="dxa"/>
            <w:vAlign w:val="center"/>
            <w:hideMark/>
          </w:tcPr>
          <w:p w14:paraId="360C4627" w14:textId="5707C286" w:rsidR="00934DC4" w:rsidRPr="00210AC6" w:rsidRDefault="00934DC4" w:rsidP="006620B0">
            <w:pPr>
              <w:spacing w:before="0" w:after="0"/>
              <w:jc w:val="center"/>
              <w:rPr>
                <w:rFonts w:eastAsia="Times New Roman" w:cs="Arial"/>
                <w:b/>
                <w:bCs/>
                <w:szCs w:val="16"/>
              </w:rPr>
            </w:pPr>
            <w:r w:rsidRPr="00210AC6">
              <w:rPr>
                <w:rFonts w:eastAsia="Times New Roman" w:cs="Arial"/>
                <w:b/>
                <w:bCs/>
                <w:szCs w:val="16"/>
              </w:rPr>
              <w:t>Exiting Due Date: 2/21/24</w:t>
            </w:r>
          </w:p>
        </w:tc>
        <w:tc>
          <w:tcPr>
            <w:tcW w:w="1968" w:type="dxa"/>
            <w:vAlign w:val="center"/>
            <w:hideMark/>
          </w:tcPr>
          <w:p w14:paraId="0FEC0470" w14:textId="2CF7216B" w:rsidR="00934DC4" w:rsidRPr="00210AC6" w:rsidRDefault="00934DC4" w:rsidP="006620B0">
            <w:pPr>
              <w:spacing w:before="0" w:after="0"/>
              <w:jc w:val="center"/>
              <w:rPr>
                <w:rFonts w:eastAsia="Times New Roman" w:cs="Arial"/>
                <w:b/>
                <w:bCs/>
                <w:szCs w:val="16"/>
              </w:rPr>
            </w:pPr>
            <w:r w:rsidRPr="00210AC6">
              <w:rPr>
                <w:rFonts w:cs="Arial"/>
                <w:szCs w:val="16"/>
              </w:rPr>
              <w:t>1</w:t>
            </w:r>
          </w:p>
        </w:tc>
        <w:tc>
          <w:tcPr>
            <w:tcW w:w="1968" w:type="dxa"/>
            <w:vAlign w:val="center"/>
            <w:hideMark/>
          </w:tcPr>
          <w:p w14:paraId="6C72EDFD" w14:textId="1E759C58" w:rsidR="00934DC4" w:rsidRPr="00210AC6" w:rsidRDefault="00934DC4" w:rsidP="006620B0">
            <w:pPr>
              <w:spacing w:before="0" w:after="0"/>
              <w:jc w:val="center"/>
              <w:rPr>
                <w:rFonts w:eastAsia="Times New Roman" w:cs="Arial"/>
                <w:b/>
                <w:bCs/>
                <w:szCs w:val="16"/>
              </w:rPr>
            </w:pPr>
            <w:r w:rsidRPr="00210AC6">
              <w:rPr>
                <w:rFonts w:cs="Arial"/>
                <w:szCs w:val="16"/>
              </w:rPr>
              <w:t>1</w:t>
            </w:r>
          </w:p>
        </w:tc>
        <w:tc>
          <w:tcPr>
            <w:tcW w:w="1968" w:type="dxa"/>
            <w:vAlign w:val="center"/>
            <w:hideMark/>
          </w:tcPr>
          <w:p w14:paraId="1020F0AF" w14:textId="6F5307B8" w:rsidR="00934DC4" w:rsidRPr="00210AC6" w:rsidRDefault="00934DC4" w:rsidP="006620B0">
            <w:pPr>
              <w:spacing w:before="0" w:after="0"/>
              <w:jc w:val="center"/>
              <w:rPr>
                <w:rFonts w:eastAsia="Times New Roman" w:cs="Arial"/>
                <w:b/>
                <w:bCs/>
                <w:szCs w:val="16"/>
              </w:rPr>
            </w:pPr>
            <w:r w:rsidRPr="00210AC6">
              <w:rPr>
                <w:rFonts w:cs="Arial"/>
                <w:szCs w:val="16"/>
              </w:rPr>
              <w:t>1</w:t>
            </w:r>
          </w:p>
        </w:tc>
        <w:tc>
          <w:tcPr>
            <w:tcW w:w="1969" w:type="dxa"/>
            <w:noWrap/>
            <w:vAlign w:val="center"/>
            <w:hideMark/>
          </w:tcPr>
          <w:p w14:paraId="5ABE2118" w14:textId="4699A88C" w:rsidR="00934DC4" w:rsidRPr="00210AC6" w:rsidRDefault="00934DC4" w:rsidP="006620B0">
            <w:pPr>
              <w:spacing w:before="0" w:after="0"/>
              <w:jc w:val="center"/>
              <w:rPr>
                <w:rFonts w:eastAsia="Times New Roman" w:cs="Arial"/>
                <w:b/>
                <w:bCs/>
                <w:szCs w:val="16"/>
              </w:rPr>
            </w:pPr>
            <w:r w:rsidRPr="00210AC6">
              <w:rPr>
                <w:rFonts w:cs="Arial"/>
                <w:szCs w:val="16"/>
              </w:rPr>
              <w:t>3</w:t>
            </w:r>
          </w:p>
        </w:tc>
      </w:tr>
      <w:tr w:rsidR="00210AC6" w:rsidRPr="00210AC6" w14:paraId="674E0C51" w14:textId="77777777" w:rsidTr="00845B9B">
        <w:trPr>
          <w:trHeight w:val="576"/>
        </w:trPr>
        <w:tc>
          <w:tcPr>
            <w:tcW w:w="1968" w:type="dxa"/>
            <w:vAlign w:val="center"/>
            <w:hideMark/>
          </w:tcPr>
          <w:p w14:paraId="21194B2E" w14:textId="279F9DC6" w:rsidR="00934DC4" w:rsidRPr="00210AC6" w:rsidRDefault="00934DC4" w:rsidP="006620B0">
            <w:pPr>
              <w:spacing w:before="0" w:after="0"/>
              <w:jc w:val="center"/>
              <w:rPr>
                <w:rFonts w:eastAsia="Times New Roman" w:cs="Arial"/>
                <w:b/>
                <w:bCs/>
                <w:szCs w:val="16"/>
              </w:rPr>
            </w:pPr>
            <w:r w:rsidRPr="00210AC6">
              <w:rPr>
                <w:rFonts w:eastAsia="Times New Roman" w:cs="Arial"/>
                <w:b/>
                <w:bCs/>
                <w:szCs w:val="16"/>
              </w:rPr>
              <w:t>Discipline Due Date: 2/21/24</w:t>
            </w:r>
          </w:p>
        </w:tc>
        <w:tc>
          <w:tcPr>
            <w:tcW w:w="1968" w:type="dxa"/>
            <w:vAlign w:val="center"/>
            <w:hideMark/>
          </w:tcPr>
          <w:p w14:paraId="6265DFCD" w14:textId="6A7295B1" w:rsidR="00934DC4" w:rsidRPr="00210AC6" w:rsidRDefault="00934DC4" w:rsidP="006620B0">
            <w:pPr>
              <w:spacing w:before="0" w:after="0"/>
              <w:jc w:val="center"/>
              <w:rPr>
                <w:rFonts w:eastAsia="Times New Roman" w:cs="Arial"/>
                <w:b/>
                <w:bCs/>
                <w:szCs w:val="16"/>
              </w:rPr>
            </w:pPr>
            <w:r w:rsidRPr="00210AC6">
              <w:rPr>
                <w:rFonts w:cs="Arial"/>
                <w:szCs w:val="16"/>
              </w:rPr>
              <w:t>1</w:t>
            </w:r>
          </w:p>
        </w:tc>
        <w:tc>
          <w:tcPr>
            <w:tcW w:w="1968" w:type="dxa"/>
            <w:vAlign w:val="center"/>
            <w:hideMark/>
          </w:tcPr>
          <w:p w14:paraId="7947AF3C" w14:textId="2C130027" w:rsidR="00934DC4" w:rsidRPr="00210AC6" w:rsidRDefault="00934DC4" w:rsidP="006620B0">
            <w:pPr>
              <w:spacing w:before="0" w:after="0"/>
              <w:jc w:val="center"/>
              <w:rPr>
                <w:rFonts w:eastAsia="Times New Roman" w:cs="Arial"/>
                <w:b/>
                <w:bCs/>
                <w:szCs w:val="16"/>
              </w:rPr>
            </w:pPr>
            <w:r w:rsidRPr="00210AC6">
              <w:rPr>
                <w:rFonts w:cs="Arial"/>
                <w:szCs w:val="16"/>
              </w:rPr>
              <w:t>1</w:t>
            </w:r>
          </w:p>
        </w:tc>
        <w:tc>
          <w:tcPr>
            <w:tcW w:w="1968" w:type="dxa"/>
            <w:vAlign w:val="center"/>
            <w:hideMark/>
          </w:tcPr>
          <w:p w14:paraId="4E1A82FD" w14:textId="5429E235" w:rsidR="00934DC4" w:rsidRPr="00210AC6" w:rsidRDefault="00934DC4" w:rsidP="006620B0">
            <w:pPr>
              <w:spacing w:before="0" w:after="0"/>
              <w:jc w:val="center"/>
              <w:rPr>
                <w:rFonts w:eastAsia="Times New Roman" w:cs="Arial"/>
                <w:b/>
                <w:bCs/>
                <w:szCs w:val="16"/>
              </w:rPr>
            </w:pPr>
            <w:r w:rsidRPr="00210AC6">
              <w:rPr>
                <w:rFonts w:cs="Arial"/>
                <w:szCs w:val="16"/>
              </w:rPr>
              <w:t>1</w:t>
            </w:r>
          </w:p>
        </w:tc>
        <w:tc>
          <w:tcPr>
            <w:tcW w:w="1969" w:type="dxa"/>
            <w:noWrap/>
            <w:vAlign w:val="center"/>
            <w:hideMark/>
          </w:tcPr>
          <w:p w14:paraId="6A1FF6DB" w14:textId="36203379" w:rsidR="00934DC4" w:rsidRPr="00210AC6" w:rsidRDefault="00934DC4" w:rsidP="006620B0">
            <w:pPr>
              <w:spacing w:before="0" w:after="0"/>
              <w:jc w:val="center"/>
              <w:rPr>
                <w:rFonts w:eastAsia="Times New Roman" w:cs="Arial"/>
                <w:b/>
                <w:bCs/>
                <w:szCs w:val="16"/>
              </w:rPr>
            </w:pPr>
            <w:r w:rsidRPr="00210AC6">
              <w:rPr>
                <w:rFonts w:cs="Arial"/>
                <w:szCs w:val="16"/>
              </w:rPr>
              <w:t>3</w:t>
            </w:r>
          </w:p>
        </w:tc>
      </w:tr>
      <w:tr w:rsidR="00934DC4" w:rsidRPr="00210AC6" w14:paraId="143C193C" w14:textId="77777777" w:rsidTr="00845B9B">
        <w:trPr>
          <w:trHeight w:val="576"/>
        </w:trPr>
        <w:tc>
          <w:tcPr>
            <w:tcW w:w="1968" w:type="dxa"/>
            <w:vAlign w:val="center"/>
            <w:hideMark/>
          </w:tcPr>
          <w:p w14:paraId="383B7AAF" w14:textId="31747BAA" w:rsidR="00934DC4" w:rsidRPr="00210AC6" w:rsidRDefault="00934DC4" w:rsidP="006620B0">
            <w:pPr>
              <w:spacing w:before="0" w:after="0"/>
              <w:jc w:val="center"/>
              <w:rPr>
                <w:rFonts w:eastAsia="Times New Roman" w:cs="Arial"/>
                <w:b/>
                <w:bCs/>
                <w:szCs w:val="16"/>
              </w:rPr>
            </w:pPr>
            <w:r w:rsidRPr="00210AC6">
              <w:rPr>
                <w:rFonts w:eastAsia="Times New Roman" w:cs="Arial"/>
                <w:b/>
                <w:bCs/>
                <w:szCs w:val="16"/>
              </w:rPr>
              <w:t>State Assessment Due Date: 1/10/24</w:t>
            </w:r>
          </w:p>
        </w:tc>
        <w:tc>
          <w:tcPr>
            <w:tcW w:w="1968" w:type="dxa"/>
            <w:vAlign w:val="center"/>
            <w:hideMark/>
          </w:tcPr>
          <w:p w14:paraId="5CDE5DB2" w14:textId="26881AE0" w:rsidR="00934DC4" w:rsidRPr="00210AC6" w:rsidRDefault="00934DC4" w:rsidP="006620B0">
            <w:pPr>
              <w:spacing w:before="0" w:after="0"/>
              <w:jc w:val="center"/>
              <w:rPr>
                <w:rFonts w:eastAsia="Times New Roman" w:cs="Arial"/>
                <w:b/>
                <w:bCs/>
                <w:szCs w:val="16"/>
              </w:rPr>
            </w:pPr>
            <w:r w:rsidRPr="00210AC6">
              <w:rPr>
                <w:rFonts w:cs="Arial"/>
                <w:szCs w:val="16"/>
              </w:rPr>
              <w:t>1</w:t>
            </w:r>
          </w:p>
        </w:tc>
        <w:tc>
          <w:tcPr>
            <w:tcW w:w="1968" w:type="dxa"/>
            <w:vAlign w:val="center"/>
            <w:hideMark/>
          </w:tcPr>
          <w:p w14:paraId="59BD5280" w14:textId="7E58B5E0" w:rsidR="00934DC4" w:rsidRPr="00210AC6" w:rsidRDefault="00934DC4" w:rsidP="006620B0">
            <w:pPr>
              <w:spacing w:before="0" w:after="0"/>
              <w:jc w:val="center"/>
              <w:rPr>
                <w:rFonts w:eastAsia="Times New Roman" w:cs="Arial"/>
                <w:b/>
                <w:bCs/>
                <w:szCs w:val="16"/>
              </w:rPr>
            </w:pPr>
            <w:r w:rsidRPr="00210AC6">
              <w:rPr>
                <w:rFonts w:cs="Arial"/>
                <w:szCs w:val="16"/>
              </w:rPr>
              <w:t>1</w:t>
            </w:r>
          </w:p>
        </w:tc>
        <w:tc>
          <w:tcPr>
            <w:tcW w:w="1968" w:type="dxa"/>
            <w:vAlign w:val="center"/>
            <w:hideMark/>
          </w:tcPr>
          <w:p w14:paraId="4F12D45D" w14:textId="2261B7ED" w:rsidR="00934DC4" w:rsidRPr="00210AC6" w:rsidRDefault="00934DC4" w:rsidP="006620B0">
            <w:pPr>
              <w:spacing w:before="0" w:after="0"/>
              <w:jc w:val="center"/>
              <w:rPr>
                <w:rFonts w:eastAsia="Times New Roman" w:cs="Arial"/>
                <w:b/>
                <w:bCs/>
                <w:szCs w:val="16"/>
              </w:rPr>
            </w:pPr>
            <w:r w:rsidRPr="00210AC6">
              <w:rPr>
                <w:rFonts w:cs="Arial"/>
                <w:szCs w:val="16"/>
              </w:rPr>
              <w:t>1</w:t>
            </w:r>
          </w:p>
        </w:tc>
        <w:tc>
          <w:tcPr>
            <w:tcW w:w="1969" w:type="dxa"/>
            <w:noWrap/>
            <w:vAlign w:val="center"/>
            <w:hideMark/>
          </w:tcPr>
          <w:p w14:paraId="2069C1CA" w14:textId="5EF430EB" w:rsidR="00934DC4" w:rsidRPr="00210AC6" w:rsidRDefault="00934DC4" w:rsidP="006620B0">
            <w:pPr>
              <w:spacing w:before="0" w:after="0"/>
              <w:jc w:val="center"/>
              <w:rPr>
                <w:rFonts w:eastAsia="Times New Roman" w:cs="Arial"/>
                <w:b/>
                <w:bCs/>
                <w:szCs w:val="16"/>
              </w:rPr>
            </w:pPr>
            <w:r w:rsidRPr="00210AC6">
              <w:rPr>
                <w:rFonts w:cs="Arial"/>
                <w:szCs w:val="16"/>
              </w:rPr>
              <w:t>3</w:t>
            </w:r>
          </w:p>
        </w:tc>
      </w:tr>
      <w:tr w:rsidR="00210AC6" w:rsidRPr="00210AC6" w14:paraId="4565B1AE" w14:textId="77777777" w:rsidTr="00845B9B">
        <w:trPr>
          <w:trHeight w:val="576"/>
        </w:trPr>
        <w:tc>
          <w:tcPr>
            <w:tcW w:w="1968" w:type="dxa"/>
            <w:vAlign w:val="center"/>
            <w:hideMark/>
          </w:tcPr>
          <w:p w14:paraId="60A0C4C6" w14:textId="5CB8EE37" w:rsidR="00934DC4" w:rsidRPr="00210AC6" w:rsidRDefault="00934DC4" w:rsidP="006620B0">
            <w:pPr>
              <w:spacing w:before="0" w:after="0"/>
              <w:jc w:val="center"/>
              <w:rPr>
                <w:rFonts w:eastAsia="Times New Roman" w:cs="Arial"/>
                <w:b/>
                <w:bCs/>
                <w:szCs w:val="16"/>
              </w:rPr>
            </w:pPr>
            <w:r w:rsidRPr="00210AC6">
              <w:rPr>
                <w:rFonts w:eastAsia="Times New Roman" w:cs="Arial"/>
                <w:b/>
                <w:bCs/>
                <w:szCs w:val="16"/>
              </w:rPr>
              <w:t>Dispute Resolution Due Date: 11/15/23</w:t>
            </w:r>
          </w:p>
        </w:tc>
        <w:tc>
          <w:tcPr>
            <w:tcW w:w="1968" w:type="dxa"/>
            <w:vAlign w:val="center"/>
            <w:hideMark/>
          </w:tcPr>
          <w:p w14:paraId="12A9BFB1" w14:textId="52DD7DF5" w:rsidR="00934DC4" w:rsidRPr="00210AC6" w:rsidRDefault="00934DC4" w:rsidP="006620B0">
            <w:pPr>
              <w:spacing w:before="0" w:after="0"/>
              <w:jc w:val="center"/>
              <w:rPr>
                <w:rFonts w:eastAsia="Times New Roman" w:cs="Arial"/>
                <w:b/>
                <w:bCs/>
                <w:szCs w:val="16"/>
              </w:rPr>
            </w:pPr>
            <w:r w:rsidRPr="00210AC6">
              <w:rPr>
                <w:rFonts w:cs="Arial"/>
                <w:szCs w:val="16"/>
              </w:rPr>
              <w:t>1</w:t>
            </w:r>
          </w:p>
        </w:tc>
        <w:tc>
          <w:tcPr>
            <w:tcW w:w="1968" w:type="dxa"/>
            <w:vAlign w:val="center"/>
            <w:hideMark/>
          </w:tcPr>
          <w:p w14:paraId="152BA206" w14:textId="30A77AAB" w:rsidR="00934DC4" w:rsidRPr="00210AC6" w:rsidRDefault="00934DC4" w:rsidP="006620B0">
            <w:pPr>
              <w:spacing w:before="0" w:after="0"/>
              <w:jc w:val="center"/>
              <w:rPr>
                <w:rFonts w:eastAsia="Times New Roman" w:cs="Arial"/>
                <w:b/>
                <w:bCs/>
                <w:szCs w:val="16"/>
              </w:rPr>
            </w:pPr>
            <w:r w:rsidRPr="00210AC6">
              <w:rPr>
                <w:rFonts w:cs="Arial"/>
                <w:szCs w:val="16"/>
              </w:rPr>
              <w:t>1</w:t>
            </w:r>
          </w:p>
        </w:tc>
        <w:tc>
          <w:tcPr>
            <w:tcW w:w="1968" w:type="dxa"/>
            <w:vAlign w:val="center"/>
            <w:hideMark/>
          </w:tcPr>
          <w:p w14:paraId="45F386E9" w14:textId="08993D3F" w:rsidR="00934DC4" w:rsidRPr="00210AC6" w:rsidRDefault="00934DC4" w:rsidP="006620B0">
            <w:pPr>
              <w:spacing w:before="0" w:after="0"/>
              <w:jc w:val="center"/>
              <w:rPr>
                <w:rFonts w:eastAsia="Times New Roman" w:cs="Arial"/>
                <w:b/>
                <w:bCs/>
                <w:szCs w:val="16"/>
              </w:rPr>
            </w:pPr>
            <w:r w:rsidRPr="00210AC6">
              <w:rPr>
                <w:rFonts w:cs="Arial"/>
                <w:szCs w:val="16"/>
              </w:rPr>
              <w:t>1</w:t>
            </w:r>
          </w:p>
        </w:tc>
        <w:tc>
          <w:tcPr>
            <w:tcW w:w="1969" w:type="dxa"/>
            <w:noWrap/>
            <w:vAlign w:val="center"/>
            <w:hideMark/>
          </w:tcPr>
          <w:p w14:paraId="2A8B8478" w14:textId="4853CB93" w:rsidR="00934DC4" w:rsidRPr="00210AC6" w:rsidRDefault="00934DC4" w:rsidP="006620B0">
            <w:pPr>
              <w:spacing w:before="0" w:after="0"/>
              <w:jc w:val="center"/>
              <w:rPr>
                <w:rFonts w:eastAsia="Times New Roman" w:cs="Arial"/>
                <w:b/>
                <w:bCs/>
                <w:szCs w:val="16"/>
              </w:rPr>
            </w:pPr>
            <w:r w:rsidRPr="00210AC6">
              <w:rPr>
                <w:rFonts w:cs="Arial"/>
                <w:szCs w:val="16"/>
              </w:rPr>
              <w:t>3</w:t>
            </w:r>
          </w:p>
        </w:tc>
      </w:tr>
      <w:tr w:rsidR="00934DC4" w:rsidRPr="00210AC6" w14:paraId="5866F31F" w14:textId="77777777" w:rsidTr="00845B9B">
        <w:trPr>
          <w:trHeight w:val="576"/>
        </w:trPr>
        <w:tc>
          <w:tcPr>
            <w:tcW w:w="1968" w:type="dxa"/>
            <w:vAlign w:val="center"/>
            <w:hideMark/>
          </w:tcPr>
          <w:p w14:paraId="695E41FD" w14:textId="3D979C6E" w:rsidR="00934DC4" w:rsidRPr="00210AC6" w:rsidRDefault="00934DC4" w:rsidP="006620B0">
            <w:pPr>
              <w:spacing w:before="0" w:after="0"/>
              <w:jc w:val="center"/>
              <w:rPr>
                <w:rFonts w:eastAsia="Times New Roman" w:cs="Arial"/>
                <w:b/>
                <w:bCs/>
                <w:szCs w:val="16"/>
              </w:rPr>
            </w:pPr>
            <w:r w:rsidRPr="00210AC6">
              <w:rPr>
                <w:rFonts w:eastAsia="Times New Roman" w:cs="Arial"/>
                <w:b/>
                <w:bCs/>
                <w:szCs w:val="16"/>
              </w:rPr>
              <w:t>MOE/CEIS Due Date:  5/3/23</w:t>
            </w:r>
          </w:p>
        </w:tc>
        <w:tc>
          <w:tcPr>
            <w:tcW w:w="1968" w:type="dxa"/>
            <w:vAlign w:val="center"/>
            <w:hideMark/>
          </w:tcPr>
          <w:p w14:paraId="601688AF" w14:textId="21FA0D66" w:rsidR="00934DC4" w:rsidRPr="00210AC6" w:rsidRDefault="00934DC4" w:rsidP="006620B0">
            <w:pPr>
              <w:spacing w:before="0" w:after="0"/>
              <w:jc w:val="center"/>
              <w:rPr>
                <w:rFonts w:eastAsia="Times New Roman" w:cs="Arial"/>
                <w:b/>
                <w:bCs/>
                <w:szCs w:val="16"/>
              </w:rPr>
            </w:pPr>
            <w:r w:rsidRPr="00210AC6">
              <w:rPr>
                <w:rFonts w:cs="Arial"/>
                <w:szCs w:val="16"/>
              </w:rPr>
              <w:t>1</w:t>
            </w:r>
          </w:p>
        </w:tc>
        <w:tc>
          <w:tcPr>
            <w:tcW w:w="1968" w:type="dxa"/>
            <w:vAlign w:val="center"/>
            <w:hideMark/>
          </w:tcPr>
          <w:p w14:paraId="5B86927D" w14:textId="186FEAC5" w:rsidR="00934DC4" w:rsidRPr="00210AC6" w:rsidRDefault="00934DC4" w:rsidP="006620B0">
            <w:pPr>
              <w:spacing w:before="0" w:after="0"/>
              <w:jc w:val="center"/>
              <w:rPr>
                <w:rFonts w:eastAsia="Times New Roman" w:cs="Arial"/>
                <w:b/>
                <w:bCs/>
                <w:szCs w:val="16"/>
              </w:rPr>
            </w:pPr>
            <w:r w:rsidRPr="00210AC6">
              <w:rPr>
                <w:rFonts w:cs="Arial"/>
                <w:szCs w:val="16"/>
              </w:rPr>
              <w:t>1</w:t>
            </w:r>
          </w:p>
        </w:tc>
        <w:tc>
          <w:tcPr>
            <w:tcW w:w="1968" w:type="dxa"/>
            <w:vAlign w:val="center"/>
            <w:hideMark/>
          </w:tcPr>
          <w:p w14:paraId="54AEBB59" w14:textId="24F195DC" w:rsidR="00934DC4" w:rsidRPr="00210AC6" w:rsidRDefault="00934DC4" w:rsidP="006620B0">
            <w:pPr>
              <w:spacing w:before="0" w:after="0"/>
              <w:jc w:val="center"/>
              <w:rPr>
                <w:rFonts w:eastAsia="Times New Roman" w:cs="Arial"/>
                <w:b/>
                <w:bCs/>
                <w:szCs w:val="16"/>
              </w:rPr>
            </w:pPr>
            <w:r w:rsidRPr="00210AC6">
              <w:rPr>
                <w:rFonts w:cs="Arial"/>
                <w:szCs w:val="16"/>
              </w:rPr>
              <w:t>1</w:t>
            </w:r>
          </w:p>
        </w:tc>
        <w:tc>
          <w:tcPr>
            <w:tcW w:w="1969" w:type="dxa"/>
            <w:noWrap/>
            <w:vAlign w:val="center"/>
            <w:hideMark/>
          </w:tcPr>
          <w:p w14:paraId="4E561B6D" w14:textId="41132DB6" w:rsidR="00934DC4" w:rsidRPr="00210AC6" w:rsidRDefault="00934DC4" w:rsidP="006620B0">
            <w:pPr>
              <w:spacing w:before="0" w:after="0"/>
              <w:jc w:val="center"/>
              <w:rPr>
                <w:rFonts w:eastAsia="Times New Roman" w:cs="Arial"/>
                <w:b/>
                <w:bCs/>
                <w:szCs w:val="16"/>
              </w:rPr>
            </w:pPr>
            <w:r w:rsidRPr="00210AC6">
              <w:rPr>
                <w:rFonts w:cs="Arial"/>
                <w:szCs w:val="16"/>
              </w:rPr>
              <w:t>3</w:t>
            </w:r>
          </w:p>
        </w:tc>
      </w:tr>
    </w:tbl>
    <w:p w14:paraId="19908CB5" w14:textId="6E565737" w:rsidR="00570930" w:rsidRDefault="00570930" w:rsidP="00BE0EEF">
      <w:pPr>
        <w:rPr>
          <w:rFonts w:cs="Arial"/>
          <w:color w:val="000000" w:themeColor="text1"/>
          <w:szCs w:val="16"/>
        </w:rPr>
      </w:pPr>
    </w:p>
    <w:p w14:paraId="6353AB86" w14:textId="55E3F0FB" w:rsidR="006B6EF0" w:rsidRDefault="006B6EF0" w:rsidP="00BE0EEF">
      <w:pPr>
        <w:rPr>
          <w:rFonts w:cs="Arial"/>
          <w:color w:val="000000" w:themeColor="text1"/>
          <w:szCs w:val="16"/>
        </w:rPr>
      </w:pPr>
      <w:r w:rsidRPr="00210AC6">
        <w:rPr>
          <w:rFonts w:eastAsia="Times New Roman" w:cs="Arial"/>
          <w:b/>
          <w:bCs/>
          <w:szCs w:val="16"/>
        </w:rPr>
        <w:t xml:space="preserve">618 </w:t>
      </w:r>
      <w:proofErr w:type="gramStart"/>
      <w:r w:rsidRPr="00210AC6">
        <w:rPr>
          <w:rFonts w:eastAsia="Times New Roman" w:cs="Arial"/>
          <w:b/>
          <w:bCs/>
          <w:szCs w:val="16"/>
        </w:rPr>
        <w:t>Score</w:t>
      </w:r>
      <w:proofErr w:type="gramEnd"/>
      <w:r w:rsidRPr="00210AC6">
        <w:rPr>
          <w:rFonts w:eastAsia="Times New Roman" w:cs="Arial"/>
          <w:b/>
          <w:bCs/>
          <w:szCs w:val="16"/>
        </w:rPr>
        <w:t xml:space="preserve"> Calculation</w:t>
      </w:r>
    </w:p>
    <w:tbl>
      <w:tblPr>
        <w:tblStyle w:val="TableGrid1"/>
        <w:tblW w:w="9841" w:type="dxa"/>
        <w:tblLayout w:type="fixed"/>
        <w:tblLook w:val="04A0" w:firstRow="1" w:lastRow="0" w:firstColumn="1" w:lastColumn="0" w:noHBand="0" w:noVBand="1"/>
        <w:tblCaption w:val="BRUBCFFY618SCRCALC"/>
      </w:tblPr>
      <w:tblGrid>
        <w:gridCol w:w="7835"/>
        <w:gridCol w:w="2006"/>
      </w:tblGrid>
      <w:tr w:rsidR="006B6EF0" w:rsidRPr="00210AC6" w14:paraId="5DFF335E" w14:textId="77777777" w:rsidTr="00845B9B">
        <w:trPr>
          <w:trHeight w:val="576"/>
        </w:trPr>
        <w:tc>
          <w:tcPr>
            <w:tcW w:w="7877" w:type="dxa"/>
            <w:vAlign w:val="center"/>
            <w:hideMark/>
          </w:tcPr>
          <w:p w14:paraId="4419B771" w14:textId="77777777" w:rsidR="006B6EF0" w:rsidRPr="00210AC6" w:rsidRDefault="006B6EF0" w:rsidP="00845B9B">
            <w:pPr>
              <w:spacing w:before="0" w:after="0"/>
              <w:rPr>
                <w:rFonts w:eastAsia="Times New Roman" w:cs="Arial"/>
                <w:b/>
                <w:bCs/>
                <w:szCs w:val="16"/>
              </w:rPr>
            </w:pPr>
            <w:r w:rsidRPr="00210AC6">
              <w:rPr>
                <w:rFonts w:eastAsia="Times New Roman" w:cs="Arial"/>
                <w:b/>
                <w:bCs/>
                <w:szCs w:val="16"/>
              </w:rPr>
              <w:t>Subtotal</w:t>
            </w:r>
          </w:p>
        </w:tc>
        <w:tc>
          <w:tcPr>
            <w:tcW w:w="2016" w:type="dxa"/>
            <w:noWrap/>
            <w:vAlign w:val="center"/>
            <w:hideMark/>
          </w:tcPr>
          <w:p w14:paraId="299F43F7" w14:textId="77777777" w:rsidR="006B6EF0" w:rsidRPr="00210AC6" w:rsidRDefault="006B6EF0" w:rsidP="00EE6889">
            <w:pPr>
              <w:spacing w:before="0" w:after="0"/>
              <w:jc w:val="center"/>
              <w:rPr>
                <w:rFonts w:eastAsia="Times New Roman" w:cs="Arial"/>
                <w:szCs w:val="16"/>
              </w:rPr>
            </w:pPr>
            <w:r w:rsidRPr="00210AC6">
              <w:rPr>
                <w:rFonts w:cs="Arial"/>
                <w:szCs w:val="16"/>
              </w:rPr>
              <w:t>21</w:t>
            </w:r>
          </w:p>
        </w:tc>
      </w:tr>
      <w:tr w:rsidR="006B6EF0" w:rsidRPr="00210AC6" w14:paraId="04CC4F36" w14:textId="77777777" w:rsidTr="00845B9B">
        <w:trPr>
          <w:trHeight w:val="576"/>
        </w:trPr>
        <w:tc>
          <w:tcPr>
            <w:tcW w:w="7877" w:type="dxa"/>
            <w:vAlign w:val="center"/>
            <w:hideMark/>
          </w:tcPr>
          <w:p w14:paraId="226298C8" w14:textId="77777777" w:rsidR="006B6EF0" w:rsidRPr="00210AC6" w:rsidRDefault="006B6EF0" w:rsidP="00845B9B">
            <w:pPr>
              <w:spacing w:before="0" w:after="0"/>
              <w:rPr>
                <w:rFonts w:eastAsia="Times New Roman" w:cs="Arial"/>
                <w:b/>
                <w:bCs/>
                <w:szCs w:val="16"/>
              </w:rPr>
            </w:pPr>
            <w:r w:rsidRPr="00210AC6">
              <w:rPr>
                <w:rFonts w:eastAsia="Times New Roman" w:cs="Arial"/>
                <w:b/>
                <w:bCs/>
                <w:szCs w:val="16"/>
              </w:rPr>
              <w:t xml:space="preserve">Grand Total </w:t>
            </w:r>
            <w:r w:rsidRPr="00210AC6">
              <w:rPr>
                <w:rFonts w:eastAsia="Times New Roman" w:cs="Arial"/>
                <w:szCs w:val="16"/>
              </w:rPr>
              <w:t>(Subtotal X 1.23809524) =</w:t>
            </w:r>
          </w:p>
        </w:tc>
        <w:tc>
          <w:tcPr>
            <w:tcW w:w="2016" w:type="dxa"/>
            <w:noWrap/>
            <w:vAlign w:val="center"/>
            <w:hideMark/>
          </w:tcPr>
          <w:p w14:paraId="3B8BFF42" w14:textId="77777777" w:rsidR="006B6EF0" w:rsidRPr="00210AC6" w:rsidRDefault="006B6EF0" w:rsidP="00EE6889">
            <w:pPr>
              <w:spacing w:before="0" w:after="0"/>
              <w:jc w:val="center"/>
              <w:rPr>
                <w:rFonts w:eastAsia="Times New Roman" w:cs="Arial"/>
                <w:szCs w:val="16"/>
              </w:rPr>
            </w:pPr>
            <w:r w:rsidRPr="00210AC6">
              <w:rPr>
                <w:rFonts w:cs="Arial"/>
                <w:szCs w:val="16"/>
              </w:rPr>
              <w:t>26.00</w:t>
            </w:r>
          </w:p>
        </w:tc>
      </w:tr>
    </w:tbl>
    <w:p w14:paraId="1144AD44" w14:textId="77777777" w:rsidR="006B6EF0" w:rsidRDefault="006B6EF0" w:rsidP="00BE0EEF">
      <w:pPr>
        <w:rPr>
          <w:rFonts w:cs="Arial"/>
          <w:color w:val="000000" w:themeColor="text1"/>
          <w:szCs w:val="16"/>
        </w:rPr>
      </w:pPr>
    </w:p>
    <w:p w14:paraId="015CC089" w14:textId="770968E0" w:rsidR="00570930" w:rsidRPr="00845B9B" w:rsidRDefault="006B6EF0">
      <w:pPr>
        <w:spacing w:before="0" w:after="200" w:line="276" w:lineRule="auto"/>
        <w:rPr>
          <w:rFonts w:cs="Arial"/>
          <w:b/>
          <w:bCs/>
          <w:color w:val="000000" w:themeColor="text1"/>
          <w:szCs w:val="16"/>
        </w:rPr>
      </w:pPr>
      <w:r w:rsidRPr="00845B9B">
        <w:rPr>
          <w:rFonts w:cs="Arial"/>
          <w:b/>
          <w:bCs/>
          <w:color w:val="000000" w:themeColor="text1"/>
          <w:szCs w:val="16"/>
        </w:rPr>
        <w:t xml:space="preserve">(2) </w:t>
      </w:r>
      <w:r w:rsidRPr="00845B9B">
        <w:rPr>
          <w:b/>
          <w:bCs/>
          <w:color w:val="000000" w:themeColor="text1"/>
          <w:szCs w:val="16"/>
        </w:rPr>
        <w:t xml:space="preserve">In the 618 Data table, when calculating the value in the Total column, any N/As in the Timely, Complete Data, or Passed Edit Checks columns are treated as a ‘0’. An N/A does not negatively affect a </w:t>
      </w:r>
      <w:proofErr w:type="gramStart"/>
      <w:r w:rsidRPr="00845B9B">
        <w:rPr>
          <w:b/>
          <w:bCs/>
          <w:color w:val="000000" w:themeColor="text1"/>
          <w:szCs w:val="16"/>
        </w:rPr>
        <w:t>State's</w:t>
      </w:r>
      <w:proofErr w:type="gramEnd"/>
      <w:r w:rsidRPr="00845B9B">
        <w:rPr>
          <w:b/>
          <w:bCs/>
          <w:color w:val="000000" w:themeColor="text1"/>
          <w:szCs w:val="16"/>
        </w:rPr>
        <w:t xml:space="preserve"> score; this is because 1.23809524 points is subtracted from the Denominator in the Indicator Calculation table for each cell marked as N/A in the 618 Data table.</w:t>
      </w:r>
      <w:r w:rsidR="00570930" w:rsidRPr="00845B9B">
        <w:rPr>
          <w:rFonts w:cs="Arial"/>
          <w:b/>
          <w:bCs/>
          <w:color w:val="000000" w:themeColor="text1"/>
          <w:szCs w:val="16"/>
        </w:rPr>
        <w:br w:type="page"/>
      </w:r>
    </w:p>
    <w:p w14:paraId="13C7AD77" w14:textId="4441E409" w:rsidR="00BE0EEF" w:rsidRDefault="006B6EF0" w:rsidP="00BE0EEF">
      <w:pPr>
        <w:rPr>
          <w:rFonts w:cs="Arial"/>
          <w:color w:val="000000" w:themeColor="text1"/>
          <w:szCs w:val="16"/>
        </w:rPr>
      </w:pPr>
      <w:r w:rsidRPr="00210AC6">
        <w:rPr>
          <w:rFonts w:eastAsia="Times New Roman" w:cs="Arial"/>
          <w:b/>
          <w:bCs/>
          <w:szCs w:val="16"/>
        </w:rPr>
        <w:lastRenderedPageBreak/>
        <w:t>Indicator Calculation</w:t>
      </w:r>
    </w:p>
    <w:tbl>
      <w:tblPr>
        <w:tblStyle w:val="TableGrid1"/>
        <w:tblW w:w="9839" w:type="dxa"/>
        <w:tblLook w:val="04A0" w:firstRow="1" w:lastRow="0" w:firstColumn="1" w:lastColumn="0" w:noHBand="0" w:noVBand="1"/>
        <w:tblCaption w:val="BRUBCFFYINDCALC"/>
      </w:tblPr>
      <w:tblGrid>
        <w:gridCol w:w="6475"/>
        <w:gridCol w:w="3364"/>
      </w:tblGrid>
      <w:tr w:rsidR="00435E51" w:rsidRPr="00210AC6" w14:paraId="2A6102B0" w14:textId="77777777" w:rsidTr="00845B9B">
        <w:trPr>
          <w:trHeight w:val="432"/>
        </w:trPr>
        <w:tc>
          <w:tcPr>
            <w:tcW w:w="6475" w:type="dxa"/>
            <w:vAlign w:val="center"/>
            <w:hideMark/>
          </w:tcPr>
          <w:p w14:paraId="184AC9A0" w14:textId="77777777" w:rsidR="00435E51" w:rsidRPr="00210AC6" w:rsidRDefault="00435E51" w:rsidP="00435E51">
            <w:pPr>
              <w:spacing w:before="0" w:after="0"/>
              <w:rPr>
                <w:rFonts w:eastAsia="Times New Roman" w:cs="Arial"/>
                <w:szCs w:val="16"/>
              </w:rPr>
            </w:pPr>
            <w:r w:rsidRPr="00210AC6">
              <w:rPr>
                <w:rFonts w:eastAsia="Times New Roman" w:cs="Arial"/>
                <w:szCs w:val="16"/>
              </w:rPr>
              <w:t>A. APR Grand Total</w:t>
            </w:r>
          </w:p>
        </w:tc>
        <w:tc>
          <w:tcPr>
            <w:tcW w:w="3364" w:type="dxa"/>
            <w:vAlign w:val="center"/>
            <w:hideMark/>
          </w:tcPr>
          <w:p w14:paraId="0825BA19" w14:textId="54223086" w:rsidR="00435E51" w:rsidRPr="00210AC6" w:rsidRDefault="00435E51" w:rsidP="00435E51">
            <w:pPr>
              <w:spacing w:before="0" w:after="0"/>
              <w:rPr>
                <w:rFonts w:eastAsia="Times New Roman" w:cs="Arial"/>
                <w:szCs w:val="16"/>
              </w:rPr>
            </w:pPr>
            <w:r w:rsidRPr="00210AC6">
              <w:rPr>
                <w:rFonts w:cs="Arial"/>
                <w:szCs w:val="16"/>
              </w:rPr>
              <w:t>26</w:t>
            </w:r>
          </w:p>
        </w:tc>
      </w:tr>
      <w:tr w:rsidR="00435E51" w:rsidRPr="00210AC6" w14:paraId="190B3554" w14:textId="77777777" w:rsidTr="00845B9B">
        <w:trPr>
          <w:trHeight w:val="432"/>
        </w:trPr>
        <w:tc>
          <w:tcPr>
            <w:tcW w:w="6475" w:type="dxa"/>
            <w:vAlign w:val="center"/>
            <w:hideMark/>
          </w:tcPr>
          <w:p w14:paraId="66B0D6DA" w14:textId="77777777" w:rsidR="00435E51" w:rsidRPr="00210AC6" w:rsidRDefault="00435E51" w:rsidP="00435E51">
            <w:pPr>
              <w:spacing w:before="0" w:after="0"/>
              <w:rPr>
                <w:rFonts w:eastAsia="Times New Roman" w:cs="Arial"/>
                <w:szCs w:val="16"/>
              </w:rPr>
            </w:pPr>
            <w:r w:rsidRPr="00210AC6">
              <w:rPr>
                <w:rFonts w:eastAsia="Times New Roman" w:cs="Arial"/>
                <w:szCs w:val="16"/>
              </w:rPr>
              <w:t>B. 618 Grand Total</w:t>
            </w:r>
          </w:p>
        </w:tc>
        <w:tc>
          <w:tcPr>
            <w:tcW w:w="3364" w:type="dxa"/>
            <w:vAlign w:val="center"/>
            <w:hideMark/>
          </w:tcPr>
          <w:p w14:paraId="292F5CE3" w14:textId="3D2DF12B" w:rsidR="00435E51" w:rsidRPr="00210AC6" w:rsidRDefault="00435E51" w:rsidP="00435E51">
            <w:pPr>
              <w:spacing w:before="0" w:after="0"/>
              <w:rPr>
                <w:rFonts w:eastAsia="Times New Roman" w:cs="Arial"/>
                <w:szCs w:val="16"/>
              </w:rPr>
            </w:pPr>
            <w:r w:rsidRPr="00435E51">
              <w:t>26.00</w:t>
            </w:r>
          </w:p>
        </w:tc>
      </w:tr>
      <w:tr w:rsidR="00435E51" w:rsidRPr="00210AC6" w14:paraId="7044E659" w14:textId="77777777" w:rsidTr="00845B9B">
        <w:trPr>
          <w:trHeight w:val="432"/>
        </w:trPr>
        <w:tc>
          <w:tcPr>
            <w:tcW w:w="6475" w:type="dxa"/>
            <w:vAlign w:val="center"/>
            <w:hideMark/>
          </w:tcPr>
          <w:p w14:paraId="5E098838" w14:textId="77777777" w:rsidR="00435E51" w:rsidRPr="00210AC6" w:rsidRDefault="00435E51" w:rsidP="00435E51">
            <w:pPr>
              <w:spacing w:before="0" w:after="0"/>
              <w:rPr>
                <w:rFonts w:eastAsia="Times New Roman" w:cs="Arial"/>
                <w:szCs w:val="16"/>
              </w:rPr>
            </w:pPr>
            <w:r w:rsidRPr="00210AC6">
              <w:rPr>
                <w:rFonts w:eastAsia="Times New Roman" w:cs="Arial"/>
                <w:szCs w:val="16"/>
              </w:rPr>
              <w:t>C. APR Grand Total (A) + 618 Grand Total (B) =</w:t>
            </w:r>
          </w:p>
        </w:tc>
        <w:tc>
          <w:tcPr>
            <w:tcW w:w="3364" w:type="dxa"/>
            <w:vAlign w:val="center"/>
            <w:hideMark/>
          </w:tcPr>
          <w:p w14:paraId="2EBBA8BB" w14:textId="582D281B" w:rsidR="00435E51" w:rsidRPr="00210AC6" w:rsidRDefault="00435E51" w:rsidP="00435E51">
            <w:pPr>
              <w:spacing w:before="0" w:after="0"/>
              <w:rPr>
                <w:rFonts w:eastAsia="Times New Roman" w:cs="Arial"/>
                <w:szCs w:val="16"/>
              </w:rPr>
            </w:pPr>
            <w:r w:rsidRPr="00C1283C">
              <w:t>52.00</w:t>
            </w:r>
          </w:p>
        </w:tc>
      </w:tr>
      <w:tr w:rsidR="00435E51" w:rsidRPr="00210AC6" w14:paraId="6E235E7C" w14:textId="77777777" w:rsidTr="00845B9B">
        <w:trPr>
          <w:trHeight w:val="432"/>
        </w:trPr>
        <w:tc>
          <w:tcPr>
            <w:tcW w:w="6475" w:type="dxa"/>
            <w:vAlign w:val="center"/>
            <w:hideMark/>
          </w:tcPr>
          <w:p w14:paraId="1E45CB10" w14:textId="17EA6D69" w:rsidR="00435E51" w:rsidRPr="00210AC6" w:rsidRDefault="00435E51" w:rsidP="00435E51">
            <w:pPr>
              <w:spacing w:before="0" w:after="0"/>
              <w:jc w:val="right"/>
              <w:rPr>
                <w:rFonts w:eastAsia="Times New Roman" w:cs="Arial"/>
                <w:szCs w:val="16"/>
              </w:rPr>
            </w:pPr>
            <w:r w:rsidRPr="00210AC6">
              <w:rPr>
                <w:rFonts w:eastAsia="Times New Roman" w:cs="Arial"/>
                <w:szCs w:val="16"/>
              </w:rPr>
              <w:t>Total N/A Points in APR Data Table Subtracted from Denominator</w:t>
            </w:r>
          </w:p>
        </w:tc>
        <w:tc>
          <w:tcPr>
            <w:tcW w:w="3364" w:type="dxa"/>
            <w:vAlign w:val="center"/>
            <w:hideMark/>
          </w:tcPr>
          <w:p w14:paraId="768BD97C" w14:textId="60485CAD" w:rsidR="00435E51" w:rsidRPr="00210AC6" w:rsidRDefault="00435E51" w:rsidP="00435E51">
            <w:pPr>
              <w:spacing w:before="0" w:after="0"/>
              <w:rPr>
                <w:rFonts w:eastAsia="Times New Roman" w:cs="Arial"/>
                <w:szCs w:val="16"/>
              </w:rPr>
            </w:pPr>
            <w:r w:rsidRPr="00C1283C">
              <w:t>0</w:t>
            </w:r>
          </w:p>
        </w:tc>
      </w:tr>
      <w:tr w:rsidR="00435E51" w:rsidRPr="00210AC6" w14:paraId="1162D2AC" w14:textId="77777777" w:rsidTr="00845B9B">
        <w:trPr>
          <w:trHeight w:val="432"/>
        </w:trPr>
        <w:tc>
          <w:tcPr>
            <w:tcW w:w="6475" w:type="dxa"/>
            <w:vAlign w:val="center"/>
            <w:hideMark/>
          </w:tcPr>
          <w:p w14:paraId="5DEC9F60" w14:textId="1774125D" w:rsidR="00435E51" w:rsidRPr="00210AC6" w:rsidRDefault="00435E51" w:rsidP="00435E51">
            <w:pPr>
              <w:spacing w:before="0" w:after="0"/>
              <w:jc w:val="right"/>
              <w:rPr>
                <w:rFonts w:eastAsia="Times New Roman" w:cs="Arial"/>
                <w:szCs w:val="16"/>
              </w:rPr>
            </w:pPr>
            <w:r w:rsidRPr="00210AC6">
              <w:rPr>
                <w:rFonts w:eastAsia="Times New Roman" w:cs="Arial"/>
                <w:szCs w:val="16"/>
              </w:rPr>
              <w:t>Total N/A Points in 618 Data Table Subtracted from Denominator</w:t>
            </w:r>
          </w:p>
        </w:tc>
        <w:tc>
          <w:tcPr>
            <w:tcW w:w="3364" w:type="dxa"/>
            <w:vAlign w:val="center"/>
            <w:hideMark/>
          </w:tcPr>
          <w:p w14:paraId="59AB081B" w14:textId="0EC0F562" w:rsidR="00435E51" w:rsidRPr="00210AC6" w:rsidRDefault="00435E51" w:rsidP="00435E51">
            <w:pPr>
              <w:spacing w:before="0" w:after="0"/>
              <w:rPr>
                <w:rFonts w:eastAsia="Times New Roman" w:cs="Arial"/>
                <w:szCs w:val="16"/>
              </w:rPr>
            </w:pPr>
            <w:r w:rsidRPr="00C1283C">
              <w:t>0.00</w:t>
            </w:r>
          </w:p>
        </w:tc>
      </w:tr>
      <w:tr w:rsidR="00435E51" w:rsidRPr="00210AC6" w14:paraId="028FED6F" w14:textId="77777777" w:rsidTr="00845B9B">
        <w:trPr>
          <w:trHeight w:val="432"/>
        </w:trPr>
        <w:tc>
          <w:tcPr>
            <w:tcW w:w="6475" w:type="dxa"/>
            <w:vAlign w:val="center"/>
            <w:hideMark/>
          </w:tcPr>
          <w:p w14:paraId="1738C251" w14:textId="1F807C1C" w:rsidR="00435E51" w:rsidRPr="00210AC6" w:rsidRDefault="00E31D6F" w:rsidP="00435E51">
            <w:pPr>
              <w:spacing w:before="0" w:after="0"/>
              <w:jc w:val="right"/>
              <w:rPr>
                <w:rFonts w:eastAsia="Times New Roman" w:cs="Arial"/>
                <w:b/>
                <w:bCs/>
                <w:szCs w:val="16"/>
              </w:rPr>
            </w:pPr>
            <w:r>
              <w:rPr>
                <w:rFonts w:eastAsia="Times New Roman" w:cs="Arial"/>
                <w:b/>
                <w:bCs/>
                <w:szCs w:val="16"/>
              </w:rPr>
              <w:t>Denominator</w:t>
            </w:r>
          </w:p>
        </w:tc>
        <w:tc>
          <w:tcPr>
            <w:tcW w:w="3364" w:type="dxa"/>
            <w:vAlign w:val="center"/>
            <w:hideMark/>
          </w:tcPr>
          <w:p w14:paraId="778348E2" w14:textId="6564F030" w:rsidR="00435E51" w:rsidRPr="00210AC6" w:rsidRDefault="00435E51" w:rsidP="00435E51">
            <w:pPr>
              <w:spacing w:before="0" w:after="0"/>
              <w:rPr>
                <w:rFonts w:eastAsia="Times New Roman" w:cs="Arial"/>
                <w:szCs w:val="16"/>
              </w:rPr>
            </w:pPr>
            <w:r w:rsidRPr="00C1283C">
              <w:t>52.00</w:t>
            </w:r>
          </w:p>
        </w:tc>
      </w:tr>
      <w:tr w:rsidR="00435E51" w:rsidRPr="00210AC6" w14:paraId="6982C8B2" w14:textId="77777777" w:rsidTr="00845B9B">
        <w:trPr>
          <w:trHeight w:val="432"/>
        </w:trPr>
        <w:tc>
          <w:tcPr>
            <w:tcW w:w="6475" w:type="dxa"/>
            <w:vAlign w:val="center"/>
            <w:hideMark/>
          </w:tcPr>
          <w:p w14:paraId="66945B04" w14:textId="200619E7" w:rsidR="00435E51" w:rsidRPr="00210AC6" w:rsidRDefault="00435E51" w:rsidP="00435E51">
            <w:pPr>
              <w:spacing w:before="0" w:after="0"/>
              <w:rPr>
                <w:rFonts w:eastAsia="Times New Roman" w:cs="Arial"/>
                <w:szCs w:val="16"/>
              </w:rPr>
            </w:pPr>
            <w:r w:rsidRPr="00210AC6">
              <w:rPr>
                <w:rFonts w:eastAsia="Times New Roman" w:cs="Arial"/>
                <w:szCs w:val="16"/>
              </w:rPr>
              <w:t>D. Subtotal (C divided by Denominator) (3) =</w:t>
            </w:r>
          </w:p>
        </w:tc>
        <w:tc>
          <w:tcPr>
            <w:tcW w:w="3364" w:type="dxa"/>
            <w:vAlign w:val="center"/>
            <w:hideMark/>
          </w:tcPr>
          <w:p w14:paraId="6474A249" w14:textId="2043387F" w:rsidR="00435E51" w:rsidRPr="00210AC6" w:rsidRDefault="00435E51" w:rsidP="00435E51">
            <w:pPr>
              <w:spacing w:before="0" w:after="0"/>
              <w:rPr>
                <w:rFonts w:eastAsia="Times New Roman" w:cs="Arial"/>
                <w:szCs w:val="16"/>
              </w:rPr>
            </w:pPr>
            <w:r w:rsidRPr="00C1283C">
              <w:t>1.0000</w:t>
            </w:r>
          </w:p>
        </w:tc>
      </w:tr>
      <w:tr w:rsidR="00435E51" w:rsidRPr="00210AC6" w14:paraId="7D8A43BC" w14:textId="77777777" w:rsidTr="00845B9B">
        <w:trPr>
          <w:trHeight w:val="432"/>
        </w:trPr>
        <w:tc>
          <w:tcPr>
            <w:tcW w:w="6475" w:type="dxa"/>
            <w:vAlign w:val="center"/>
            <w:hideMark/>
          </w:tcPr>
          <w:p w14:paraId="595A505F" w14:textId="77777777" w:rsidR="00435E51" w:rsidRPr="00210AC6" w:rsidRDefault="00435E51" w:rsidP="00435E51">
            <w:pPr>
              <w:spacing w:before="0" w:after="0"/>
              <w:rPr>
                <w:rFonts w:eastAsia="Times New Roman" w:cs="Arial"/>
                <w:szCs w:val="16"/>
              </w:rPr>
            </w:pPr>
            <w:r w:rsidRPr="00210AC6">
              <w:rPr>
                <w:rFonts w:eastAsia="Times New Roman" w:cs="Arial"/>
                <w:szCs w:val="16"/>
              </w:rPr>
              <w:t>E. Indicator Score (Subtotal D x 100) =</w:t>
            </w:r>
          </w:p>
        </w:tc>
        <w:tc>
          <w:tcPr>
            <w:tcW w:w="3364" w:type="dxa"/>
            <w:vAlign w:val="center"/>
            <w:hideMark/>
          </w:tcPr>
          <w:p w14:paraId="78CA2214" w14:textId="6B3E20AB" w:rsidR="00435E51" w:rsidRPr="00210AC6" w:rsidRDefault="00435E51" w:rsidP="00435E51">
            <w:pPr>
              <w:spacing w:before="0" w:after="0"/>
              <w:rPr>
                <w:rFonts w:eastAsia="Times New Roman" w:cs="Arial"/>
                <w:szCs w:val="16"/>
              </w:rPr>
            </w:pPr>
            <w:r w:rsidRPr="00C1283C">
              <w:t>100.00</w:t>
            </w:r>
          </w:p>
        </w:tc>
      </w:tr>
    </w:tbl>
    <w:p w14:paraId="769E196A" w14:textId="77777777" w:rsidR="001853BF" w:rsidRDefault="001853BF" w:rsidP="00B42C5F">
      <w:pPr>
        <w:rPr>
          <w:rFonts w:eastAsia="Times New Roman" w:cs="Arial"/>
          <w:b/>
          <w:bCs/>
          <w:szCs w:val="16"/>
        </w:rPr>
      </w:pPr>
    </w:p>
    <w:p w14:paraId="5EFBC357" w14:textId="251C80C5" w:rsidR="00F02F41" w:rsidRDefault="006B6EF0" w:rsidP="00D12506">
      <w:pPr>
        <w:rPr>
          <w:rFonts w:eastAsia="Times New Roman" w:cs="Arial"/>
          <w:b/>
          <w:bCs/>
          <w:szCs w:val="16"/>
        </w:rPr>
      </w:pPr>
      <w:r>
        <w:rPr>
          <w:rFonts w:eastAsia="Times New Roman" w:cs="Arial"/>
          <w:b/>
          <w:bCs/>
          <w:szCs w:val="16"/>
        </w:rPr>
        <w:t>(3) Note that any cell marked as N/A in the APR Data Table will decrease the denominator by 1, and any cell marked as N/A in the 618 Data Table will decrease the denominator by 1.23809524.</w:t>
      </w:r>
    </w:p>
    <w:p w14:paraId="78EE533A" w14:textId="77777777" w:rsidR="0078594A" w:rsidRDefault="0078594A" w:rsidP="00D12506">
      <w:pPr>
        <w:rPr>
          <w:rFonts w:eastAsia="Times New Roman" w:cs="Arial"/>
          <w:b/>
          <w:bCs/>
          <w:szCs w:val="16"/>
        </w:rPr>
      </w:pPr>
    </w:p>
    <w:p w14:paraId="7D8DC835" w14:textId="77777777" w:rsidR="0078594A" w:rsidRDefault="0078594A" w:rsidP="00D12506">
      <w:pPr>
        <w:rPr>
          <w:rFonts w:eastAsia="Times New Roman" w:cs="Arial"/>
          <w:b/>
          <w:bCs/>
          <w:szCs w:val="16"/>
        </w:rPr>
      </w:pPr>
    </w:p>
    <w:p w14:paraId="7BAA8128" w14:textId="77777777" w:rsidR="0078594A" w:rsidRDefault="0078594A" w:rsidP="00D12506">
      <w:pPr>
        <w:rPr>
          <w:rFonts w:eastAsia="Times New Roman" w:cs="Arial"/>
          <w:b/>
          <w:bCs/>
          <w:szCs w:val="16"/>
        </w:rPr>
      </w:pPr>
    </w:p>
    <w:p w14:paraId="1680CB83" w14:textId="77777777" w:rsidR="0078594A" w:rsidRDefault="0078594A" w:rsidP="00D12506"/>
    <w:p w14:paraId="6EA24703" w14:textId="77777777" w:rsidR="00D84A0A" w:rsidRDefault="00D84A0A" w:rsidP="00D84A0A">
      <w:pPr>
        <w:spacing w:before="0" w:after="200" w:line="276" w:lineRule="auto"/>
      </w:pPr>
    </w:p>
    <w:p w14:paraId="130C5698" w14:textId="7694A105" w:rsidR="00D84A0A" w:rsidRPr="003A34C1" w:rsidRDefault="00D84A0A" w:rsidP="00D84A0A">
      <w:pPr>
        <w:spacing w:before="0" w:after="200" w:line="276" w:lineRule="auto"/>
      </w:pPr>
      <w:r>
        <w:br w:type="page"/>
      </w:r>
    </w:p>
    <w:p w14:paraId="37CA7204" w14:textId="77777777" w:rsidR="004777CA" w:rsidRPr="008A41E6" w:rsidRDefault="004777CA" w:rsidP="004777CA">
      <w:pPr>
        <w:rPr>
          <w:b/>
          <w:bCs/>
          <w:sz w:val="20"/>
          <w:szCs w:val="28"/>
        </w:rPr>
      </w:pPr>
      <w:r w:rsidRPr="008A41E6">
        <w:rPr>
          <w:b/>
          <w:bCs/>
          <w:sz w:val="20"/>
          <w:szCs w:val="28"/>
        </w:rPr>
        <w:lastRenderedPageBreak/>
        <w:t>APR and 618 -Timely and Accurate State Reported Data</w:t>
      </w:r>
    </w:p>
    <w:p w14:paraId="6C84D9C5" w14:textId="77777777" w:rsidR="004777CA" w:rsidRDefault="004777CA" w:rsidP="004777CA"/>
    <w:p w14:paraId="3FA33DFF" w14:textId="5184D4D7" w:rsidR="004777CA" w:rsidRPr="008A41E6" w:rsidRDefault="004777CA" w:rsidP="004777CA">
      <w:pPr>
        <w:rPr>
          <w:b/>
          <w:bCs/>
        </w:rPr>
      </w:pPr>
      <w:r w:rsidRPr="008A41E6">
        <w:rPr>
          <w:b/>
          <w:bCs/>
        </w:rPr>
        <w:t>DATE: February 2024 Submission</w:t>
      </w:r>
    </w:p>
    <w:p w14:paraId="748E3AF9" w14:textId="77777777" w:rsidR="004777CA" w:rsidRDefault="004777CA" w:rsidP="004777CA"/>
    <w:p w14:paraId="51D89716" w14:textId="30A47721" w:rsidR="00EF6405" w:rsidRPr="00EF6405" w:rsidRDefault="00EF6405" w:rsidP="004777CA">
      <w:pPr>
        <w:rPr>
          <w:b/>
          <w:bCs/>
        </w:rPr>
      </w:pPr>
      <w:r w:rsidRPr="00EF6405">
        <w:rPr>
          <w:b/>
          <w:bCs/>
        </w:rPr>
        <w:t>SPP/APR Data</w:t>
      </w:r>
    </w:p>
    <w:p w14:paraId="2BC0BE25" w14:textId="77777777" w:rsidR="00EF6405" w:rsidRDefault="00EF6405" w:rsidP="004777CA"/>
    <w:p w14:paraId="0F794C69" w14:textId="77777777" w:rsidR="004777CA" w:rsidRDefault="004777CA" w:rsidP="004777CA">
      <w:r w:rsidRPr="008A41E6">
        <w:rPr>
          <w:b/>
          <w:bCs/>
        </w:rPr>
        <w:t>1) Valid and Reliable Data</w:t>
      </w:r>
      <w:r w:rsidRPr="008A41E6">
        <w:t xml:space="preserve"> - Data provided </w:t>
      </w:r>
      <w:proofErr w:type="gramStart"/>
      <w:r w:rsidRPr="008A41E6">
        <w:t>are</w:t>
      </w:r>
      <w:proofErr w:type="gramEnd"/>
      <w:r w:rsidRPr="008A41E6">
        <w:t xml:space="preserve"> from the correct time period, are consistent with 618 (when appropriate) and the </w:t>
      </w:r>
      <w:proofErr w:type="gramStart"/>
      <w:r w:rsidRPr="008A41E6">
        <w:t>measurement, and</w:t>
      </w:r>
      <w:proofErr w:type="gramEnd"/>
      <w:r w:rsidRPr="008A41E6">
        <w:t xml:space="preserve"> are consistent with previous indicator data (unless explained).</w:t>
      </w:r>
    </w:p>
    <w:p w14:paraId="3B7505A0" w14:textId="77777777" w:rsidR="004777CA" w:rsidRDefault="004777CA" w:rsidP="004777CA"/>
    <w:p w14:paraId="1365AEC8" w14:textId="77944949" w:rsidR="004777CA" w:rsidRDefault="004777CA" w:rsidP="004777CA">
      <w:r w:rsidRPr="008A41E6">
        <w:rPr>
          <w:b/>
          <w:bCs/>
        </w:rPr>
        <w:t>Part B 618 Data</w:t>
      </w:r>
    </w:p>
    <w:p w14:paraId="3EEEF876" w14:textId="77777777" w:rsidR="004777CA" w:rsidRDefault="004777CA" w:rsidP="004777CA"/>
    <w:p w14:paraId="5BAC76FC" w14:textId="005D8856" w:rsidR="004777CA" w:rsidRPr="004777CA" w:rsidRDefault="004777CA" w:rsidP="004777CA">
      <w:r w:rsidRPr="004777CA">
        <w:rPr>
          <w:b/>
          <w:bCs/>
        </w:rPr>
        <w:t xml:space="preserve">1) Timely </w:t>
      </w:r>
      <w:r w:rsidRPr="004777CA">
        <w:t>–   A State will receive one point if it submits all ED</w:t>
      </w:r>
      <w:r w:rsidRPr="00BA3DBE">
        <w:rPr>
          <w:i/>
          <w:iCs/>
        </w:rPr>
        <w:t>Facts</w:t>
      </w:r>
      <w:r w:rsidRPr="004777CA">
        <w:t xml:space="preserve"> files or the entire E</w:t>
      </w:r>
      <w:r w:rsidRPr="00BA3DBE">
        <w:rPr>
          <w:i/>
          <w:iCs/>
        </w:rPr>
        <w:t>MAPS</w:t>
      </w:r>
      <w:r w:rsidRPr="004777CA">
        <w:t xml:space="preserve"> survey associated with the IDEA Section 618 data collection to ED by the initial due date for that collection (as described the table below).    </w:t>
      </w:r>
    </w:p>
    <w:p w14:paraId="1F43F1D5" w14:textId="77777777" w:rsidR="004777CA" w:rsidRDefault="004777CA" w:rsidP="004777CA"/>
    <w:tbl>
      <w:tblPr>
        <w:tblStyle w:val="TableGrid"/>
        <w:tblW w:w="0" w:type="auto"/>
        <w:tblLook w:val="04A0" w:firstRow="1" w:lastRow="0" w:firstColumn="1" w:lastColumn="0" w:noHBand="0" w:noVBand="1"/>
        <w:tblCaption w:val="BRUBCFFYREADME"/>
      </w:tblPr>
      <w:tblGrid>
        <w:gridCol w:w="2605"/>
        <w:gridCol w:w="3617"/>
        <w:gridCol w:w="3618"/>
      </w:tblGrid>
      <w:tr w:rsidR="004777CA" w:rsidRPr="004777CA" w14:paraId="4472B9F9" w14:textId="77777777" w:rsidTr="004777CA">
        <w:trPr>
          <w:trHeight w:val="20"/>
        </w:trPr>
        <w:tc>
          <w:tcPr>
            <w:tcW w:w="2605" w:type="dxa"/>
            <w:hideMark/>
          </w:tcPr>
          <w:p w14:paraId="1648227D" w14:textId="77777777" w:rsidR="004777CA" w:rsidRPr="004777CA" w:rsidRDefault="004777CA" w:rsidP="004777CA">
            <w:pPr>
              <w:rPr>
                <w:b/>
                <w:bCs/>
              </w:rPr>
            </w:pPr>
            <w:r w:rsidRPr="004777CA">
              <w:rPr>
                <w:b/>
                <w:bCs/>
              </w:rPr>
              <w:t>618 Data Collection</w:t>
            </w:r>
          </w:p>
        </w:tc>
        <w:tc>
          <w:tcPr>
            <w:tcW w:w="3617" w:type="dxa"/>
            <w:hideMark/>
          </w:tcPr>
          <w:p w14:paraId="685FDACB" w14:textId="77777777" w:rsidR="004777CA" w:rsidRPr="004777CA" w:rsidRDefault="004777CA">
            <w:pPr>
              <w:rPr>
                <w:b/>
                <w:bCs/>
              </w:rPr>
            </w:pPr>
            <w:r w:rsidRPr="004777CA">
              <w:rPr>
                <w:b/>
                <w:bCs/>
              </w:rPr>
              <w:t>ED</w:t>
            </w:r>
            <w:r w:rsidRPr="00BA3DBE">
              <w:rPr>
                <w:b/>
                <w:bCs/>
                <w:i/>
                <w:iCs/>
              </w:rPr>
              <w:t>Facts</w:t>
            </w:r>
            <w:r w:rsidRPr="004777CA">
              <w:rPr>
                <w:b/>
                <w:bCs/>
              </w:rPr>
              <w:t xml:space="preserve"> Files/ E</w:t>
            </w:r>
            <w:r w:rsidRPr="00BA3DBE">
              <w:rPr>
                <w:b/>
                <w:bCs/>
                <w:i/>
                <w:iCs/>
              </w:rPr>
              <w:t>MAPS</w:t>
            </w:r>
            <w:r w:rsidRPr="004777CA">
              <w:rPr>
                <w:b/>
                <w:bCs/>
              </w:rPr>
              <w:t xml:space="preserve"> Survey</w:t>
            </w:r>
          </w:p>
        </w:tc>
        <w:tc>
          <w:tcPr>
            <w:tcW w:w="3618" w:type="dxa"/>
            <w:hideMark/>
          </w:tcPr>
          <w:p w14:paraId="40597F3A" w14:textId="77777777" w:rsidR="004777CA" w:rsidRPr="004777CA" w:rsidRDefault="004777CA">
            <w:pPr>
              <w:rPr>
                <w:b/>
                <w:bCs/>
              </w:rPr>
            </w:pPr>
            <w:r w:rsidRPr="004777CA">
              <w:rPr>
                <w:b/>
                <w:bCs/>
              </w:rPr>
              <w:t>Due Date</w:t>
            </w:r>
          </w:p>
        </w:tc>
      </w:tr>
      <w:tr w:rsidR="004777CA" w:rsidRPr="004777CA" w14:paraId="5AB489B7" w14:textId="77777777" w:rsidTr="004777CA">
        <w:trPr>
          <w:trHeight w:val="20"/>
        </w:trPr>
        <w:tc>
          <w:tcPr>
            <w:tcW w:w="2605" w:type="dxa"/>
            <w:hideMark/>
          </w:tcPr>
          <w:p w14:paraId="00556080" w14:textId="77777777" w:rsidR="004777CA" w:rsidRPr="004777CA" w:rsidRDefault="004777CA">
            <w:r w:rsidRPr="004777CA">
              <w:t>Part B Child Count and Educational Environments</w:t>
            </w:r>
          </w:p>
        </w:tc>
        <w:tc>
          <w:tcPr>
            <w:tcW w:w="3617" w:type="dxa"/>
            <w:hideMark/>
          </w:tcPr>
          <w:p w14:paraId="6663B636" w14:textId="77777777" w:rsidR="004777CA" w:rsidRPr="004777CA" w:rsidRDefault="004777CA">
            <w:r w:rsidRPr="004777CA">
              <w:t>C002 &amp; C089</w:t>
            </w:r>
          </w:p>
        </w:tc>
        <w:tc>
          <w:tcPr>
            <w:tcW w:w="3618" w:type="dxa"/>
            <w:hideMark/>
          </w:tcPr>
          <w:p w14:paraId="1A5219CD" w14:textId="6DFEAC0A" w:rsidR="004777CA" w:rsidRPr="004777CA" w:rsidRDefault="006B068C">
            <w:r>
              <w:t>8/30/2023</w:t>
            </w:r>
          </w:p>
        </w:tc>
      </w:tr>
      <w:tr w:rsidR="004777CA" w:rsidRPr="004777CA" w14:paraId="34F5C842" w14:textId="77777777" w:rsidTr="004777CA">
        <w:trPr>
          <w:trHeight w:val="20"/>
        </w:trPr>
        <w:tc>
          <w:tcPr>
            <w:tcW w:w="2605" w:type="dxa"/>
            <w:hideMark/>
          </w:tcPr>
          <w:p w14:paraId="5B140CD1" w14:textId="77777777" w:rsidR="004777CA" w:rsidRPr="004777CA" w:rsidRDefault="004777CA">
            <w:r w:rsidRPr="004777CA">
              <w:t xml:space="preserve">Part B Personnel </w:t>
            </w:r>
          </w:p>
        </w:tc>
        <w:tc>
          <w:tcPr>
            <w:tcW w:w="3617" w:type="dxa"/>
            <w:hideMark/>
          </w:tcPr>
          <w:p w14:paraId="2B3C97E0" w14:textId="77777777" w:rsidR="004777CA" w:rsidRPr="004777CA" w:rsidRDefault="004777CA">
            <w:r w:rsidRPr="004777CA">
              <w:t>C070, C099, C112</w:t>
            </w:r>
          </w:p>
        </w:tc>
        <w:tc>
          <w:tcPr>
            <w:tcW w:w="3618" w:type="dxa"/>
            <w:hideMark/>
          </w:tcPr>
          <w:p w14:paraId="4E9B4012" w14:textId="3DF1435D" w:rsidR="004777CA" w:rsidRPr="004777CA" w:rsidRDefault="006B068C">
            <w:r>
              <w:t>2/21/2024</w:t>
            </w:r>
          </w:p>
        </w:tc>
      </w:tr>
      <w:tr w:rsidR="006B068C" w:rsidRPr="004777CA" w14:paraId="2A4CEB99" w14:textId="77777777" w:rsidTr="004777CA">
        <w:trPr>
          <w:trHeight w:val="20"/>
        </w:trPr>
        <w:tc>
          <w:tcPr>
            <w:tcW w:w="2605" w:type="dxa"/>
            <w:hideMark/>
          </w:tcPr>
          <w:p w14:paraId="54105E06" w14:textId="77777777" w:rsidR="006B068C" w:rsidRPr="004777CA" w:rsidRDefault="006B068C" w:rsidP="006B068C">
            <w:r w:rsidRPr="004777CA">
              <w:t>Part B Exiting</w:t>
            </w:r>
          </w:p>
        </w:tc>
        <w:tc>
          <w:tcPr>
            <w:tcW w:w="3617" w:type="dxa"/>
            <w:hideMark/>
          </w:tcPr>
          <w:p w14:paraId="12F3E20D" w14:textId="77777777" w:rsidR="006B068C" w:rsidRPr="004777CA" w:rsidRDefault="006B068C" w:rsidP="006B068C">
            <w:r w:rsidRPr="004777CA">
              <w:t>C009</w:t>
            </w:r>
          </w:p>
        </w:tc>
        <w:tc>
          <w:tcPr>
            <w:tcW w:w="3618" w:type="dxa"/>
            <w:hideMark/>
          </w:tcPr>
          <w:p w14:paraId="3133C658" w14:textId="7D4F3A29" w:rsidR="006B068C" w:rsidRPr="004777CA" w:rsidRDefault="006B068C" w:rsidP="006B068C">
            <w:r w:rsidRPr="00546C82">
              <w:t>2/21/2024</w:t>
            </w:r>
          </w:p>
        </w:tc>
      </w:tr>
      <w:tr w:rsidR="006B068C" w:rsidRPr="004777CA" w14:paraId="31D5C68C" w14:textId="77777777" w:rsidTr="004777CA">
        <w:trPr>
          <w:trHeight w:val="20"/>
        </w:trPr>
        <w:tc>
          <w:tcPr>
            <w:tcW w:w="2605" w:type="dxa"/>
            <w:hideMark/>
          </w:tcPr>
          <w:p w14:paraId="63F706F3" w14:textId="77777777" w:rsidR="006B068C" w:rsidRPr="004777CA" w:rsidRDefault="006B068C" w:rsidP="006B068C">
            <w:r w:rsidRPr="004777CA">
              <w:t xml:space="preserve">Part B Discipline </w:t>
            </w:r>
          </w:p>
        </w:tc>
        <w:tc>
          <w:tcPr>
            <w:tcW w:w="3617" w:type="dxa"/>
            <w:hideMark/>
          </w:tcPr>
          <w:p w14:paraId="16D2853A" w14:textId="77777777" w:rsidR="006B068C" w:rsidRPr="004777CA" w:rsidRDefault="006B068C" w:rsidP="006B068C">
            <w:r w:rsidRPr="004777CA">
              <w:t>C005, C006, C007, C088, C143, C144</w:t>
            </w:r>
          </w:p>
        </w:tc>
        <w:tc>
          <w:tcPr>
            <w:tcW w:w="3618" w:type="dxa"/>
            <w:hideMark/>
          </w:tcPr>
          <w:p w14:paraId="254DB998" w14:textId="484C0578" w:rsidR="006B068C" w:rsidRPr="004777CA" w:rsidRDefault="006B068C" w:rsidP="006B068C">
            <w:r w:rsidRPr="00546C82">
              <w:t>2/21/2024</w:t>
            </w:r>
          </w:p>
        </w:tc>
      </w:tr>
      <w:tr w:rsidR="004777CA" w:rsidRPr="004777CA" w14:paraId="2E5FB44E" w14:textId="77777777" w:rsidTr="004777CA">
        <w:trPr>
          <w:trHeight w:val="20"/>
        </w:trPr>
        <w:tc>
          <w:tcPr>
            <w:tcW w:w="2605" w:type="dxa"/>
            <w:hideMark/>
          </w:tcPr>
          <w:p w14:paraId="712EC9E4" w14:textId="77777777" w:rsidR="004777CA" w:rsidRPr="004777CA" w:rsidRDefault="004777CA">
            <w:r w:rsidRPr="004777CA">
              <w:t>Part B Assessment</w:t>
            </w:r>
          </w:p>
        </w:tc>
        <w:tc>
          <w:tcPr>
            <w:tcW w:w="3617" w:type="dxa"/>
            <w:hideMark/>
          </w:tcPr>
          <w:p w14:paraId="2B041249" w14:textId="77777777" w:rsidR="004777CA" w:rsidRPr="004777CA" w:rsidRDefault="004777CA">
            <w:r w:rsidRPr="004777CA">
              <w:t>C175, C178, C185, C188</w:t>
            </w:r>
          </w:p>
        </w:tc>
        <w:tc>
          <w:tcPr>
            <w:tcW w:w="3618" w:type="dxa"/>
            <w:hideMark/>
          </w:tcPr>
          <w:p w14:paraId="563E4812" w14:textId="4985C1F7" w:rsidR="004777CA" w:rsidRPr="004777CA" w:rsidRDefault="006B068C">
            <w:r>
              <w:t>1/10/2024</w:t>
            </w:r>
          </w:p>
        </w:tc>
      </w:tr>
      <w:tr w:rsidR="004777CA" w:rsidRPr="004777CA" w14:paraId="4C08C198" w14:textId="77777777" w:rsidTr="004777CA">
        <w:trPr>
          <w:trHeight w:val="20"/>
        </w:trPr>
        <w:tc>
          <w:tcPr>
            <w:tcW w:w="2605" w:type="dxa"/>
            <w:hideMark/>
          </w:tcPr>
          <w:p w14:paraId="2894DF0B" w14:textId="77777777" w:rsidR="004777CA" w:rsidRPr="004777CA" w:rsidRDefault="004777CA">
            <w:r w:rsidRPr="004777CA">
              <w:t xml:space="preserve">Part B Dispute Resolution </w:t>
            </w:r>
          </w:p>
        </w:tc>
        <w:tc>
          <w:tcPr>
            <w:tcW w:w="3617" w:type="dxa"/>
            <w:hideMark/>
          </w:tcPr>
          <w:p w14:paraId="723D6024" w14:textId="77777777" w:rsidR="004777CA" w:rsidRPr="004777CA" w:rsidRDefault="004777CA">
            <w:r w:rsidRPr="004777CA">
              <w:t>Part B Dispute Resolution Survey in E</w:t>
            </w:r>
            <w:r w:rsidRPr="00CC6999">
              <w:rPr>
                <w:i/>
                <w:iCs/>
              </w:rPr>
              <w:t>MAPS</w:t>
            </w:r>
          </w:p>
        </w:tc>
        <w:tc>
          <w:tcPr>
            <w:tcW w:w="3618" w:type="dxa"/>
            <w:hideMark/>
          </w:tcPr>
          <w:p w14:paraId="379E394B" w14:textId="35C2DF26" w:rsidR="004777CA" w:rsidRPr="004777CA" w:rsidRDefault="006B068C">
            <w:r>
              <w:t>11/15/2023</w:t>
            </w:r>
          </w:p>
        </w:tc>
      </w:tr>
      <w:tr w:rsidR="004777CA" w:rsidRPr="004777CA" w14:paraId="3B69FF00" w14:textId="77777777" w:rsidTr="004777CA">
        <w:trPr>
          <w:trHeight w:val="20"/>
        </w:trPr>
        <w:tc>
          <w:tcPr>
            <w:tcW w:w="2605" w:type="dxa"/>
            <w:hideMark/>
          </w:tcPr>
          <w:p w14:paraId="06F7CBC6" w14:textId="77777777" w:rsidR="004777CA" w:rsidRPr="004777CA" w:rsidRDefault="004777CA">
            <w:r w:rsidRPr="004777CA">
              <w:t>Part B LEA Maintenance of Effort Reduction and Coordinated Early Intervening Services</w:t>
            </w:r>
          </w:p>
        </w:tc>
        <w:tc>
          <w:tcPr>
            <w:tcW w:w="3617" w:type="dxa"/>
            <w:hideMark/>
          </w:tcPr>
          <w:p w14:paraId="6B511F74" w14:textId="77777777" w:rsidR="004777CA" w:rsidRPr="004777CA" w:rsidRDefault="004777CA">
            <w:r w:rsidRPr="004777CA">
              <w:t>Part B MOE Reduction and CEIS Survey in E</w:t>
            </w:r>
            <w:r w:rsidRPr="00CC6999">
              <w:rPr>
                <w:i/>
                <w:iCs/>
              </w:rPr>
              <w:t>MAPS</w:t>
            </w:r>
          </w:p>
        </w:tc>
        <w:tc>
          <w:tcPr>
            <w:tcW w:w="3618" w:type="dxa"/>
            <w:hideMark/>
          </w:tcPr>
          <w:p w14:paraId="22308BA5" w14:textId="365B3A93" w:rsidR="004777CA" w:rsidRPr="004777CA" w:rsidRDefault="006B068C">
            <w:r>
              <w:t>5/3/2023</w:t>
            </w:r>
          </w:p>
        </w:tc>
      </w:tr>
    </w:tbl>
    <w:p w14:paraId="52ACECA5" w14:textId="77777777" w:rsidR="004777CA" w:rsidRDefault="004777CA" w:rsidP="004777CA"/>
    <w:p w14:paraId="4EFF5866" w14:textId="4128FE84" w:rsidR="004777CA" w:rsidRPr="008A41E6" w:rsidRDefault="004777CA" w:rsidP="004777CA">
      <w:pPr>
        <w:rPr>
          <w:b/>
          <w:bCs/>
        </w:rPr>
      </w:pPr>
      <w:r w:rsidRPr="008A41E6">
        <w:rPr>
          <w:b/>
          <w:bCs/>
        </w:rPr>
        <w:t>2) Complete Data</w:t>
      </w:r>
      <w:r w:rsidRPr="008A41E6">
        <w:t xml:space="preserve"> – </w:t>
      </w:r>
      <w:r w:rsidRPr="004777CA">
        <w:t>A State will receive one point if it submits data for all files, permitted values, category sets, subtotals, and totals associated with a specific data collection by the initial due date. No data is reported as missing. No placeholder data is submitted. The data submitted to ED</w:t>
      </w:r>
      <w:r w:rsidRPr="00BA3DBE">
        <w:rPr>
          <w:i/>
          <w:iCs/>
        </w:rPr>
        <w:t>Facts</w:t>
      </w:r>
      <w:r w:rsidRPr="004777CA">
        <w:t xml:space="preserve"> aligns with the metadata survey responses provided by the state in the State Supplemental Survey IDEA (SSS IDEA) and Assessment Metadata survey in E</w:t>
      </w:r>
      <w:r w:rsidRPr="00CC6999">
        <w:rPr>
          <w:i/>
          <w:iCs/>
        </w:rPr>
        <w:t>MAPS</w:t>
      </w:r>
      <w:r w:rsidRPr="004777CA">
        <w:t>.  State-level data include data from all districts or agencies</w:t>
      </w:r>
      <w:r w:rsidRPr="008A41E6">
        <w:t>.</w:t>
      </w:r>
    </w:p>
    <w:p w14:paraId="34EF2576" w14:textId="77777777" w:rsidR="004777CA" w:rsidRDefault="004777CA" w:rsidP="004777CA"/>
    <w:p w14:paraId="557CE2A1" w14:textId="5CB8EF22" w:rsidR="004777CA" w:rsidRPr="008A41E6" w:rsidRDefault="004777CA" w:rsidP="004777CA">
      <w:pPr>
        <w:rPr>
          <w:b/>
          <w:bCs/>
        </w:rPr>
      </w:pPr>
      <w:r w:rsidRPr="008A41E6">
        <w:rPr>
          <w:b/>
          <w:bCs/>
        </w:rPr>
        <w:t xml:space="preserve">3) Passed Edit Check – </w:t>
      </w:r>
      <w:r w:rsidRPr="008A41E6">
        <w:t xml:space="preserve">A State will receive one point if it submits data that meets all the edit checks related to the specific data collection by the initial due date. The counts included in 618 data submissions are internally consistent within a data collection </w:t>
      </w:r>
    </w:p>
    <w:p w14:paraId="330F0E42" w14:textId="3DBADBBF" w:rsidR="004777CA" w:rsidRDefault="004777CA">
      <w:pPr>
        <w:spacing w:before="0" w:after="200" w:line="276" w:lineRule="auto"/>
      </w:pPr>
      <w:r>
        <w:br w:type="page"/>
      </w:r>
    </w:p>
    <w:p w14:paraId="66EA6C1B" w14:textId="3AB83F96" w:rsidR="0058254D" w:rsidRDefault="0058254D" w:rsidP="0058254D">
      <w:pPr>
        <w:pStyle w:val="Heading2"/>
      </w:pPr>
      <w:r>
        <w:lastRenderedPageBreak/>
        <w:t>Dispute Resolution</w:t>
      </w:r>
    </w:p>
    <w:p w14:paraId="02996E50" w14:textId="77777777" w:rsidR="00EE2E01" w:rsidRPr="007367EC" w:rsidRDefault="00EE2E01" w:rsidP="00EE2E01">
      <w:pPr>
        <w:rPr>
          <w:b/>
          <w:bCs/>
          <w:sz w:val="18"/>
          <w:szCs w:val="24"/>
        </w:rPr>
      </w:pPr>
      <w:r w:rsidRPr="007367EC">
        <w:rPr>
          <w:b/>
          <w:bCs/>
          <w:sz w:val="18"/>
          <w:szCs w:val="24"/>
        </w:rPr>
        <w:t>IDEA Part B</w:t>
      </w:r>
    </w:p>
    <w:p w14:paraId="53299F7E" w14:textId="77777777" w:rsidR="00EE2E01" w:rsidRPr="007367EC" w:rsidRDefault="00EE2E01" w:rsidP="00EE2E01">
      <w:pPr>
        <w:rPr>
          <w:b/>
          <w:bCs/>
          <w:sz w:val="18"/>
          <w:szCs w:val="24"/>
        </w:rPr>
      </w:pPr>
      <w:r w:rsidRPr="007367EC">
        <w:rPr>
          <w:b/>
          <w:bCs/>
          <w:sz w:val="18"/>
          <w:szCs w:val="24"/>
        </w:rPr>
        <w:t>Colorado</w:t>
      </w:r>
    </w:p>
    <w:p w14:paraId="7ED899F6" w14:textId="77777777" w:rsidR="00EE2E01" w:rsidRPr="007367EC" w:rsidRDefault="00EE2E01" w:rsidP="00EE2E01">
      <w:pPr>
        <w:rPr>
          <w:b/>
          <w:bCs/>
          <w:sz w:val="18"/>
          <w:szCs w:val="24"/>
        </w:rPr>
      </w:pPr>
      <w:r>
        <w:rPr>
          <w:b/>
          <w:bCs/>
          <w:sz w:val="18"/>
          <w:szCs w:val="24"/>
        </w:rPr>
        <w:t xml:space="preserve">School </w:t>
      </w:r>
      <w:r w:rsidRPr="007367EC">
        <w:rPr>
          <w:b/>
          <w:bCs/>
          <w:sz w:val="18"/>
          <w:szCs w:val="24"/>
        </w:rPr>
        <w:t>Year</w:t>
      </w:r>
      <w:r>
        <w:rPr>
          <w:b/>
          <w:bCs/>
          <w:sz w:val="18"/>
          <w:szCs w:val="24"/>
        </w:rPr>
        <w:t>:</w:t>
      </w:r>
      <w:r w:rsidRPr="007367EC">
        <w:rPr>
          <w:b/>
          <w:bCs/>
          <w:sz w:val="18"/>
          <w:szCs w:val="24"/>
        </w:rPr>
        <w:t xml:space="preserve"> 2022-23</w:t>
      </w:r>
    </w:p>
    <w:p w14:paraId="56976681" w14:textId="77777777" w:rsidR="00EE2E01" w:rsidRPr="00320834" w:rsidRDefault="00EE2E01" w:rsidP="00EE2E01"/>
    <w:p w14:paraId="094451B0" w14:textId="77777777" w:rsidR="00EE2E01" w:rsidRDefault="00EE2E01" w:rsidP="00EE2E01">
      <w:pPr>
        <w:spacing w:before="0" w:after="0"/>
        <w:rPr>
          <w:szCs w:val="16"/>
        </w:rPr>
      </w:pPr>
      <w:r>
        <w:rPr>
          <w:szCs w:val="16"/>
        </w:rPr>
        <w:t xml:space="preserve">A zero count should be used when there were no events or occurrences to report in the specific category for the given reporting period. Check “Missing’ if the state did not collect or could not report a count for the specific category. Please provide an explanation for the missing data in the comment box at the top of the page. </w:t>
      </w:r>
    </w:p>
    <w:p w14:paraId="1CFE72DB" w14:textId="77777777" w:rsidR="00EE2E01" w:rsidRDefault="00EE2E01" w:rsidP="00EE2E01">
      <w:pPr>
        <w:rPr>
          <w:rFonts w:cs="Arial"/>
          <w:b/>
          <w:bCs/>
          <w:szCs w:val="16"/>
        </w:rPr>
      </w:pPr>
      <w:r>
        <w:rPr>
          <w:rFonts w:cs="Arial"/>
          <w:b/>
          <w:bCs/>
          <w:szCs w:val="16"/>
        </w:rPr>
        <w:t>Section A: Written, Signed Complaints</w:t>
      </w:r>
    </w:p>
    <w:tbl>
      <w:tblPr>
        <w:tblStyle w:val="TableGrid1"/>
        <w:tblW w:w="5008" w:type="pct"/>
        <w:tblLook w:val="04A0" w:firstRow="1" w:lastRow="0" w:firstColumn="1" w:lastColumn="0" w:noHBand="0" w:noVBand="1"/>
        <w:tblCaption w:val="B03ACPDQ"/>
      </w:tblPr>
      <w:tblGrid>
        <w:gridCol w:w="7986"/>
        <w:gridCol w:w="2821"/>
      </w:tblGrid>
      <w:tr w:rsidR="00EE2E01" w14:paraId="35E1D8F8" w14:textId="77777777" w:rsidTr="00736617">
        <w:trPr>
          <w:trHeight w:val="332"/>
        </w:trPr>
        <w:tc>
          <w:tcPr>
            <w:tcW w:w="3695" w:type="pct"/>
            <w:tcBorders>
              <w:top w:val="single" w:sz="4" w:space="0" w:color="auto"/>
              <w:left w:val="single" w:sz="4" w:space="0" w:color="auto"/>
              <w:bottom w:val="single" w:sz="4" w:space="0" w:color="auto"/>
              <w:right w:val="single" w:sz="4" w:space="0" w:color="auto"/>
            </w:tcBorders>
            <w:hideMark/>
          </w:tcPr>
          <w:p w14:paraId="6888EB96" w14:textId="77777777" w:rsidR="00EE2E01" w:rsidRPr="00A21F84" w:rsidRDefault="00EE2E01" w:rsidP="00736617">
            <w:pPr>
              <w:rPr>
                <w:rFonts w:cs="Arial"/>
                <w:b/>
                <w:bCs/>
                <w:szCs w:val="16"/>
              </w:rPr>
            </w:pPr>
            <w:r>
              <w:rPr>
                <w:rFonts w:cs="Arial"/>
                <w:b/>
                <w:bCs/>
                <w:szCs w:val="16"/>
              </w:rPr>
              <w:t xml:space="preserve">(1) </w:t>
            </w:r>
            <w:r w:rsidRPr="00A21F84">
              <w:rPr>
                <w:rFonts w:cs="Arial"/>
                <w:b/>
                <w:bCs/>
                <w:szCs w:val="16"/>
              </w:rPr>
              <w:t>Total number of written signed complaints filed.</w:t>
            </w:r>
          </w:p>
        </w:tc>
        <w:tc>
          <w:tcPr>
            <w:tcW w:w="1305"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67C2C3E3" w14:textId="77777777" w:rsidR="00EE2E01" w:rsidRDefault="00EE2E01" w:rsidP="00736617">
            <w:pPr>
              <w:rPr>
                <w:rFonts w:cs="Arial"/>
                <w:szCs w:val="16"/>
              </w:rPr>
            </w:pPr>
            <w:r>
              <w:rPr>
                <w:rFonts w:cs="Arial"/>
                <w:szCs w:val="16"/>
              </w:rPr>
              <w:t>82</w:t>
            </w:r>
          </w:p>
        </w:tc>
      </w:tr>
      <w:tr w:rsidR="00EE2E01" w14:paraId="7269D6A3" w14:textId="77777777" w:rsidTr="00736617">
        <w:trPr>
          <w:trHeight w:val="332"/>
        </w:trPr>
        <w:tc>
          <w:tcPr>
            <w:tcW w:w="3695" w:type="pct"/>
            <w:tcBorders>
              <w:top w:val="single" w:sz="4" w:space="0" w:color="auto"/>
              <w:left w:val="single" w:sz="4" w:space="0" w:color="auto"/>
              <w:bottom w:val="single" w:sz="4" w:space="0" w:color="auto"/>
              <w:right w:val="single" w:sz="4" w:space="0" w:color="auto"/>
            </w:tcBorders>
            <w:hideMark/>
          </w:tcPr>
          <w:p w14:paraId="344D8573" w14:textId="77777777" w:rsidR="00EE2E01" w:rsidRPr="00E21765" w:rsidRDefault="00EE2E01">
            <w:pPr>
              <w:pStyle w:val="ListParagraph"/>
              <w:numPr>
                <w:ilvl w:val="1"/>
                <w:numId w:val="5"/>
              </w:numPr>
              <w:rPr>
                <w:rFonts w:cs="Arial"/>
                <w:szCs w:val="16"/>
              </w:rPr>
            </w:pPr>
            <w:r w:rsidRPr="00E21765">
              <w:rPr>
                <w:rFonts w:cs="Arial"/>
                <w:szCs w:val="16"/>
              </w:rPr>
              <w:t xml:space="preserve">Complaints with reports issued. </w:t>
            </w:r>
          </w:p>
        </w:tc>
        <w:tc>
          <w:tcPr>
            <w:tcW w:w="1305"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1D056113" w14:textId="77777777" w:rsidR="00EE2E01" w:rsidRDefault="00EE2E01" w:rsidP="00736617">
            <w:pPr>
              <w:rPr>
                <w:rFonts w:cs="Arial"/>
                <w:szCs w:val="16"/>
              </w:rPr>
            </w:pPr>
            <w:r>
              <w:rPr>
                <w:rFonts w:cs="Arial"/>
                <w:szCs w:val="16"/>
              </w:rPr>
              <w:t>47</w:t>
            </w:r>
          </w:p>
        </w:tc>
      </w:tr>
      <w:tr w:rsidR="00EE2E01" w14:paraId="064B4642" w14:textId="77777777" w:rsidTr="00736617">
        <w:trPr>
          <w:trHeight w:val="278"/>
        </w:trPr>
        <w:tc>
          <w:tcPr>
            <w:tcW w:w="3695" w:type="pct"/>
            <w:tcBorders>
              <w:top w:val="single" w:sz="4" w:space="0" w:color="auto"/>
              <w:left w:val="single" w:sz="4" w:space="0" w:color="auto"/>
              <w:bottom w:val="single" w:sz="4" w:space="0" w:color="auto"/>
              <w:right w:val="single" w:sz="4" w:space="0" w:color="auto"/>
            </w:tcBorders>
            <w:hideMark/>
          </w:tcPr>
          <w:p w14:paraId="615C2905" w14:textId="77777777" w:rsidR="00EE2E01" w:rsidRPr="00E21765" w:rsidRDefault="00EE2E01">
            <w:pPr>
              <w:pStyle w:val="ListParagraph"/>
              <w:numPr>
                <w:ilvl w:val="1"/>
                <w:numId w:val="7"/>
              </w:numPr>
              <w:rPr>
                <w:rFonts w:cs="Arial"/>
                <w:szCs w:val="16"/>
              </w:rPr>
            </w:pPr>
            <w:r w:rsidRPr="00E21765">
              <w:rPr>
                <w:rFonts w:cs="Arial"/>
                <w:szCs w:val="16"/>
              </w:rPr>
              <w:t>(a) Reports with findings of noncompliance</w:t>
            </w:r>
          </w:p>
        </w:tc>
        <w:tc>
          <w:tcPr>
            <w:tcW w:w="1305"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79E7DC2" w14:textId="77777777" w:rsidR="00EE2E01" w:rsidRDefault="00EE2E01" w:rsidP="00736617">
            <w:pPr>
              <w:rPr>
                <w:rFonts w:cs="Arial"/>
                <w:szCs w:val="16"/>
              </w:rPr>
            </w:pPr>
            <w:r>
              <w:rPr>
                <w:rFonts w:cs="Arial"/>
                <w:szCs w:val="16"/>
              </w:rPr>
              <w:t>40</w:t>
            </w:r>
          </w:p>
        </w:tc>
      </w:tr>
      <w:tr w:rsidR="00EE2E01" w14:paraId="5725356D" w14:textId="77777777" w:rsidTr="00736617">
        <w:trPr>
          <w:trHeight w:val="242"/>
        </w:trPr>
        <w:tc>
          <w:tcPr>
            <w:tcW w:w="3695" w:type="pct"/>
            <w:tcBorders>
              <w:top w:val="single" w:sz="4" w:space="0" w:color="auto"/>
              <w:left w:val="single" w:sz="4" w:space="0" w:color="auto"/>
              <w:bottom w:val="single" w:sz="4" w:space="0" w:color="auto"/>
              <w:right w:val="single" w:sz="4" w:space="0" w:color="auto"/>
            </w:tcBorders>
            <w:hideMark/>
          </w:tcPr>
          <w:p w14:paraId="10D31018" w14:textId="77777777" w:rsidR="00EE2E01" w:rsidRPr="002E5FC0" w:rsidRDefault="00EE2E01" w:rsidP="00736617">
            <w:pPr>
              <w:rPr>
                <w:rFonts w:cs="Arial"/>
                <w:szCs w:val="16"/>
              </w:rPr>
            </w:pPr>
            <w:r>
              <w:rPr>
                <w:rFonts w:cs="Arial"/>
                <w:szCs w:val="16"/>
              </w:rPr>
              <w:t xml:space="preserve">(1.1) (b) </w:t>
            </w:r>
            <w:r w:rsidRPr="002E5FC0">
              <w:rPr>
                <w:rFonts w:cs="Arial"/>
                <w:szCs w:val="16"/>
              </w:rPr>
              <w:t>Reports within timelines</w:t>
            </w:r>
          </w:p>
        </w:tc>
        <w:tc>
          <w:tcPr>
            <w:tcW w:w="1305"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0C1D3274" w14:textId="77777777" w:rsidR="00EE2E01" w:rsidRDefault="00EE2E01" w:rsidP="00736617">
            <w:pPr>
              <w:rPr>
                <w:rFonts w:cs="Arial"/>
                <w:szCs w:val="16"/>
              </w:rPr>
            </w:pPr>
            <w:r>
              <w:rPr>
                <w:rFonts w:cs="Arial"/>
                <w:szCs w:val="16"/>
              </w:rPr>
              <w:t>36</w:t>
            </w:r>
          </w:p>
        </w:tc>
      </w:tr>
      <w:tr w:rsidR="00EE2E01" w14:paraId="3A4A4E1C" w14:textId="77777777" w:rsidTr="00736617">
        <w:trPr>
          <w:trHeight w:val="242"/>
        </w:trPr>
        <w:tc>
          <w:tcPr>
            <w:tcW w:w="3695" w:type="pct"/>
            <w:tcBorders>
              <w:top w:val="single" w:sz="4" w:space="0" w:color="auto"/>
              <w:left w:val="single" w:sz="4" w:space="0" w:color="auto"/>
              <w:bottom w:val="single" w:sz="4" w:space="0" w:color="auto"/>
              <w:right w:val="single" w:sz="4" w:space="0" w:color="auto"/>
            </w:tcBorders>
            <w:hideMark/>
          </w:tcPr>
          <w:p w14:paraId="497F73A9" w14:textId="77777777" w:rsidR="00EE2E01" w:rsidRPr="00E21765" w:rsidRDefault="00EE2E01">
            <w:pPr>
              <w:pStyle w:val="ListParagraph"/>
              <w:numPr>
                <w:ilvl w:val="1"/>
                <w:numId w:val="6"/>
              </w:numPr>
              <w:rPr>
                <w:rFonts w:cs="Arial"/>
                <w:szCs w:val="16"/>
              </w:rPr>
            </w:pPr>
            <w:r>
              <w:rPr>
                <w:rFonts w:cs="Arial"/>
                <w:szCs w:val="16"/>
              </w:rPr>
              <w:t xml:space="preserve">(c) </w:t>
            </w:r>
            <w:r w:rsidRPr="00E21765">
              <w:rPr>
                <w:rFonts w:cs="Arial"/>
                <w:szCs w:val="16"/>
              </w:rPr>
              <w:t>Reports within extended timelines</w:t>
            </w:r>
          </w:p>
        </w:tc>
        <w:tc>
          <w:tcPr>
            <w:tcW w:w="1305"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3984E4CD" w14:textId="77777777" w:rsidR="00EE2E01" w:rsidRDefault="00EE2E01" w:rsidP="00736617">
            <w:pPr>
              <w:rPr>
                <w:rFonts w:cs="Arial"/>
                <w:szCs w:val="16"/>
              </w:rPr>
            </w:pPr>
            <w:r>
              <w:rPr>
                <w:rFonts w:cs="Arial"/>
                <w:szCs w:val="16"/>
              </w:rPr>
              <w:t>11</w:t>
            </w:r>
          </w:p>
        </w:tc>
      </w:tr>
      <w:tr w:rsidR="00EE2E01" w14:paraId="043689AC" w14:textId="77777777" w:rsidTr="00736617">
        <w:trPr>
          <w:trHeight w:val="242"/>
        </w:trPr>
        <w:tc>
          <w:tcPr>
            <w:tcW w:w="3695" w:type="pct"/>
            <w:tcBorders>
              <w:top w:val="single" w:sz="4" w:space="0" w:color="auto"/>
              <w:left w:val="single" w:sz="4" w:space="0" w:color="auto"/>
              <w:bottom w:val="single" w:sz="4" w:space="0" w:color="auto"/>
              <w:right w:val="single" w:sz="4" w:space="0" w:color="auto"/>
            </w:tcBorders>
            <w:hideMark/>
          </w:tcPr>
          <w:p w14:paraId="4FA36682" w14:textId="77777777" w:rsidR="00EE2E01" w:rsidRPr="00E21765" w:rsidRDefault="00EE2E01">
            <w:pPr>
              <w:pStyle w:val="ListParagraph"/>
              <w:numPr>
                <w:ilvl w:val="1"/>
                <w:numId w:val="6"/>
              </w:numPr>
              <w:rPr>
                <w:rFonts w:cs="Arial"/>
                <w:szCs w:val="16"/>
              </w:rPr>
            </w:pPr>
            <w:r w:rsidRPr="00E21765">
              <w:rPr>
                <w:rFonts w:cs="Arial"/>
                <w:szCs w:val="16"/>
              </w:rPr>
              <w:t xml:space="preserve">Complaints pending. </w:t>
            </w:r>
          </w:p>
        </w:tc>
        <w:tc>
          <w:tcPr>
            <w:tcW w:w="1305"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4AA05700" w14:textId="77777777" w:rsidR="00EE2E01" w:rsidRDefault="00EE2E01" w:rsidP="00736617">
            <w:pPr>
              <w:rPr>
                <w:rFonts w:cs="Arial"/>
                <w:szCs w:val="16"/>
              </w:rPr>
            </w:pPr>
            <w:r>
              <w:rPr>
                <w:rFonts w:cs="Arial"/>
                <w:szCs w:val="16"/>
              </w:rPr>
              <w:t>0</w:t>
            </w:r>
          </w:p>
        </w:tc>
      </w:tr>
      <w:tr w:rsidR="00EE2E01" w14:paraId="6C99942B" w14:textId="77777777" w:rsidTr="00736617">
        <w:trPr>
          <w:trHeight w:val="242"/>
        </w:trPr>
        <w:tc>
          <w:tcPr>
            <w:tcW w:w="3695" w:type="pct"/>
            <w:tcBorders>
              <w:top w:val="single" w:sz="4" w:space="0" w:color="auto"/>
              <w:left w:val="single" w:sz="4" w:space="0" w:color="auto"/>
              <w:bottom w:val="single" w:sz="4" w:space="0" w:color="auto"/>
              <w:right w:val="single" w:sz="4" w:space="0" w:color="auto"/>
            </w:tcBorders>
            <w:hideMark/>
          </w:tcPr>
          <w:p w14:paraId="3B4C49D3" w14:textId="77777777" w:rsidR="00EE2E01" w:rsidRPr="00E21765" w:rsidRDefault="00EE2E01" w:rsidP="00736617">
            <w:pPr>
              <w:rPr>
                <w:rFonts w:cs="Arial"/>
                <w:szCs w:val="16"/>
              </w:rPr>
            </w:pPr>
            <w:r w:rsidRPr="00E21765">
              <w:rPr>
                <w:rFonts w:cs="Arial"/>
                <w:szCs w:val="16"/>
              </w:rPr>
              <w:t>(1</w:t>
            </w:r>
            <w:r>
              <w:rPr>
                <w:rFonts w:cs="Arial"/>
                <w:szCs w:val="16"/>
              </w:rPr>
              <w:t xml:space="preserve">.2) </w:t>
            </w:r>
            <w:r w:rsidRPr="00E21765">
              <w:rPr>
                <w:rFonts w:cs="Arial"/>
                <w:szCs w:val="16"/>
              </w:rPr>
              <w:t xml:space="preserve">(a) Complaints pending a due process hearing. </w:t>
            </w:r>
          </w:p>
        </w:tc>
        <w:tc>
          <w:tcPr>
            <w:tcW w:w="1305"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78B90249" w14:textId="77777777" w:rsidR="00EE2E01" w:rsidRDefault="00EE2E01" w:rsidP="00736617">
            <w:pPr>
              <w:rPr>
                <w:rFonts w:cs="Arial"/>
                <w:szCs w:val="16"/>
              </w:rPr>
            </w:pPr>
            <w:r>
              <w:rPr>
                <w:rFonts w:cs="Arial"/>
                <w:szCs w:val="16"/>
              </w:rPr>
              <w:t>0</w:t>
            </w:r>
          </w:p>
        </w:tc>
      </w:tr>
      <w:tr w:rsidR="00EE2E01" w14:paraId="60DE7FD5" w14:textId="77777777" w:rsidTr="00736617">
        <w:trPr>
          <w:trHeight w:val="242"/>
        </w:trPr>
        <w:tc>
          <w:tcPr>
            <w:tcW w:w="3695" w:type="pct"/>
            <w:tcBorders>
              <w:top w:val="single" w:sz="4" w:space="0" w:color="auto"/>
              <w:left w:val="single" w:sz="4" w:space="0" w:color="auto"/>
              <w:bottom w:val="single" w:sz="4" w:space="0" w:color="auto"/>
              <w:right w:val="single" w:sz="4" w:space="0" w:color="auto"/>
            </w:tcBorders>
            <w:hideMark/>
          </w:tcPr>
          <w:p w14:paraId="5AD613F4" w14:textId="77777777" w:rsidR="00EE2E01" w:rsidRPr="00E21765" w:rsidRDefault="00EE2E01">
            <w:pPr>
              <w:pStyle w:val="ListParagraph"/>
              <w:numPr>
                <w:ilvl w:val="1"/>
                <w:numId w:val="6"/>
              </w:numPr>
              <w:rPr>
                <w:rFonts w:cs="Arial"/>
                <w:szCs w:val="16"/>
              </w:rPr>
            </w:pPr>
            <w:r w:rsidRPr="00E21765">
              <w:rPr>
                <w:rFonts w:cs="Arial"/>
                <w:szCs w:val="16"/>
              </w:rPr>
              <w:t xml:space="preserve">Complaints withdrawn or dismissed. </w:t>
            </w:r>
          </w:p>
        </w:tc>
        <w:tc>
          <w:tcPr>
            <w:tcW w:w="1305"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61C86BDA" w14:textId="77777777" w:rsidR="00EE2E01" w:rsidRDefault="00EE2E01" w:rsidP="00736617">
            <w:pPr>
              <w:rPr>
                <w:rFonts w:cs="Arial"/>
                <w:szCs w:val="16"/>
              </w:rPr>
            </w:pPr>
            <w:r>
              <w:rPr>
                <w:rFonts w:cs="Arial"/>
                <w:szCs w:val="16"/>
              </w:rPr>
              <w:t>35</w:t>
            </w:r>
          </w:p>
        </w:tc>
      </w:tr>
    </w:tbl>
    <w:p w14:paraId="52DAEEF6" w14:textId="77777777" w:rsidR="00EE2E01" w:rsidRDefault="00EE2E01" w:rsidP="00EE2E01">
      <w:pPr>
        <w:rPr>
          <w:rFonts w:cs="Arial"/>
          <w:b/>
          <w:bCs/>
          <w:szCs w:val="16"/>
        </w:rPr>
      </w:pPr>
    </w:p>
    <w:p w14:paraId="340E3261" w14:textId="77777777" w:rsidR="00EE2E01" w:rsidRDefault="00EE2E01" w:rsidP="00EE2E01">
      <w:pPr>
        <w:rPr>
          <w:rFonts w:cs="Arial"/>
          <w:b/>
          <w:bCs/>
          <w:szCs w:val="16"/>
        </w:rPr>
      </w:pPr>
      <w:r>
        <w:rPr>
          <w:rFonts w:cs="Arial"/>
          <w:b/>
          <w:bCs/>
          <w:szCs w:val="16"/>
        </w:rPr>
        <w:t>Section B: Mediation Requests</w:t>
      </w:r>
    </w:p>
    <w:tbl>
      <w:tblPr>
        <w:tblStyle w:val="TableGrid1"/>
        <w:tblW w:w="5064" w:type="pct"/>
        <w:tblLook w:val="04A0" w:firstRow="1" w:lastRow="0" w:firstColumn="1" w:lastColumn="0" w:noHBand="0" w:noVBand="1"/>
        <w:tblCaption w:val="B03BCPDQ"/>
      </w:tblPr>
      <w:tblGrid>
        <w:gridCol w:w="7866"/>
        <w:gridCol w:w="3062"/>
      </w:tblGrid>
      <w:tr w:rsidR="00EE2E01" w14:paraId="100623A1" w14:textId="77777777" w:rsidTr="00736617">
        <w:trPr>
          <w:trHeight w:val="332"/>
        </w:trPr>
        <w:tc>
          <w:tcPr>
            <w:tcW w:w="3599" w:type="pct"/>
            <w:tcBorders>
              <w:top w:val="single" w:sz="4" w:space="0" w:color="auto"/>
              <w:left w:val="single" w:sz="4" w:space="0" w:color="auto"/>
              <w:bottom w:val="single" w:sz="4" w:space="0" w:color="auto"/>
              <w:right w:val="single" w:sz="4" w:space="0" w:color="auto"/>
            </w:tcBorders>
            <w:hideMark/>
          </w:tcPr>
          <w:p w14:paraId="1FAF7301" w14:textId="77777777" w:rsidR="00EE2E01" w:rsidRPr="00A21F84" w:rsidRDefault="00EE2E01" w:rsidP="00736617">
            <w:pPr>
              <w:rPr>
                <w:rFonts w:cs="Arial"/>
                <w:b/>
                <w:bCs/>
                <w:szCs w:val="16"/>
              </w:rPr>
            </w:pPr>
            <w:r>
              <w:rPr>
                <w:rFonts w:cs="Arial"/>
                <w:b/>
                <w:bCs/>
                <w:szCs w:val="16"/>
              </w:rPr>
              <w:t xml:space="preserve">(2) </w:t>
            </w:r>
            <w:r w:rsidRPr="00A21F84">
              <w:rPr>
                <w:rFonts w:cs="Arial"/>
                <w:b/>
                <w:bCs/>
                <w:szCs w:val="16"/>
              </w:rPr>
              <w:t xml:space="preserve">Total number of mediation requests received through all dispute resolution processes. </w:t>
            </w:r>
          </w:p>
        </w:tc>
        <w:tc>
          <w:tcPr>
            <w:tcW w:w="140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8DBB6F2" w14:textId="77777777" w:rsidR="00EE2E01" w:rsidRDefault="00EE2E01" w:rsidP="00736617">
            <w:pPr>
              <w:rPr>
                <w:rFonts w:cs="Arial"/>
                <w:szCs w:val="16"/>
              </w:rPr>
            </w:pPr>
            <w:r>
              <w:rPr>
                <w:rFonts w:cs="Arial"/>
                <w:szCs w:val="16"/>
              </w:rPr>
              <w:t>103</w:t>
            </w:r>
          </w:p>
        </w:tc>
      </w:tr>
      <w:tr w:rsidR="00EE2E01" w14:paraId="2B114D15" w14:textId="77777777" w:rsidTr="00736617">
        <w:trPr>
          <w:trHeight w:val="332"/>
        </w:trPr>
        <w:tc>
          <w:tcPr>
            <w:tcW w:w="3599" w:type="pct"/>
            <w:tcBorders>
              <w:top w:val="single" w:sz="4" w:space="0" w:color="auto"/>
              <w:left w:val="single" w:sz="4" w:space="0" w:color="auto"/>
              <w:bottom w:val="single" w:sz="4" w:space="0" w:color="auto"/>
              <w:right w:val="single" w:sz="4" w:space="0" w:color="auto"/>
            </w:tcBorders>
            <w:hideMark/>
          </w:tcPr>
          <w:p w14:paraId="5691966D" w14:textId="77777777" w:rsidR="00EE2E01" w:rsidRDefault="00EE2E01" w:rsidP="00736617">
            <w:pPr>
              <w:rPr>
                <w:rFonts w:cs="Arial"/>
                <w:szCs w:val="16"/>
              </w:rPr>
            </w:pPr>
            <w:r>
              <w:rPr>
                <w:rFonts w:cs="Arial"/>
                <w:szCs w:val="16"/>
              </w:rPr>
              <w:t xml:space="preserve">(2.1) Mediations held. </w:t>
            </w:r>
          </w:p>
        </w:tc>
        <w:tc>
          <w:tcPr>
            <w:tcW w:w="140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A44C39E" w14:textId="77777777" w:rsidR="00EE2E01" w:rsidRDefault="00EE2E01" w:rsidP="00736617">
            <w:pPr>
              <w:rPr>
                <w:rFonts w:cs="Arial"/>
                <w:szCs w:val="16"/>
              </w:rPr>
            </w:pPr>
            <w:r>
              <w:rPr>
                <w:rFonts w:cs="Arial"/>
                <w:szCs w:val="16"/>
              </w:rPr>
              <w:t>50</w:t>
            </w:r>
          </w:p>
        </w:tc>
      </w:tr>
      <w:tr w:rsidR="00EE2E01" w14:paraId="5426FC5B" w14:textId="77777777" w:rsidTr="00736617">
        <w:trPr>
          <w:trHeight w:val="278"/>
        </w:trPr>
        <w:tc>
          <w:tcPr>
            <w:tcW w:w="3599" w:type="pct"/>
            <w:tcBorders>
              <w:top w:val="single" w:sz="4" w:space="0" w:color="auto"/>
              <w:left w:val="single" w:sz="4" w:space="0" w:color="auto"/>
              <w:bottom w:val="single" w:sz="4" w:space="0" w:color="auto"/>
              <w:right w:val="single" w:sz="4" w:space="0" w:color="auto"/>
            </w:tcBorders>
            <w:hideMark/>
          </w:tcPr>
          <w:p w14:paraId="51C6D972" w14:textId="77777777" w:rsidR="00EE2E01" w:rsidRDefault="00EE2E01" w:rsidP="00736617">
            <w:pPr>
              <w:rPr>
                <w:rFonts w:cs="Arial"/>
                <w:szCs w:val="16"/>
              </w:rPr>
            </w:pPr>
            <w:r>
              <w:rPr>
                <w:rFonts w:cs="Arial"/>
                <w:szCs w:val="16"/>
              </w:rPr>
              <w:t xml:space="preserve">(2.1) (a) Mediations held related to due process complaints. </w:t>
            </w:r>
          </w:p>
        </w:tc>
        <w:tc>
          <w:tcPr>
            <w:tcW w:w="140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5490DACE" w14:textId="77777777" w:rsidR="00EE2E01" w:rsidRDefault="00EE2E01" w:rsidP="00736617">
            <w:pPr>
              <w:rPr>
                <w:rFonts w:cs="Arial"/>
                <w:szCs w:val="16"/>
              </w:rPr>
            </w:pPr>
            <w:r>
              <w:rPr>
                <w:rFonts w:cs="Arial"/>
                <w:szCs w:val="16"/>
              </w:rPr>
              <w:t>13</w:t>
            </w:r>
          </w:p>
        </w:tc>
      </w:tr>
      <w:tr w:rsidR="00EE2E01" w14:paraId="7537E8E7" w14:textId="77777777" w:rsidTr="00736617">
        <w:trPr>
          <w:trHeight w:val="242"/>
        </w:trPr>
        <w:tc>
          <w:tcPr>
            <w:tcW w:w="3599" w:type="pct"/>
            <w:tcBorders>
              <w:top w:val="single" w:sz="4" w:space="0" w:color="auto"/>
              <w:left w:val="single" w:sz="4" w:space="0" w:color="auto"/>
              <w:bottom w:val="single" w:sz="4" w:space="0" w:color="auto"/>
              <w:right w:val="single" w:sz="4" w:space="0" w:color="auto"/>
            </w:tcBorders>
            <w:hideMark/>
          </w:tcPr>
          <w:p w14:paraId="76AC21FF" w14:textId="77777777" w:rsidR="00EE2E01" w:rsidRDefault="00EE2E01" w:rsidP="00736617">
            <w:pPr>
              <w:rPr>
                <w:rFonts w:cs="Arial"/>
                <w:szCs w:val="16"/>
              </w:rPr>
            </w:pPr>
            <w:r>
              <w:rPr>
                <w:rFonts w:cs="Arial"/>
                <w:szCs w:val="16"/>
              </w:rPr>
              <w:t>(2.1) (a) (</w:t>
            </w:r>
            <w:proofErr w:type="spellStart"/>
            <w:r>
              <w:rPr>
                <w:rFonts w:cs="Arial"/>
                <w:szCs w:val="16"/>
              </w:rPr>
              <w:t>i</w:t>
            </w:r>
            <w:proofErr w:type="spellEnd"/>
            <w:r>
              <w:rPr>
                <w:rFonts w:cs="Arial"/>
                <w:szCs w:val="16"/>
              </w:rPr>
              <w:t xml:space="preserve">) Mediation agreements related to due process complaints. </w:t>
            </w:r>
          </w:p>
        </w:tc>
        <w:tc>
          <w:tcPr>
            <w:tcW w:w="140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44A125E7" w14:textId="77777777" w:rsidR="00EE2E01" w:rsidRDefault="00EE2E01" w:rsidP="00736617">
            <w:pPr>
              <w:rPr>
                <w:rFonts w:cs="Arial"/>
                <w:szCs w:val="16"/>
              </w:rPr>
            </w:pPr>
            <w:r>
              <w:rPr>
                <w:rFonts w:cs="Arial"/>
                <w:szCs w:val="16"/>
              </w:rPr>
              <w:t>7</w:t>
            </w:r>
          </w:p>
        </w:tc>
      </w:tr>
      <w:tr w:rsidR="00EE2E01" w14:paraId="449AF7DF" w14:textId="77777777" w:rsidTr="00736617">
        <w:trPr>
          <w:trHeight w:val="242"/>
        </w:trPr>
        <w:tc>
          <w:tcPr>
            <w:tcW w:w="3599" w:type="pct"/>
            <w:tcBorders>
              <w:top w:val="single" w:sz="4" w:space="0" w:color="auto"/>
              <w:left w:val="single" w:sz="4" w:space="0" w:color="auto"/>
              <w:bottom w:val="single" w:sz="4" w:space="0" w:color="auto"/>
              <w:right w:val="single" w:sz="4" w:space="0" w:color="auto"/>
            </w:tcBorders>
            <w:hideMark/>
          </w:tcPr>
          <w:p w14:paraId="7CEEEBE3" w14:textId="77777777" w:rsidR="00EE2E01" w:rsidRDefault="00EE2E01" w:rsidP="00736617">
            <w:pPr>
              <w:rPr>
                <w:rFonts w:cs="Arial"/>
                <w:szCs w:val="16"/>
              </w:rPr>
            </w:pPr>
            <w:r>
              <w:rPr>
                <w:rFonts w:cs="Arial"/>
                <w:szCs w:val="16"/>
              </w:rPr>
              <w:t xml:space="preserve">(2.1) (b) Mediations held not related to due process complaints. </w:t>
            </w:r>
          </w:p>
        </w:tc>
        <w:tc>
          <w:tcPr>
            <w:tcW w:w="140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74DC5AF9" w14:textId="77777777" w:rsidR="00EE2E01" w:rsidRDefault="00EE2E01" w:rsidP="00736617">
            <w:pPr>
              <w:rPr>
                <w:rFonts w:cs="Arial"/>
                <w:szCs w:val="16"/>
              </w:rPr>
            </w:pPr>
            <w:r>
              <w:rPr>
                <w:rFonts w:cs="Arial"/>
                <w:szCs w:val="16"/>
              </w:rPr>
              <w:t>37</w:t>
            </w:r>
          </w:p>
        </w:tc>
      </w:tr>
      <w:tr w:rsidR="00EE2E01" w14:paraId="77EC9D97" w14:textId="77777777" w:rsidTr="00736617">
        <w:trPr>
          <w:trHeight w:val="242"/>
        </w:trPr>
        <w:tc>
          <w:tcPr>
            <w:tcW w:w="3599" w:type="pct"/>
            <w:tcBorders>
              <w:top w:val="single" w:sz="4" w:space="0" w:color="auto"/>
              <w:left w:val="single" w:sz="4" w:space="0" w:color="auto"/>
              <w:bottom w:val="single" w:sz="4" w:space="0" w:color="auto"/>
              <w:right w:val="single" w:sz="4" w:space="0" w:color="auto"/>
            </w:tcBorders>
            <w:hideMark/>
          </w:tcPr>
          <w:p w14:paraId="0823F1C5" w14:textId="77777777" w:rsidR="00EE2E01" w:rsidRDefault="00EE2E01" w:rsidP="00736617">
            <w:pPr>
              <w:rPr>
                <w:rFonts w:cs="Arial"/>
                <w:szCs w:val="16"/>
              </w:rPr>
            </w:pPr>
            <w:r>
              <w:rPr>
                <w:rFonts w:cs="Arial"/>
                <w:szCs w:val="16"/>
              </w:rPr>
              <w:t>(2.1) (b) (</w:t>
            </w:r>
            <w:proofErr w:type="spellStart"/>
            <w:r>
              <w:rPr>
                <w:rFonts w:cs="Arial"/>
                <w:szCs w:val="16"/>
              </w:rPr>
              <w:t>i</w:t>
            </w:r>
            <w:proofErr w:type="spellEnd"/>
            <w:r>
              <w:rPr>
                <w:rFonts w:cs="Arial"/>
                <w:szCs w:val="16"/>
              </w:rPr>
              <w:t xml:space="preserve">) Mediation agreements not related to due process complaints. </w:t>
            </w:r>
          </w:p>
        </w:tc>
        <w:tc>
          <w:tcPr>
            <w:tcW w:w="140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65FEB82E" w14:textId="77777777" w:rsidR="00EE2E01" w:rsidRDefault="00EE2E01" w:rsidP="00736617">
            <w:pPr>
              <w:rPr>
                <w:rFonts w:cs="Arial"/>
                <w:szCs w:val="16"/>
              </w:rPr>
            </w:pPr>
            <w:r>
              <w:rPr>
                <w:rFonts w:cs="Arial"/>
                <w:szCs w:val="16"/>
              </w:rPr>
              <w:t>27</w:t>
            </w:r>
          </w:p>
        </w:tc>
      </w:tr>
      <w:tr w:rsidR="00EE2E01" w14:paraId="6BA6C769" w14:textId="77777777" w:rsidTr="00736617">
        <w:trPr>
          <w:trHeight w:val="242"/>
        </w:trPr>
        <w:tc>
          <w:tcPr>
            <w:tcW w:w="3599" w:type="pct"/>
            <w:tcBorders>
              <w:top w:val="single" w:sz="4" w:space="0" w:color="auto"/>
              <w:left w:val="single" w:sz="4" w:space="0" w:color="auto"/>
              <w:bottom w:val="single" w:sz="4" w:space="0" w:color="auto"/>
              <w:right w:val="single" w:sz="4" w:space="0" w:color="auto"/>
            </w:tcBorders>
            <w:hideMark/>
          </w:tcPr>
          <w:p w14:paraId="4B66A4BD" w14:textId="77777777" w:rsidR="00EE2E01" w:rsidRDefault="00EE2E01" w:rsidP="00736617">
            <w:pPr>
              <w:rPr>
                <w:rFonts w:cs="Arial"/>
                <w:szCs w:val="16"/>
              </w:rPr>
            </w:pPr>
            <w:r>
              <w:rPr>
                <w:rFonts w:cs="Arial"/>
                <w:szCs w:val="16"/>
              </w:rPr>
              <w:t xml:space="preserve">(2.2) Mediations pending. </w:t>
            </w:r>
          </w:p>
        </w:tc>
        <w:tc>
          <w:tcPr>
            <w:tcW w:w="140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3BCABC4E" w14:textId="77777777" w:rsidR="00EE2E01" w:rsidRDefault="00EE2E01" w:rsidP="00736617">
            <w:pPr>
              <w:rPr>
                <w:rFonts w:cs="Arial"/>
                <w:szCs w:val="16"/>
              </w:rPr>
            </w:pPr>
            <w:r>
              <w:rPr>
                <w:rFonts w:cs="Arial"/>
                <w:szCs w:val="16"/>
              </w:rPr>
              <w:t>12</w:t>
            </w:r>
          </w:p>
        </w:tc>
      </w:tr>
      <w:tr w:rsidR="00EE2E01" w14:paraId="6122BA7A" w14:textId="77777777" w:rsidTr="00736617">
        <w:trPr>
          <w:trHeight w:val="242"/>
        </w:trPr>
        <w:tc>
          <w:tcPr>
            <w:tcW w:w="3599" w:type="pct"/>
            <w:tcBorders>
              <w:top w:val="single" w:sz="4" w:space="0" w:color="auto"/>
              <w:left w:val="single" w:sz="4" w:space="0" w:color="auto"/>
              <w:bottom w:val="single" w:sz="4" w:space="0" w:color="auto"/>
              <w:right w:val="single" w:sz="4" w:space="0" w:color="auto"/>
            </w:tcBorders>
            <w:hideMark/>
          </w:tcPr>
          <w:p w14:paraId="783D077E" w14:textId="77777777" w:rsidR="00EE2E01" w:rsidRDefault="00EE2E01" w:rsidP="00736617">
            <w:pPr>
              <w:rPr>
                <w:rFonts w:cs="Arial"/>
                <w:szCs w:val="16"/>
              </w:rPr>
            </w:pPr>
            <w:r>
              <w:rPr>
                <w:rFonts w:cs="Arial"/>
                <w:szCs w:val="16"/>
              </w:rPr>
              <w:t xml:space="preserve">(2.3) Mediations withdrawn or not held. </w:t>
            </w:r>
          </w:p>
        </w:tc>
        <w:tc>
          <w:tcPr>
            <w:tcW w:w="140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585572D2" w14:textId="77777777" w:rsidR="00EE2E01" w:rsidRDefault="00EE2E01" w:rsidP="00736617">
            <w:pPr>
              <w:rPr>
                <w:rFonts w:cs="Arial"/>
                <w:szCs w:val="16"/>
              </w:rPr>
            </w:pPr>
            <w:r>
              <w:rPr>
                <w:rFonts w:cs="Arial"/>
                <w:szCs w:val="16"/>
              </w:rPr>
              <w:t>41</w:t>
            </w:r>
            <w:r w:rsidRPr="00490EDC">
              <w:rPr>
                <w:rFonts w:cs="Arial"/>
                <w:szCs w:val="16"/>
              </w:rPr>
              <w:t xml:space="preserve"> </w:t>
            </w:r>
          </w:p>
        </w:tc>
      </w:tr>
    </w:tbl>
    <w:p w14:paraId="0C58D282" w14:textId="77777777" w:rsidR="00EE2E01" w:rsidRDefault="00EE2E01" w:rsidP="00EE2E01">
      <w:pPr>
        <w:rPr>
          <w:rFonts w:cs="Arial"/>
          <w:b/>
          <w:bCs/>
          <w:szCs w:val="16"/>
        </w:rPr>
      </w:pPr>
    </w:p>
    <w:p w14:paraId="46908630" w14:textId="77777777" w:rsidR="00EE2E01" w:rsidRDefault="00EE2E01" w:rsidP="00EE2E01">
      <w:pPr>
        <w:rPr>
          <w:rFonts w:cs="Arial"/>
          <w:b/>
          <w:bCs/>
          <w:szCs w:val="16"/>
        </w:rPr>
      </w:pPr>
      <w:r>
        <w:rPr>
          <w:rFonts w:cs="Arial"/>
          <w:b/>
          <w:bCs/>
          <w:szCs w:val="16"/>
        </w:rPr>
        <w:t>Section C: Due Process Complaints</w:t>
      </w:r>
    </w:p>
    <w:tbl>
      <w:tblPr>
        <w:tblStyle w:val="TableGrid1"/>
        <w:tblW w:w="5000" w:type="pct"/>
        <w:tblLook w:val="04A0" w:firstRow="1" w:lastRow="0" w:firstColumn="1" w:lastColumn="0" w:noHBand="0" w:noVBand="1"/>
        <w:tblCaption w:val="B03CCPDQ"/>
      </w:tblPr>
      <w:tblGrid>
        <w:gridCol w:w="8004"/>
        <w:gridCol w:w="2786"/>
      </w:tblGrid>
      <w:tr w:rsidR="00EE2E01" w14:paraId="53509B9D" w14:textId="77777777" w:rsidTr="00736617">
        <w:trPr>
          <w:trHeight w:val="332"/>
        </w:trPr>
        <w:tc>
          <w:tcPr>
            <w:tcW w:w="3709" w:type="pct"/>
            <w:tcBorders>
              <w:top w:val="single" w:sz="4" w:space="0" w:color="auto"/>
              <w:left w:val="single" w:sz="4" w:space="0" w:color="auto"/>
              <w:bottom w:val="single" w:sz="4" w:space="0" w:color="auto"/>
              <w:right w:val="single" w:sz="4" w:space="0" w:color="auto"/>
            </w:tcBorders>
            <w:hideMark/>
          </w:tcPr>
          <w:p w14:paraId="3178CBC9" w14:textId="77777777" w:rsidR="00EE2E01" w:rsidRPr="00A21F84" w:rsidRDefault="00EE2E01" w:rsidP="00736617">
            <w:pPr>
              <w:rPr>
                <w:rFonts w:cs="Arial"/>
                <w:b/>
                <w:bCs/>
                <w:szCs w:val="16"/>
              </w:rPr>
            </w:pPr>
            <w:r>
              <w:rPr>
                <w:rFonts w:cs="Arial"/>
                <w:b/>
                <w:bCs/>
                <w:szCs w:val="16"/>
              </w:rPr>
              <w:t xml:space="preserve">(3) </w:t>
            </w:r>
            <w:r w:rsidRPr="00A21F84">
              <w:rPr>
                <w:rFonts w:cs="Arial"/>
                <w:b/>
                <w:bCs/>
                <w:szCs w:val="16"/>
              </w:rPr>
              <w:t xml:space="preserve">Total number of due process complaints filed. </w:t>
            </w:r>
          </w:p>
        </w:tc>
        <w:tc>
          <w:tcPr>
            <w:tcW w:w="129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022EAA87" w14:textId="77777777" w:rsidR="00EE2E01" w:rsidRDefault="00EE2E01" w:rsidP="00736617">
            <w:pPr>
              <w:rPr>
                <w:rFonts w:cs="Arial"/>
                <w:szCs w:val="16"/>
              </w:rPr>
            </w:pPr>
            <w:r>
              <w:rPr>
                <w:rFonts w:cs="Arial"/>
                <w:szCs w:val="16"/>
              </w:rPr>
              <w:t>30</w:t>
            </w:r>
          </w:p>
        </w:tc>
      </w:tr>
      <w:tr w:rsidR="00EE2E01" w14:paraId="258EA5ED" w14:textId="77777777" w:rsidTr="00736617">
        <w:trPr>
          <w:trHeight w:val="332"/>
        </w:trPr>
        <w:tc>
          <w:tcPr>
            <w:tcW w:w="3709" w:type="pct"/>
            <w:tcBorders>
              <w:top w:val="single" w:sz="4" w:space="0" w:color="auto"/>
              <w:left w:val="single" w:sz="4" w:space="0" w:color="auto"/>
              <w:bottom w:val="single" w:sz="4" w:space="0" w:color="auto"/>
              <w:right w:val="single" w:sz="4" w:space="0" w:color="auto"/>
            </w:tcBorders>
            <w:hideMark/>
          </w:tcPr>
          <w:p w14:paraId="566EB412" w14:textId="77777777" w:rsidR="00EE2E01" w:rsidRDefault="00EE2E01" w:rsidP="00736617">
            <w:pPr>
              <w:rPr>
                <w:rFonts w:cs="Arial"/>
                <w:szCs w:val="16"/>
              </w:rPr>
            </w:pPr>
            <w:r>
              <w:rPr>
                <w:rFonts w:cs="Arial"/>
                <w:szCs w:val="16"/>
              </w:rPr>
              <w:t xml:space="preserve">(3.1) Resolution meetings. </w:t>
            </w:r>
          </w:p>
        </w:tc>
        <w:tc>
          <w:tcPr>
            <w:tcW w:w="129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6FFF05CE" w14:textId="77777777" w:rsidR="00EE2E01" w:rsidRDefault="00EE2E01" w:rsidP="00736617">
            <w:pPr>
              <w:rPr>
                <w:rFonts w:cs="Arial"/>
                <w:szCs w:val="16"/>
              </w:rPr>
            </w:pPr>
            <w:r>
              <w:rPr>
                <w:rFonts w:cs="Arial"/>
                <w:szCs w:val="16"/>
              </w:rPr>
              <w:t>5</w:t>
            </w:r>
          </w:p>
        </w:tc>
      </w:tr>
      <w:tr w:rsidR="00EE2E01" w14:paraId="5E7E3092" w14:textId="77777777" w:rsidTr="00736617">
        <w:trPr>
          <w:trHeight w:val="242"/>
        </w:trPr>
        <w:tc>
          <w:tcPr>
            <w:tcW w:w="3709" w:type="pct"/>
            <w:tcBorders>
              <w:top w:val="single" w:sz="4" w:space="0" w:color="auto"/>
              <w:left w:val="single" w:sz="4" w:space="0" w:color="auto"/>
              <w:bottom w:val="single" w:sz="4" w:space="0" w:color="auto"/>
              <w:right w:val="single" w:sz="4" w:space="0" w:color="auto"/>
            </w:tcBorders>
            <w:hideMark/>
          </w:tcPr>
          <w:p w14:paraId="6C8032C3" w14:textId="77777777" w:rsidR="00EE2E01" w:rsidRDefault="00EE2E01" w:rsidP="00736617">
            <w:pPr>
              <w:rPr>
                <w:rFonts w:cs="Arial"/>
                <w:szCs w:val="16"/>
              </w:rPr>
            </w:pPr>
            <w:r>
              <w:rPr>
                <w:rFonts w:cs="Arial"/>
                <w:szCs w:val="16"/>
              </w:rPr>
              <w:t xml:space="preserve">(3.1) (a) Written settlement agreements reached through resolution meetings. </w:t>
            </w:r>
          </w:p>
        </w:tc>
        <w:tc>
          <w:tcPr>
            <w:tcW w:w="129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0D284F7D" w14:textId="77777777" w:rsidR="00EE2E01" w:rsidRDefault="00EE2E01" w:rsidP="00736617">
            <w:pPr>
              <w:rPr>
                <w:rFonts w:cs="Arial"/>
                <w:szCs w:val="16"/>
              </w:rPr>
            </w:pPr>
            <w:r>
              <w:rPr>
                <w:rFonts w:cs="Arial"/>
                <w:szCs w:val="16"/>
              </w:rPr>
              <w:t>2</w:t>
            </w:r>
          </w:p>
        </w:tc>
      </w:tr>
      <w:tr w:rsidR="00EE2E01" w14:paraId="51A3A4C6" w14:textId="77777777" w:rsidTr="00736617">
        <w:trPr>
          <w:trHeight w:val="242"/>
        </w:trPr>
        <w:tc>
          <w:tcPr>
            <w:tcW w:w="3709" w:type="pct"/>
            <w:tcBorders>
              <w:top w:val="single" w:sz="4" w:space="0" w:color="auto"/>
              <w:left w:val="single" w:sz="4" w:space="0" w:color="auto"/>
              <w:bottom w:val="single" w:sz="4" w:space="0" w:color="auto"/>
              <w:right w:val="single" w:sz="4" w:space="0" w:color="auto"/>
            </w:tcBorders>
            <w:hideMark/>
          </w:tcPr>
          <w:p w14:paraId="2A1A39CA" w14:textId="77777777" w:rsidR="00EE2E01" w:rsidRDefault="00EE2E01" w:rsidP="00736617">
            <w:pPr>
              <w:rPr>
                <w:rFonts w:cs="Arial"/>
                <w:szCs w:val="16"/>
              </w:rPr>
            </w:pPr>
            <w:r>
              <w:rPr>
                <w:rFonts w:cs="Arial"/>
                <w:szCs w:val="16"/>
              </w:rPr>
              <w:t xml:space="preserve">(3.2) Hearings fully adjudicated. </w:t>
            </w:r>
          </w:p>
        </w:tc>
        <w:tc>
          <w:tcPr>
            <w:tcW w:w="129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4B27D1AD" w14:textId="77777777" w:rsidR="00EE2E01" w:rsidRDefault="00EE2E01" w:rsidP="00736617">
            <w:pPr>
              <w:rPr>
                <w:rFonts w:cs="Arial"/>
                <w:szCs w:val="16"/>
              </w:rPr>
            </w:pPr>
            <w:r>
              <w:rPr>
                <w:rFonts w:cs="Arial"/>
                <w:szCs w:val="16"/>
              </w:rPr>
              <w:t>2</w:t>
            </w:r>
          </w:p>
        </w:tc>
      </w:tr>
      <w:tr w:rsidR="00EE2E01" w14:paraId="1C7EE5B1" w14:textId="77777777" w:rsidTr="00736617">
        <w:trPr>
          <w:trHeight w:val="242"/>
        </w:trPr>
        <w:tc>
          <w:tcPr>
            <w:tcW w:w="3709" w:type="pct"/>
            <w:tcBorders>
              <w:top w:val="single" w:sz="4" w:space="0" w:color="auto"/>
              <w:left w:val="single" w:sz="4" w:space="0" w:color="auto"/>
              <w:bottom w:val="single" w:sz="4" w:space="0" w:color="auto"/>
              <w:right w:val="single" w:sz="4" w:space="0" w:color="auto"/>
            </w:tcBorders>
            <w:hideMark/>
          </w:tcPr>
          <w:p w14:paraId="0DF53259" w14:textId="77777777" w:rsidR="00EE2E01" w:rsidRDefault="00EE2E01" w:rsidP="00736617">
            <w:pPr>
              <w:rPr>
                <w:rFonts w:cs="Arial"/>
                <w:szCs w:val="16"/>
              </w:rPr>
            </w:pPr>
            <w:r>
              <w:rPr>
                <w:rFonts w:cs="Arial"/>
                <w:szCs w:val="16"/>
              </w:rPr>
              <w:t xml:space="preserve">(3.2) (a) Decisions within timeline (include expedited). </w:t>
            </w:r>
          </w:p>
        </w:tc>
        <w:tc>
          <w:tcPr>
            <w:tcW w:w="129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129941D3" w14:textId="77777777" w:rsidR="00EE2E01" w:rsidRDefault="00EE2E01" w:rsidP="00736617">
            <w:pPr>
              <w:rPr>
                <w:rFonts w:cs="Arial"/>
                <w:szCs w:val="16"/>
              </w:rPr>
            </w:pPr>
            <w:r>
              <w:rPr>
                <w:rFonts w:cs="Arial"/>
                <w:szCs w:val="16"/>
              </w:rPr>
              <w:t>0</w:t>
            </w:r>
          </w:p>
        </w:tc>
      </w:tr>
      <w:tr w:rsidR="00EE2E01" w14:paraId="141D35B3" w14:textId="77777777" w:rsidTr="00736617">
        <w:trPr>
          <w:trHeight w:val="242"/>
        </w:trPr>
        <w:tc>
          <w:tcPr>
            <w:tcW w:w="3709" w:type="pct"/>
            <w:tcBorders>
              <w:top w:val="single" w:sz="4" w:space="0" w:color="auto"/>
              <w:left w:val="single" w:sz="4" w:space="0" w:color="auto"/>
              <w:bottom w:val="single" w:sz="4" w:space="0" w:color="auto"/>
              <w:right w:val="single" w:sz="4" w:space="0" w:color="auto"/>
            </w:tcBorders>
            <w:hideMark/>
          </w:tcPr>
          <w:p w14:paraId="4B3E66F4" w14:textId="77777777" w:rsidR="00EE2E01" w:rsidRDefault="00EE2E01" w:rsidP="00736617">
            <w:pPr>
              <w:rPr>
                <w:rFonts w:cs="Arial"/>
                <w:szCs w:val="16"/>
              </w:rPr>
            </w:pPr>
            <w:r>
              <w:rPr>
                <w:rFonts w:cs="Arial"/>
                <w:szCs w:val="16"/>
              </w:rPr>
              <w:t>(3.2) (b) Decisions within extended timeline.</w:t>
            </w:r>
          </w:p>
        </w:tc>
        <w:tc>
          <w:tcPr>
            <w:tcW w:w="129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34008C90" w14:textId="77777777" w:rsidR="00EE2E01" w:rsidRDefault="00EE2E01" w:rsidP="00736617">
            <w:pPr>
              <w:rPr>
                <w:rFonts w:cs="Arial"/>
                <w:szCs w:val="16"/>
              </w:rPr>
            </w:pPr>
            <w:r>
              <w:rPr>
                <w:rFonts w:cs="Arial"/>
                <w:szCs w:val="16"/>
              </w:rPr>
              <w:t>2</w:t>
            </w:r>
          </w:p>
        </w:tc>
      </w:tr>
      <w:tr w:rsidR="00EE2E01" w14:paraId="0A719F03" w14:textId="77777777" w:rsidTr="00736617">
        <w:trPr>
          <w:trHeight w:val="242"/>
        </w:trPr>
        <w:tc>
          <w:tcPr>
            <w:tcW w:w="3709" w:type="pct"/>
            <w:tcBorders>
              <w:top w:val="single" w:sz="4" w:space="0" w:color="auto"/>
              <w:left w:val="single" w:sz="4" w:space="0" w:color="auto"/>
              <w:bottom w:val="single" w:sz="4" w:space="0" w:color="auto"/>
              <w:right w:val="single" w:sz="4" w:space="0" w:color="auto"/>
            </w:tcBorders>
            <w:hideMark/>
          </w:tcPr>
          <w:p w14:paraId="3FA1CF25" w14:textId="77777777" w:rsidR="00EE2E01" w:rsidRDefault="00EE2E01" w:rsidP="00736617">
            <w:pPr>
              <w:rPr>
                <w:rFonts w:cs="Arial"/>
                <w:szCs w:val="16"/>
              </w:rPr>
            </w:pPr>
            <w:r>
              <w:rPr>
                <w:rFonts w:cs="Arial"/>
                <w:szCs w:val="16"/>
              </w:rPr>
              <w:t xml:space="preserve">(3.3) Due process complaints pending.  </w:t>
            </w:r>
          </w:p>
        </w:tc>
        <w:tc>
          <w:tcPr>
            <w:tcW w:w="129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3D94A458" w14:textId="77777777" w:rsidR="00EE2E01" w:rsidRDefault="00EE2E01" w:rsidP="00736617">
            <w:pPr>
              <w:rPr>
                <w:rFonts w:cs="Arial"/>
                <w:szCs w:val="16"/>
              </w:rPr>
            </w:pPr>
            <w:r>
              <w:rPr>
                <w:rFonts w:cs="Arial"/>
                <w:szCs w:val="16"/>
              </w:rPr>
              <w:t>2</w:t>
            </w:r>
            <w:r w:rsidRPr="0054428D">
              <w:rPr>
                <w:rFonts w:cs="Arial"/>
                <w:szCs w:val="16"/>
              </w:rPr>
              <w:t xml:space="preserve"> </w:t>
            </w:r>
          </w:p>
        </w:tc>
      </w:tr>
      <w:tr w:rsidR="00EE2E01" w14:paraId="48110BE3" w14:textId="77777777" w:rsidTr="00736617">
        <w:trPr>
          <w:trHeight w:val="242"/>
        </w:trPr>
        <w:tc>
          <w:tcPr>
            <w:tcW w:w="3709" w:type="pct"/>
            <w:tcBorders>
              <w:top w:val="single" w:sz="4" w:space="0" w:color="auto"/>
              <w:left w:val="single" w:sz="4" w:space="0" w:color="auto"/>
              <w:bottom w:val="single" w:sz="4" w:space="0" w:color="auto"/>
              <w:right w:val="single" w:sz="4" w:space="0" w:color="auto"/>
            </w:tcBorders>
            <w:hideMark/>
          </w:tcPr>
          <w:p w14:paraId="43EDDDCD" w14:textId="77777777" w:rsidR="00EE2E01" w:rsidRDefault="00EE2E01" w:rsidP="00736617">
            <w:pPr>
              <w:rPr>
                <w:rFonts w:cs="Arial"/>
                <w:szCs w:val="16"/>
              </w:rPr>
            </w:pPr>
            <w:r>
              <w:rPr>
                <w:rFonts w:cs="Arial"/>
                <w:szCs w:val="16"/>
              </w:rPr>
              <w:t>(3.4) Due process complaints withdrawn or dismissed (including resolved without a hearing).</w:t>
            </w:r>
          </w:p>
        </w:tc>
        <w:tc>
          <w:tcPr>
            <w:tcW w:w="129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1762E5A8" w14:textId="77777777" w:rsidR="00EE2E01" w:rsidRDefault="00EE2E01" w:rsidP="00736617">
            <w:pPr>
              <w:rPr>
                <w:rFonts w:cs="Arial"/>
                <w:szCs w:val="16"/>
              </w:rPr>
            </w:pPr>
            <w:r>
              <w:rPr>
                <w:rFonts w:cs="Arial"/>
                <w:szCs w:val="16"/>
              </w:rPr>
              <w:t>26</w:t>
            </w:r>
          </w:p>
        </w:tc>
      </w:tr>
    </w:tbl>
    <w:p w14:paraId="5101E399" w14:textId="77777777" w:rsidR="00EE2E01" w:rsidRDefault="00EE2E01" w:rsidP="00EE2E01">
      <w:pPr>
        <w:rPr>
          <w:rFonts w:cs="Arial"/>
          <w:b/>
          <w:bCs/>
          <w:szCs w:val="16"/>
        </w:rPr>
      </w:pPr>
    </w:p>
    <w:p w14:paraId="50854025" w14:textId="77777777" w:rsidR="00EE2E01" w:rsidRDefault="00EE2E01" w:rsidP="00EE2E01">
      <w:pPr>
        <w:rPr>
          <w:rFonts w:cs="Arial"/>
          <w:b/>
          <w:bCs/>
          <w:szCs w:val="16"/>
        </w:rPr>
      </w:pPr>
      <w:r>
        <w:rPr>
          <w:rFonts w:cs="Arial"/>
          <w:b/>
          <w:bCs/>
          <w:szCs w:val="16"/>
        </w:rPr>
        <w:t xml:space="preserve">Section D: Expedited Due Process Complaints (Related to Disciplinary Decision) </w:t>
      </w:r>
    </w:p>
    <w:tbl>
      <w:tblPr>
        <w:tblStyle w:val="TableGrid1"/>
        <w:tblW w:w="5000" w:type="pct"/>
        <w:tblLook w:val="04A0" w:firstRow="1" w:lastRow="0" w:firstColumn="1" w:lastColumn="0" w:noHBand="0" w:noVBand="1"/>
        <w:tblCaption w:val="B03DCPDQ"/>
      </w:tblPr>
      <w:tblGrid>
        <w:gridCol w:w="8004"/>
        <w:gridCol w:w="2786"/>
      </w:tblGrid>
      <w:tr w:rsidR="00EE2E01" w14:paraId="506B085F" w14:textId="77777777" w:rsidTr="00736617">
        <w:trPr>
          <w:trHeight w:val="332"/>
        </w:trPr>
        <w:tc>
          <w:tcPr>
            <w:tcW w:w="3709" w:type="pct"/>
            <w:tcBorders>
              <w:top w:val="single" w:sz="4" w:space="0" w:color="auto"/>
              <w:left w:val="single" w:sz="4" w:space="0" w:color="auto"/>
              <w:bottom w:val="single" w:sz="4" w:space="0" w:color="auto"/>
              <w:right w:val="single" w:sz="4" w:space="0" w:color="auto"/>
            </w:tcBorders>
            <w:hideMark/>
          </w:tcPr>
          <w:p w14:paraId="22FAA3EF" w14:textId="77777777" w:rsidR="00EE2E01" w:rsidRPr="00A21F84" w:rsidRDefault="00EE2E01" w:rsidP="00736617">
            <w:pPr>
              <w:rPr>
                <w:rFonts w:cs="Arial"/>
                <w:b/>
                <w:bCs/>
                <w:szCs w:val="16"/>
              </w:rPr>
            </w:pPr>
            <w:r>
              <w:rPr>
                <w:rFonts w:cs="Arial"/>
                <w:b/>
                <w:bCs/>
                <w:szCs w:val="16"/>
              </w:rPr>
              <w:t xml:space="preserve">(4) </w:t>
            </w:r>
            <w:r w:rsidRPr="00A21F84">
              <w:rPr>
                <w:rFonts w:cs="Arial"/>
                <w:b/>
                <w:bCs/>
                <w:szCs w:val="16"/>
              </w:rPr>
              <w:t xml:space="preserve">Total number of expedited due process complaints filed. </w:t>
            </w:r>
          </w:p>
        </w:tc>
        <w:tc>
          <w:tcPr>
            <w:tcW w:w="129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046FCF29" w14:textId="77777777" w:rsidR="00EE2E01" w:rsidRDefault="00EE2E01" w:rsidP="00736617">
            <w:pPr>
              <w:rPr>
                <w:rFonts w:cs="Arial"/>
                <w:szCs w:val="16"/>
              </w:rPr>
            </w:pPr>
            <w:r>
              <w:rPr>
                <w:rFonts w:cs="Arial"/>
                <w:szCs w:val="16"/>
              </w:rPr>
              <w:t>4</w:t>
            </w:r>
          </w:p>
        </w:tc>
      </w:tr>
      <w:tr w:rsidR="00EE2E01" w14:paraId="58872458" w14:textId="77777777" w:rsidTr="00736617">
        <w:trPr>
          <w:trHeight w:val="332"/>
        </w:trPr>
        <w:tc>
          <w:tcPr>
            <w:tcW w:w="3709" w:type="pct"/>
            <w:tcBorders>
              <w:top w:val="single" w:sz="4" w:space="0" w:color="auto"/>
              <w:left w:val="single" w:sz="4" w:space="0" w:color="auto"/>
              <w:bottom w:val="single" w:sz="4" w:space="0" w:color="auto"/>
              <w:right w:val="single" w:sz="4" w:space="0" w:color="auto"/>
            </w:tcBorders>
          </w:tcPr>
          <w:p w14:paraId="352D125C" w14:textId="77777777" w:rsidR="00EE2E01" w:rsidRPr="007F7054" w:rsidRDefault="00EE2E01" w:rsidP="00736617">
            <w:pPr>
              <w:rPr>
                <w:rFonts w:cs="Arial"/>
                <w:szCs w:val="16"/>
              </w:rPr>
            </w:pPr>
            <w:r>
              <w:rPr>
                <w:rFonts w:cs="Arial"/>
                <w:szCs w:val="16"/>
              </w:rPr>
              <w:t xml:space="preserve">(4.1) </w:t>
            </w:r>
            <w:r w:rsidRPr="007F7054">
              <w:rPr>
                <w:rFonts w:cs="Arial"/>
                <w:szCs w:val="16"/>
              </w:rPr>
              <w:t xml:space="preserve">Expedited resolution meetings. </w:t>
            </w:r>
          </w:p>
        </w:tc>
        <w:tc>
          <w:tcPr>
            <w:tcW w:w="129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1D2611D7" w14:textId="77777777" w:rsidR="00EE2E01" w:rsidRDefault="00EE2E01" w:rsidP="00736617">
            <w:pPr>
              <w:rPr>
                <w:rFonts w:cs="Arial"/>
                <w:szCs w:val="16"/>
              </w:rPr>
            </w:pPr>
            <w:r>
              <w:rPr>
                <w:rFonts w:cs="Arial"/>
                <w:szCs w:val="16"/>
              </w:rPr>
              <w:t>1</w:t>
            </w:r>
          </w:p>
        </w:tc>
      </w:tr>
      <w:tr w:rsidR="00EE2E01" w14:paraId="60A14E58" w14:textId="77777777" w:rsidTr="00736617">
        <w:trPr>
          <w:trHeight w:val="332"/>
        </w:trPr>
        <w:tc>
          <w:tcPr>
            <w:tcW w:w="3709" w:type="pct"/>
            <w:tcBorders>
              <w:top w:val="single" w:sz="4" w:space="0" w:color="auto"/>
              <w:left w:val="single" w:sz="4" w:space="0" w:color="auto"/>
              <w:bottom w:val="single" w:sz="4" w:space="0" w:color="auto"/>
              <w:right w:val="single" w:sz="4" w:space="0" w:color="auto"/>
            </w:tcBorders>
          </w:tcPr>
          <w:p w14:paraId="538A297F" w14:textId="77777777" w:rsidR="00EE2E01" w:rsidRPr="007F7054" w:rsidRDefault="00EE2E01" w:rsidP="00736617">
            <w:pPr>
              <w:rPr>
                <w:rFonts w:cs="Arial"/>
                <w:szCs w:val="16"/>
              </w:rPr>
            </w:pPr>
            <w:r>
              <w:rPr>
                <w:rFonts w:cs="Arial"/>
                <w:szCs w:val="16"/>
              </w:rPr>
              <w:t xml:space="preserve">(4.1) (a) </w:t>
            </w:r>
            <w:r w:rsidRPr="007F7054">
              <w:rPr>
                <w:rFonts w:cs="Arial"/>
                <w:szCs w:val="16"/>
              </w:rPr>
              <w:t xml:space="preserve">Expedited written settlement agreements. </w:t>
            </w:r>
          </w:p>
        </w:tc>
        <w:tc>
          <w:tcPr>
            <w:tcW w:w="129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7666CBB1" w14:textId="77777777" w:rsidR="00EE2E01" w:rsidRDefault="00EE2E01" w:rsidP="00736617">
            <w:pPr>
              <w:rPr>
                <w:rFonts w:cs="Arial"/>
                <w:szCs w:val="16"/>
              </w:rPr>
            </w:pPr>
            <w:r>
              <w:rPr>
                <w:rFonts w:cs="Arial"/>
                <w:szCs w:val="16"/>
              </w:rPr>
              <w:t>1</w:t>
            </w:r>
          </w:p>
        </w:tc>
      </w:tr>
      <w:tr w:rsidR="00EE2E01" w14:paraId="0066C0F1" w14:textId="77777777" w:rsidTr="00736617">
        <w:trPr>
          <w:trHeight w:val="332"/>
        </w:trPr>
        <w:tc>
          <w:tcPr>
            <w:tcW w:w="3709" w:type="pct"/>
            <w:tcBorders>
              <w:top w:val="single" w:sz="4" w:space="0" w:color="auto"/>
              <w:left w:val="single" w:sz="4" w:space="0" w:color="auto"/>
              <w:bottom w:val="single" w:sz="4" w:space="0" w:color="auto"/>
              <w:right w:val="single" w:sz="4" w:space="0" w:color="auto"/>
            </w:tcBorders>
          </w:tcPr>
          <w:p w14:paraId="2747685A" w14:textId="77777777" w:rsidR="00EE2E01" w:rsidRPr="007F7054" w:rsidRDefault="00EE2E01" w:rsidP="00736617">
            <w:pPr>
              <w:rPr>
                <w:rFonts w:cs="Arial"/>
                <w:szCs w:val="16"/>
              </w:rPr>
            </w:pPr>
            <w:r>
              <w:rPr>
                <w:rFonts w:cs="Arial"/>
                <w:szCs w:val="16"/>
              </w:rPr>
              <w:t xml:space="preserve">(4.2) </w:t>
            </w:r>
            <w:r w:rsidRPr="007F7054">
              <w:rPr>
                <w:rFonts w:cs="Arial"/>
                <w:szCs w:val="16"/>
              </w:rPr>
              <w:t xml:space="preserve">Expedited hearings fully adjudicated. </w:t>
            </w:r>
          </w:p>
        </w:tc>
        <w:tc>
          <w:tcPr>
            <w:tcW w:w="129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797B0B20" w14:textId="77777777" w:rsidR="00EE2E01" w:rsidRDefault="00EE2E01" w:rsidP="00736617">
            <w:pPr>
              <w:rPr>
                <w:rFonts w:cs="Arial"/>
                <w:szCs w:val="16"/>
              </w:rPr>
            </w:pPr>
            <w:r>
              <w:rPr>
                <w:rFonts w:cs="Arial"/>
                <w:szCs w:val="16"/>
              </w:rPr>
              <w:t>0</w:t>
            </w:r>
          </w:p>
        </w:tc>
      </w:tr>
      <w:tr w:rsidR="00EE2E01" w14:paraId="7E4DEF3C" w14:textId="77777777" w:rsidTr="00736617">
        <w:trPr>
          <w:trHeight w:val="332"/>
        </w:trPr>
        <w:tc>
          <w:tcPr>
            <w:tcW w:w="3709" w:type="pct"/>
            <w:tcBorders>
              <w:top w:val="single" w:sz="4" w:space="0" w:color="auto"/>
              <w:left w:val="single" w:sz="4" w:space="0" w:color="auto"/>
              <w:bottom w:val="single" w:sz="4" w:space="0" w:color="auto"/>
              <w:right w:val="single" w:sz="4" w:space="0" w:color="auto"/>
            </w:tcBorders>
          </w:tcPr>
          <w:p w14:paraId="010489D6" w14:textId="77777777" w:rsidR="00EE2E01" w:rsidRPr="007F7054" w:rsidRDefault="00EE2E01" w:rsidP="00736617">
            <w:pPr>
              <w:rPr>
                <w:rFonts w:cs="Arial"/>
                <w:szCs w:val="16"/>
              </w:rPr>
            </w:pPr>
            <w:r>
              <w:rPr>
                <w:rFonts w:cs="Arial"/>
                <w:szCs w:val="16"/>
              </w:rPr>
              <w:t xml:space="preserve">(4.2) (a) </w:t>
            </w:r>
            <w:r w:rsidRPr="007F7054">
              <w:rPr>
                <w:rFonts w:cs="Arial"/>
                <w:szCs w:val="16"/>
              </w:rPr>
              <w:t>Change of placement ordered</w:t>
            </w:r>
          </w:p>
        </w:tc>
        <w:tc>
          <w:tcPr>
            <w:tcW w:w="129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62897A2" w14:textId="77777777" w:rsidR="00EE2E01" w:rsidRDefault="00EE2E01" w:rsidP="00736617">
            <w:pPr>
              <w:rPr>
                <w:rFonts w:cs="Arial"/>
                <w:szCs w:val="16"/>
              </w:rPr>
            </w:pPr>
            <w:r>
              <w:rPr>
                <w:rFonts w:cs="Arial"/>
                <w:szCs w:val="16"/>
              </w:rPr>
              <w:t>0</w:t>
            </w:r>
          </w:p>
        </w:tc>
      </w:tr>
      <w:tr w:rsidR="00EE2E01" w14:paraId="357234F6" w14:textId="77777777" w:rsidTr="00736617">
        <w:trPr>
          <w:trHeight w:val="332"/>
        </w:trPr>
        <w:tc>
          <w:tcPr>
            <w:tcW w:w="3709" w:type="pct"/>
            <w:tcBorders>
              <w:top w:val="single" w:sz="4" w:space="0" w:color="auto"/>
              <w:left w:val="single" w:sz="4" w:space="0" w:color="auto"/>
              <w:bottom w:val="single" w:sz="4" w:space="0" w:color="auto"/>
              <w:right w:val="single" w:sz="4" w:space="0" w:color="auto"/>
            </w:tcBorders>
          </w:tcPr>
          <w:p w14:paraId="0EDFDDF7" w14:textId="77777777" w:rsidR="00EE2E01" w:rsidRPr="007F7054" w:rsidRDefault="00EE2E01" w:rsidP="00736617">
            <w:pPr>
              <w:rPr>
                <w:rFonts w:cs="Arial"/>
                <w:szCs w:val="16"/>
              </w:rPr>
            </w:pPr>
            <w:r>
              <w:rPr>
                <w:rFonts w:cs="Arial"/>
                <w:szCs w:val="16"/>
              </w:rPr>
              <w:t xml:space="preserve">(4.3) </w:t>
            </w:r>
            <w:r w:rsidRPr="007F7054">
              <w:rPr>
                <w:rFonts w:cs="Arial"/>
                <w:szCs w:val="16"/>
              </w:rPr>
              <w:t xml:space="preserve">Expedited due process complaints pending. </w:t>
            </w:r>
          </w:p>
        </w:tc>
        <w:tc>
          <w:tcPr>
            <w:tcW w:w="129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3D53084D" w14:textId="77777777" w:rsidR="00EE2E01" w:rsidRDefault="00EE2E01" w:rsidP="00736617">
            <w:pPr>
              <w:rPr>
                <w:rFonts w:cs="Arial"/>
                <w:szCs w:val="16"/>
              </w:rPr>
            </w:pPr>
            <w:r>
              <w:rPr>
                <w:rFonts w:cs="Arial"/>
                <w:szCs w:val="16"/>
              </w:rPr>
              <w:t>1</w:t>
            </w:r>
          </w:p>
        </w:tc>
      </w:tr>
      <w:tr w:rsidR="00EE2E01" w14:paraId="7B27A8D1" w14:textId="77777777" w:rsidTr="00736617">
        <w:trPr>
          <w:trHeight w:val="332"/>
        </w:trPr>
        <w:tc>
          <w:tcPr>
            <w:tcW w:w="3709" w:type="pct"/>
            <w:tcBorders>
              <w:top w:val="single" w:sz="4" w:space="0" w:color="auto"/>
              <w:left w:val="single" w:sz="4" w:space="0" w:color="auto"/>
              <w:bottom w:val="single" w:sz="4" w:space="0" w:color="auto"/>
              <w:right w:val="single" w:sz="4" w:space="0" w:color="auto"/>
            </w:tcBorders>
          </w:tcPr>
          <w:p w14:paraId="796683AD" w14:textId="77777777" w:rsidR="00EE2E01" w:rsidRPr="007F7054" w:rsidRDefault="00EE2E01" w:rsidP="00736617">
            <w:pPr>
              <w:rPr>
                <w:rFonts w:cs="Arial"/>
                <w:szCs w:val="16"/>
              </w:rPr>
            </w:pPr>
            <w:r>
              <w:rPr>
                <w:rFonts w:cs="Arial"/>
                <w:szCs w:val="16"/>
              </w:rPr>
              <w:t>(4.4) E</w:t>
            </w:r>
            <w:r w:rsidRPr="007F7054">
              <w:rPr>
                <w:rFonts w:cs="Arial"/>
                <w:szCs w:val="16"/>
              </w:rPr>
              <w:t xml:space="preserve">xpedited due process complaints withdrawn or dismissed. </w:t>
            </w:r>
          </w:p>
        </w:tc>
        <w:tc>
          <w:tcPr>
            <w:tcW w:w="1291"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6CD67A88" w14:textId="77777777" w:rsidR="00EE2E01" w:rsidRDefault="00EE2E01" w:rsidP="00736617">
            <w:pPr>
              <w:rPr>
                <w:rFonts w:cs="Arial"/>
                <w:szCs w:val="16"/>
              </w:rPr>
            </w:pPr>
            <w:r>
              <w:rPr>
                <w:rFonts w:cs="Arial"/>
                <w:szCs w:val="16"/>
              </w:rPr>
              <w:t>3</w:t>
            </w:r>
          </w:p>
        </w:tc>
      </w:tr>
    </w:tbl>
    <w:p w14:paraId="3B844C0B" w14:textId="77777777" w:rsidR="00EE2E01" w:rsidRDefault="00EE2E01" w:rsidP="00EE2E01">
      <w:pPr>
        <w:spacing w:before="0" w:after="200" w:line="276" w:lineRule="auto"/>
      </w:pPr>
    </w:p>
    <w:p w14:paraId="5D660E0C" w14:textId="77777777" w:rsidR="00EE2E01" w:rsidRPr="00F07782" w:rsidRDefault="00EE2E01" w:rsidP="00EE2E01">
      <w:pPr>
        <w:spacing w:before="0" w:after="0"/>
        <w:rPr>
          <w:b/>
          <w:bCs/>
        </w:rPr>
      </w:pPr>
      <w:r w:rsidRPr="00F07782">
        <w:rPr>
          <w:b/>
          <w:bCs/>
        </w:rPr>
        <w:lastRenderedPageBreak/>
        <w:t xml:space="preserve">State Comments: </w:t>
      </w:r>
    </w:p>
    <w:p w14:paraId="2F35CA36" w14:textId="77777777" w:rsidR="00EE2E01" w:rsidRDefault="00EE2E01" w:rsidP="00EE2E01">
      <w:pPr>
        <w:spacing w:before="0" w:after="0"/>
      </w:pPr>
    </w:p>
    <w:p w14:paraId="3D9B4A04" w14:textId="77777777" w:rsidR="00EE2E01" w:rsidRDefault="00EE2E01" w:rsidP="00EE2E01">
      <w:pPr>
        <w:spacing w:before="0" w:after="0"/>
      </w:pPr>
    </w:p>
    <w:p w14:paraId="09735179" w14:textId="77777777" w:rsidR="00EE2E01" w:rsidRPr="00F07782" w:rsidRDefault="00EE2E01" w:rsidP="00EE2E01">
      <w:pPr>
        <w:spacing w:before="0" w:after="0"/>
        <w:rPr>
          <w:b/>
          <w:bCs/>
        </w:rPr>
      </w:pPr>
      <w:r w:rsidRPr="00F07782">
        <w:rPr>
          <w:b/>
          <w:bCs/>
        </w:rPr>
        <w:t xml:space="preserve">Errors: </w:t>
      </w:r>
    </w:p>
    <w:p w14:paraId="28095684" w14:textId="77777777" w:rsidR="00EE2E01" w:rsidRDefault="00EE2E01" w:rsidP="00EE2E01">
      <w:pPr>
        <w:spacing w:before="0" w:after="0"/>
      </w:pPr>
      <w:r>
        <w:t xml:space="preserve">Please note that the data entered result in the following relationships which violate edit checks: </w:t>
      </w:r>
    </w:p>
    <w:p w14:paraId="0948CB57" w14:textId="77777777" w:rsidR="00EE2E01" w:rsidRDefault="00EE2E01" w:rsidP="00EE2E01">
      <w:pPr>
        <w:spacing w:before="0" w:after="0"/>
      </w:pPr>
    </w:p>
    <w:p w14:paraId="43A3361C" w14:textId="77777777" w:rsidR="00EE2E01" w:rsidRDefault="00EE2E01" w:rsidP="00EE2E01">
      <w:pPr>
        <w:spacing w:before="0" w:after="0"/>
        <w:rPr>
          <w:rStyle w:val="ui-provider"/>
        </w:rPr>
      </w:pPr>
      <w:r w:rsidRPr="00DB6FBF">
        <w:rPr>
          <w:rStyle w:val="ui-provider"/>
        </w:rPr>
        <w:t xml:space="preserve">State error comments: </w:t>
      </w:r>
    </w:p>
    <w:p w14:paraId="675FAB35" w14:textId="77777777" w:rsidR="00EE2E01" w:rsidRPr="00DB6FBF" w:rsidRDefault="00EE2E01" w:rsidP="00EE2E01">
      <w:pPr>
        <w:spacing w:before="0" w:after="0"/>
        <w:rPr>
          <w:rStyle w:val="ui-provider"/>
        </w:rPr>
      </w:pPr>
    </w:p>
    <w:p w14:paraId="6C18DE7A" w14:textId="77777777" w:rsidR="00EE2E01" w:rsidRDefault="00EE2E01" w:rsidP="00EE2E01">
      <w:pPr>
        <w:spacing w:before="0" w:after="0"/>
      </w:pPr>
    </w:p>
    <w:p w14:paraId="111BE8E8" w14:textId="77777777" w:rsidR="00EE2E01" w:rsidRDefault="00EE2E01" w:rsidP="00EE2E01">
      <w:pPr>
        <w:spacing w:before="0" w:after="0"/>
      </w:pPr>
      <w:r>
        <w:t xml:space="preserve">This report shows the most recent data that was entered by: </w:t>
      </w:r>
    </w:p>
    <w:p w14:paraId="76C2C60C" w14:textId="77777777" w:rsidR="00EE2E01" w:rsidRDefault="00EE2E01" w:rsidP="00EE2E01">
      <w:pPr>
        <w:spacing w:before="0" w:after="0"/>
      </w:pPr>
      <w:r>
        <w:t>Colorado</w:t>
      </w:r>
    </w:p>
    <w:p w14:paraId="2934BC49" w14:textId="77777777" w:rsidR="00EE2E01" w:rsidRDefault="00EE2E01" w:rsidP="00EE2E01">
      <w:pPr>
        <w:spacing w:before="0" w:after="0"/>
      </w:pPr>
      <w:r>
        <w:t>These data were extracted on the close date:</w:t>
      </w:r>
    </w:p>
    <w:p w14:paraId="67281528" w14:textId="77777777" w:rsidR="00EE2E01" w:rsidRDefault="00EE2E01" w:rsidP="00EE2E01">
      <w:pPr>
        <w:spacing w:before="0" w:after="0"/>
      </w:pPr>
      <w:r>
        <w:t>11/15/2023</w:t>
      </w:r>
    </w:p>
    <w:p w14:paraId="657C451C" w14:textId="77777777" w:rsidR="00EE2E01" w:rsidRPr="00EE2E01" w:rsidRDefault="00EE2E01" w:rsidP="00EE2E01"/>
    <w:p w14:paraId="10BA59E7" w14:textId="5817B082" w:rsidR="0058254D" w:rsidRDefault="0058254D">
      <w:pPr>
        <w:spacing w:before="0" w:after="200" w:line="276" w:lineRule="auto"/>
      </w:pPr>
      <w:r>
        <w:br w:type="page"/>
      </w:r>
    </w:p>
    <w:p w14:paraId="1EB6A9F6" w14:textId="77777777" w:rsidR="00085B13" w:rsidRDefault="00085B13" w:rsidP="00085B13">
      <w:pPr>
        <w:pStyle w:val="Heading2"/>
      </w:pPr>
      <w:r>
        <w:lastRenderedPageBreak/>
        <w:t>How the Department Made Determinations</w:t>
      </w:r>
    </w:p>
    <w:p w14:paraId="0972CDF2" w14:textId="77777777" w:rsidR="00085B13" w:rsidRPr="00D733C3" w:rsidRDefault="00085B13" w:rsidP="00085B13">
      <w:pPr>
        <w:rPr>
          <w:szCs w:val="16"/>
        </w:rPr>
      </w:pPr>
    </w:p>
    <w:p w14:paraId="0E00D438" w14:textId="77777777" w:rsidR="00EE2E01" w:rsidRPr="00D733C3" w:rsidRDefault="00EE2E01" w:rsidP="00EE2E01">
      <w:pPr>
        <w:rPr>
          <w:rFonts w:cs="Arial"/>
          <w:szCs w:val="16"/>
        </w:rPr>
      </w:pPr>
      <w:bookmarkStart w:id="102" w:name="Introduction"/>
      <w:bookmarkStart w:id="103" w:name="_Hlk124349373"/>
      <w:bookmarkEnd w:id="3"/>
      <w:bookmarkEnd w:id="102"/>
      <w:bookmarkEnd w:id="103"/>
      <w:r w:rsidRPr="00D733C3">
        <w:rPr>
          <w:rFonts w:cs="Arial"/>
          <w:szCs w:val="16"/>
        </w:rPr>
        <w:t>Below is the location of How the Department Made Determinations (HTDMD) on OSEP’s IDEA Website.  How the Department Made Determinations in 202</w:t>
      </w:r>
      <w:r>
        <w:rPr>
          <w:rFonts w:cs="Arial"/>
          <w:szCs w:val="16"/>
        </w:rPr>
        <w:t>4</w:t>
      </w:r>
      <w:r w:rsidRPr="00D733C3">
        <w:rPr>
          <w:rFonts w:cs="Arial"/>
          <w:szCs w:val="16"/>
        </w:rPr>
        <w:t xml:space="preserve"> will be posted in June 202</w:t>
      </w:r>
      <w:r>
        <w:rPr>
          <w:rFonts w:cs="Arial"/>
          <w:szCs w:val="16"/>
        </w:rPr>
        <w:t>4</w:t>
      </w:r>
      <w:r w:rsidRPr="00D733C3">
        <w:rPr>
          <w:rFonts w:cs="Arial"/>
          <w:szCs w:val="16"/>
        </w:rPr>
        <w:t>. Copy and paste the link below into a browser to view.</w:t>
      </w:r>
    </w:p>
    <w:p w14:paraId="50DA1C7E" w14:textId="77777777" w:rsidR="00EE2E01" w:rsidRPr="00D733C3" w:rsidRDefault="00EE2E01" w:rsidP="00EE2E01">
      <w:pPr>
        <w:pStyle w:val="BodyText"/>
        <w:spacing w:before="7"/>
        <w:rPr>
          <w:rFonts w:ascii="Arial" w:eastAsia="Calibri" w:hAnsi="Arial" w:cs="Arial"/>
          <w:sz w:val="16"/>
          <w:szCs w:val="16"/>
        </w:rPr>
      </w:pPr>
    </w:p>
    <w:p w14:paraId="5A83F7CC" w14:textId="77777777" w:rsidR="00EE2E01" w:rsidRDefault="00C53BE5" w:rsidP="00EE2E01">
      <w:pPr>
        <w:spacing w:before="0" w:after="200" w:line="276" w:lineRule="auto"/>
        <w:rPr>
          <w:rStyle w:val="Hyperlink"/>
          <w:szCs w:val="16"/>
        </w:rPr>
      </w:pPr>
      <w:hyperlink r:id="rId13" w:history="1">
        <w:r w:rsidR="00EE2E01" w:rsidRPr="00D733C3">
          <w:rPr>
            <w:rStyle w:val="Hyperlink"/>
            <w:szCs w:val="16"/>
          </w:rPr>
          <w:t>https://sites.ed.gov/idea/how-the-department-made-determinations/</w:t>
        </w:r>
      </w:hyperlink>
    </w:p>
    <w:p w14:paraId="501736B2" w14:textId="25EA355D" w:rsidR="003749F7" w:rsidRDefault="003749F7">
      <w:pPr>
        <w:spacing w:before="0" w:after="200" w:line="276" w:lineRule="auto"/>
        <w:rPr>
          <w:rStyle w:val="Hyperlink"/>
          <w:szCs w:val="16"/>
        </w:rPr>
      </w:pPr>
      <w:r>
        <w:rPr>
          <w:rStyle w:val="Hyperlink"/>
          <w:szCs w:val="16"/>
        </w:rPr>
        <w:br w:type="page"/>
      </w:r>
    </w:p>
    <w:p w14:paraId="250DFECA" w14:textId="77777777" w:rsidR="003749F7" w:rsidRDefault="003749F7">
      <w:pPr>
        <w:spacing w:before="0" w:after="200" w:line="276" w:lineRule="auto"/>
        <w:rPr>
          <w:rStyle w:val="Hyperlink"/>
          <w:szCs w:val="16"/>
        </w:rPr>
        <w:sectPr w:rsidR="003749F7" w:rsidSect="00A70254">
          <w:headerReference w:type="default" r:id="rId14"/>
          <w:footerReference w:type="default" r:id="rId15"/>
          <w:pgSz w:w="12240" w:h="15840"/>
          <w:pgMar w:top="720" w:right="720" w:bottom="720" w:left="720" w:header="763" w:footer="431" w:gutter="0"/>
          <w:cols w:space="720"/>
          <w:docGrid w:linePitch="218"/>
        </w:sectPr>
      </w:pPr>
    </w:p>
    <w:p w14:paraId="08DC7C9E" w14:textId="77777777" w:rsidR="003749F7" w:rsidRPr="00B6363A" w:rsidRDefault="003749F7" w:rsidP="003749F7">
      <w:pPr>
        <w:pStyle w:val="Heading2"/>
      </w:pPr>
      <w:r w:rsidRPr="00B6363A">
        <w:lastRenderedPageBreak/>
        <w:t>Final Determination Letter</w:t>
      </w:r>
    </w:p>
    <w:p w14:paraId="0DA569F2" w14:textId="77777777" w:rsidR="003749F7" w:rsidRDefault="003749F7" w:rsidP="003749F7">
      <w:pPr>
        <w:spacing w:before="0" w:after="200" w:line="276" w:lineRule="auto"/>
        <w:rPr>
          <w:rFonts w:cs="Arial"/>
          <w:b/>
          <w:bCs/>
          <w:szCs w:val="16"/>
        </w:rPr>
      </w:pPr>
    </w:p>
    <w:p w14:paraId="1DDE281C" w14:textId="25D59CCF" w:rsidR="003749F7" w:rsidRDefault="003749F7" w:rsidP="003749F7">
      <w:pPr>
        <w:spacing w:before="0"/>
        <w:jc w:val="center"/>
        <w:rPr>
          <w:rFonts w:ascii="Times New Roman" w:hAnsi="Times New Roman"/>
          <w:sz w:val="24"/>
        </w:rPr>
      </w:pPr>
      <w:r>
        <w:t>June 2</w:t>
      </w:r>
      <w:r w:rsidR="00972967">
        <w:t>1</w:t>
      </w:r>
      <w:r>
        <w:t>, 2024</w:t>
      </w:r>
    </w:p>
    <w:p w14:paraId="6EB579C9" w14:textId="77777777" w:rsidR="003749F7" w:rsidRPr="001B1007" w:rsidRDefault="003749F7" w:rsidP="003749F7">
      <w:pPr>
        <w:rPr>
          <w:szCs w:val="24"/>
        </w:rPr>
      </w:pPr>
      <w:r w:rsidRPr="001B1007">
        <w:rPr>
          <w:szCs w:val="24"/>
        </w:rPr>
        <w:t>Honorable Susana Córdova</w:t>
      </w:r>
    </w:p>
    <w:p w14:paraId="430DF607" w14:textId="77777777" w:rsidR="003749F7" w:rsidRPr="001B1007" w:rsidRDefault="003749F7" w:rsidP="003749F7">
      <w:pPr>
        <w:spacing w:before="0"/>
        <w:rPr>
          <w:szCs w:val="24"/>
        </w:rPr>
      </w:pPr>
      <w:r w:rsidRPr="001B1007">
        <w:rPr>
          <w:szCs w:val="24"/>
        </w:rPr>
        <w:t>Commissioner of Education</w:t>
      </w:r>
    </w:p>
    <w:p w14:paraId="09A43480" w14:textId="77777777" w:rsidR="003749F7" w:rsidRPr="001B1007" w:rsidRDefault="003749F7" w:rsidP="003749F7">
      <w:pPr>
        <w:spacing w:before="0"/>
        <w:rPr>
          <w:szCs w:val="24"/>
        </w:rPr>
      </w:pPr>
      <w:r w:rsidRPr="001B1007">
        <w:rPr>
          <w:szCs w:val="24"/>
        </w:rPr>
        <w:t>Colorado State Department of Education</w:t>
      </w:r>
    </w:p>
    <w:p w14:paraId="7B7ED0B0" w14:textId="77777777" w:rsidR="003749F7" w:rsidRPr="001B1007" w:rsidRDefault="003749F7" w:rsidP="003749F7">
      <w:pPr>
        <w:spacing w:before="0"/>
        <w:rPr>
          <w:szCs w:val="24"/>
        </w:rPr>
      </w:pPr>
      <w:r w:rsidRPr="001B1007">
        <w:rPr>
          <w:szCs w:val="24"/>
        </w:rPr>
        <w:t>201 East Colfax Avenue, Room 500</w:t>
      </w:r>
    </w:p>
    <w:p w14:paraId="4B18E700" w14:textId="77777777" w:rsidR="003749F7" w:rsidRPr="001B1007" w:rsidRDefault="003749F7" w:rsidP="003749F7">
      <w:pPr>
        <w:spacing w:before="0"/>
        <w:rPr>
          <w:szCs w:val="24"/>
        </w:rPr>
      </w:pPr>
      <w:r w:rsidRPr="001B1007">
        <w:rPr>
          <w:szCs w:val="24"/>
        </w:rPr>
        <w:t>Denver, CO 80203</w:t>
      </w:r>
    </w:p>
    <w:p w14:paraId="0287A8F5" w14:textId="77777777" w:rsidR="00923335" w:rsidRDefault="00923335" w:rsidP="003749F7">
      <w:pPr>
        <w:rPr>
          <w:szCs w:val="24"/>
        </w:rPr>
      </w:pPr>
    </w:p>
    <w:p w14:paraId="0704165A" w14:textId="6AA2AF20" w:rsidR="003749F7" w:rsidRPr="001B1007" w:rsidRDefault="003749F7" w:rsidP="003749F7">
      <w:pPr>
        <w:rPr>
          <w:szCs w:val="24"/>
        </w:rPr>
      </w:pPr>
      <w:r w:rsidRPr="001B1007">
        <w:rPr>
          <w:szCs w:val="24"/>
        </w:rPr>
        <w:t xml:space="preserve">Dear </w:t>
      </w:r>
      <w:proofErr w:type="gramStart"/>
      <w:r w:rsidRPr="001B1007">
        <w:rPr>
          <w:szCs w:val="24"/>
        </w:rPr>
        <w:t>Commissioner</w:t>
      </w:r>
      <w:proofErr w:type="gramEnd"/>
      <w:r w:rsidR="00457F3C">
        <w:rPr>
          <w:szCs w:val="24"/>
        </w:rPr>
        <w:t xml:space="preserve"> </w:t>
      </w:r>
      <w:r w:rsidR="00457F3C" w:rsidRPr="00457F3C">
        <w:rPr>
          <w:szCs w:val="24"/>
        </w:rPr>
        <w:t>Córdova</w:t>
      </w:r>
      <w:r w:rsidRPr="001B1007">
        <w:rPr>
          <w:szCs w:val="24"/>
        </w:rPr>
        <w:t>:</w:t>
      </w:r>
    </w:p>
    <w:p w14:paraId="1BE61164" w14:textId="77777777" w:rsidR="00923335" w:rsidRDefault="00923335" w:rsidP="003749F7">
      <w:pPr>
        <w:spacing w:before="0" w:after="0"/>
        <w:rPr>
          <w:rStyle w:val="ui-provider"/>
        </w:rPr>
      </w:pPr>
    </w:p>
    <w:p w14:paraId="40B353E5" w14:textId="52CACC74" w:rsidR="003749F7" w:rsidRPr="001B1007" w:rsidRDefault="003749F7" w:rsidP="003749F7">
      <w:r w:rsidRPr="001B1007">
        <w:t>I am writing to advise you of the U.S. Department of Education’s (Department) 202</w:t>
      </w:r>
      <w:r w:rsidR="00F73E8E">
        <w:t>4</w:t>
      </w:r>
      <w:r w:rsidRPr="001B1007">
        <w:t xml:space="preserve"> determination under Section 616 of the Individuals with Disabilities Education Act (IDEA). The Department has determined that </w:t>
      </w:r>
      <w:r>
        <w:t>Colorado</w:t>
      </w:r>
      <w:r w:rsidRPr="001B1007">
        <w:t xml:space="preserve"> needs assistance in implementing the requirements of Part B of the IDEA. This determination is based on the totality of </w:t>
      </w:r>
      <w:r w:rsidRPr="00BE0983">
        <w:t>Colorado's</w:t>
      </w:r>
      <w:r w:rsidRPr="001B1007">
        <w:t xml:space="preserve"> data and information, including the Federal fiscal year (FFY) 202</w:t>
      </w:r>
      <w:r w:rsidR="00F73E8E">
        <w:t>2</w:t>
      </w:r>
      <w:r w:rsidRPr="001B1007">
        <w:t xml:space="preserve"> State Performance Plan/Annual Performance Report (SPP/APR), other State-reported data, and other publicly available information.</w:t>
      </w:r>
    </w:p>
    <w:p w14:paraId="0C0A0460" w14:textId="737D1939" w:rsidR="003749F7" w:rsidRPr="001B1007" w:rsidRDefault="003749F7" w:rsidP="003749F7">
      <w:r w:rsidRPr="00BE0983">
        <w:t>Colorado's</w:t>
      </w:r>
      <w:r w:rsidRPr="001B1007">
        <w:t xml:space="preserve"> 202</w:t>
      </w:r>
      <w:r w:rsidR="00972967">
        <w:t>4</w:t>
      </w:r>
      <w:r w:rsidRPr="001B1007">
        <w:t xml:space="preserve"> determination is based on the data reflected in its “202</w:t>
      </w:r>
      <w:r w:rsidR="001532B7">
        <w:t>4</w:t>
      </w:r>
      <w:r w:rsidRPr="001B1007">
        <w:t xml:space="preserve"> Part B Results-Driven Accountability Matrix” (RDA Matrix). The RDA Matrix is individualized for each State and Entity and consists of: </w:t>
      </w:r>
    </w:p>
    <w:p w14:paraId="77568660" w14:textId="77777777" w:rsidR="003749F7" w:rsidRPr="001B1007" w:rsidRDefault="003749F7">
      <w:pPr>
        <w:pStyle w:val="ListParagraph"/>
        <w:numPr>
          <w:ilvl w:val="0"/>
          <w:numId w:val="9"/>
        </w:numPr>
        <w:spacing w:before="120" w:after="0"/>
        <w:contextualSpacing w:val="0"/>
      </w:pPr>
      <w:r w:rsidRPr="001B1007">
        <w:t xml:space="preserve">a Compliance Matrix that includes scoring on Compliance Indicators and other compliance </w:t>
      </w:r>
      <w:proofErr w:type="gramStart"/>
      <w:r w:rsidRPr="001B1007">
        <w:t>factors;</w:t>
      </w:r>
      <w:proofErr w:type="gramEnd"/>
      <w:r w:rsidRPr="001B1007">
        <w:t xml:space="preserve"> </w:t>
      </w:r>
    </w:p>
    <w:p w14:paraId="4D6E1739" w14:textId="77777777" w:rsidR="003749F7" w:rsidRPr="001B1007" w:rsidRDefault="003749F7">
      <w:pPr>
        <w:pStyle w:val="ListParagraph"/>
        <w:numPr>
          <w:ilvl w:val="0"/>
          <w:numId w:val="9"/>
        </w:numPr>
        <w:spacing w:before="120" w:after="0"/>
        <w:contextualSpacing w:val="0"/>
      </w:pPr>
      <w:r w:rsidRPr="001B1007">
        <w:t xml:space="preserve">a Results Matrix that includes scoring on Results </w:t>
      </w:r>
      <w:proofErr w:type="gramStart"/>
      <w:r w:rsidRPr="001B1007">
        <w:t>Elements;</w:t>
      </w:r>
      <w:proofErr w:type="gramEnd"/>
    </w:p>
    <w:p w14:paraId="137DB369" w14:textId="77777777" w:rsidR="003749F7" w:rsidRPr="001B1007" w:rsidRDefault="003749F7">
      <w:pPr>
        <w:pStyle w:val="ListParagraph"/>
        <w:numPr>
          <w:ilvl w:val="0"/>
          <w:numId w:val="9"/>
        </w:numPr>
        <w:spacing w:before="120" w:after="0"/>
        <w:contextualSpacing w:val="0"/>
      </w:pPr>
      <w:r w:rsidRPr="001B1007">
        <w:t xml:space="preserve">a Compliance Score and a Results </w:t>
      </w:r>
      <w:proofErr w:type="gramStart"/>
      <w:r w:rsidRPr="001B1007">
        <w:t>Score;</w:t>
      </w:r>
      <w:proofErr w:type="gramEnd"/>
    </w:p>
    <w:p w14:paraId="5858847B" w14:textId="77777777" w:rsidR="003749F7" w:rsidRPr="001B1007" w:rsidRDefault="003749F7">
      <w:pPr>
        <w:pStyle w:val="ListParagraph"/>
        <w:numPr>
          <w:ilvl w:val="0"/>
          <w:numId w:val="9"/>
        </w:numPr>
        <w:spacing w:before="120" w:after="0"/>
        <w:contextualSpacing w:val="0"/>
      </w:pPr>
      <w:r w:rsidRPr="001B1007">
        <w:t>an RDA Percentage based on both the Compliance Score and the Results Score; and</w:t>
      </w:r>
    </w:p>
    <w:p w14:paraId="56DF4B82" w14:textId="490513A5" w:rsidR="003749F7" w:rsidRPr="001B1007" w:rsidRDefault="003749F7">
      <w:pPr>
        <w:pStyle w:val="ListParagraph"/>
        <w:numPr>
          <w:ilvl w:val="0"/>
          <w:numId w:val="9"/>
        </w:numPr>
        <w:spacing w:before="120" w:after="0"/>
        <w:contextualSpacing w:val="0"/>
      </w:pPr>
      <w:r w:rsidRPr="001B1007">
        <w:t>the State</w:t>
      </w:r>
      <w:r w:rsidR="00C11944">
        <w:t>’s</w:t>
      </w:r>
      <w:r>
        <w:t xml:space="preserve"> or Entity</w:t>
      </w:r>
      <w:r w:rsidRPr="001B1007">
        <w:t xml:space="preserve">’s Determination. </w:t>
      </w:r>
    </w:p>
    <w:p w14:paraId="47C6BA38" w14:textId="213D822A" w:rsidR="003749F7" w:rsidRDefault="003749F7" w:rsidP="003749F7">
      <w:r w:rsidRPr="001B1007">
        <w:t>The RDA Matrix is further explained in a document, entitled “</w:t>
      </w:r>
      <w:hyperlink r:id="rId16" w:history="1">
        <w:r w:rsidRPr="00512718">
          <w:rPr>
            <w:rStyle w:val="Hyperlink"/>
            <w:szCs w:val="24"/>
          </w:rPr>
          <w:t>How the Department Made Determinations under Section 616(d) of the Individuals with Disabilities Education Act in 202</w:t>
        </w:r>
        <w:r w:rsidR="00972967" w:rsidRPr="00512718">
          <w:rPr>
            <w:rStyle w:val="Hyperlink"/>
            <w:szCs w:val="24"/>
          </w:rPr>
          <w:t>4</w:t>
        </w:r>
        <w:r w:rsidRPr="00512718">
          <w:rPr>
            <w:rStyle w:val="Hyperlink"/>
            <w:szCs w:val="24"/>
          </w:rPr>
          <w:t>: Part B</w:t>
        </w:r>
      </w:hyperlink>
      <w:r w:rsidRPr="001B1007">
        <w:t xml:space="preserve">” (HTDMD). </w:t>
      </w:r>
    </w:p>
    <w:p w14:paraId="2DE2C2C6" w14:textId="46F0A8F7" w:rsidR="003749F7" w:rsidRPr="001B1007" w:rsidRDefault="003749F7" w:rsidP="003749F7">
      <w:bookmarkStart w:id="104" w:name="_Hlk155263664"/>
      <w:r w:rsidRPr="001B1007">
        <w:t>The Office of Special Education Programs (OSEP) is continuing to use both results data and compliance data in making determinations in 202</w:t>
      </w:r>
      <w:r w:rsidR="00633B86">
        <w:t>4</w:t>
      </w:r>
      <w:r w:rsidRPr="001B1007">
        <w:t>, as it did for Part B determinations in 2014-202</w:t>
      </w:r>
      <w:r w:rsidR="00972967">
        <w:t>3</w:t>
      </w:r>
      <w:r w:rsidRPr="001B1007">
        <w:t xml:space="preserve">. </w:t>
      </w:r>
      <w:bookmarkEnd w:id="104"/>
      <w:r>
        <w:t>(</w:t>
      </w:r>
      <w:r w:rsidRPr="001B1007">
        <w:t xml:space="preserve">The specifics of the determination procedures and criteria are set forth in the HTDMD document and reflected in the RDA Matrix for </w:t>
      </w:r>
      <w:r>
        <w:t>Colorado</w:t>
      </w:r>
      <w:r w:rsidRPr="001B1007">
        <w:t xml:space="preserve">). </w:t>
      </w:r>
    </w:p>
    <w:p w14:paraId="71E73B7B" w14:textId="2C9DE7CC" w:rsidR="003749F7" w:rsidRPr="001B1007" w:rsidRDefault="003749F7" w:rsidP="003749F7">
      <w:r w:rsidRPr="001B1007">
        <w:t>In making Part B determinations in 202</w:t>
      </w:r>
      <w:r w:rsidR="00E55A61">
        <w:t>4</w:t>
      </w:r>
      <w:r w:rsidRPr="001B1007">
        <w:t xml:space="preserve">, OSEP continued to use results data related to: </w:t>
      </w:r>
    </w:p>
    <w:p w14:paraId="4927095A" w14:textId="5B273E17" w:rsidR="003749F7" w:rsidRPr="001B1007" w:rsidRDefault="003749F7" w:rsidP="00E55A61">
      <w:pPr>
        <w:pStyle w:val="ListParagraph"/>
        <w:numPr>
          <w:ilvl w:val="0"/>
          <w:numId w:val="10"/>
        </w:numPr>
        <w:spacing w:before="120" w:after="0"/>
        <w:contextualSpacing w:val="0"/>
      </w:pPr>
      <w:bookmarkStart w:id="105" w:name="_Hlk6923073"/>
      <w:r w:rsidRPr="001B1007">
        <w:t>the participation and performance of CWD on the most recently administered (school year 2021-2022) National Assessment of Educational Progress (NAEP)</w:t>
      </w:r>
      <w:r w:rsidR="00633B86">
        <w:t>,</w:t>
      </w:r>
      <w:r w:rsidR="00E55A61">
        <w:t xml:space="preserve"> as applicable</w:t>
      </w:r>
      <w:r w:rsidRPr="001B1007">
        <w:t xml:space="preserve"> (For the 202</w:t>
      </w:r>
      <w:r w:rsidR="00E55A61">
        <w:t>4</w:t>
      </w:r>
      <w:r w:rsidRPr="001B1007">
        <w:t xml:space="preserve"> determinations, OSEP using results data on the participation and performance of children with disabilities on the NAEP for the 50 States, the District of Columbia, and Puerto Rico. OSEP us</w:t>
      </w:r>
      <w:r w:rsidR="00E55A61">
        <w:t>ed</w:t>
      </w:r>
      <w:r w:rsidRPr="001B1007">
        <w:t xml:space="preserve"> the </w:t>
      </w:r>
      <w:r w:rsidR="00E55A61">
        <w:t xml:space="preserve">available </w:t>
      </w:r>
      <w:r w:rsidRPr="001B1007">
        <w:t xml:space="preserve">NAEP data </w:t>
      </w:r>
      <w:r w:rsidR="00E55A61">
        <w:t>for</w:t>
      </w:r>
      <w:r w:rsidRPr="001B1007">
        <w:t xml:space="preserve"> </w:t>
      </w:r>
      <w:r w:rsidR="00E55A61">
        <w:t xml:space="preserve">Puerto Rico in making </w:t>
      </w:r>
      <w:r w:rsidRPr="001B1007">
        <w:t xml:space="preserve">Puerto Rico’s </w:t>
      </w:r>
      <w:r w:rsidR="00E55A61">
        <w:t xml:space="preserve">2024 </w:t>
      </w:r>
      <w:r w:rsidRPr="001B1007">
        <w:t xml:space="preserve">determination as </w:t>
      </w:r>
      <w:r w:rsidR="00E55A61">
        <w:t xml:space="preserve">it did for Puerto Rico’s 2023 determination. </w:t>
      </w:r>
      <w:r w:rsidRPr="001B1007">
        <w:t>OSEP did not use NAEP data in making the BIE’s 202</w:t>
      </w:r>
      <w:r w:rsidR="00E55A61">
        <w:t>4</w:t>
      </w:r>
      <w:r w:rsidRPr="001B1007">
        <w:t xml:space="preserve"> determination because the NAEP data available for the BIE were not comparable to the NAEP data available for the 50 States, the District of Columbia, and Puerto Rico; specifically, the most recently administered NAEP for the BIE is 2019, whereas the most recently administered NAEP for the 50 States, the District of Columbia, and Puerto Rico is 2022.)</w:t>
      </w:r>
    </w:p>
    <w:bookmarkEnd w:id="105"/>
    <w:p w14:paraId="799EADBD" w14:textId="77777777" w:rsidR="003749F7" w:rsidRPr="001B1007" w:rsidRDefault="003749F7">
      <w:pPr>
        <w:pStyle w:val="ListParagraph"/>
        <w:numPr>
          <w:ilvl w:val="0"/>
          <w:numId w:val="10"/>
        </w:numPr>
        <w:spacing w:before="120" w:after="0"/>
        <w:contextualSpacing w:val="0"/>
      </w:pPr>
      <w:r w:rsidRPr="001B1007">
        <w:t xml:space="preserve">the percentage of CWD who graduated with a regular high school diploma; and </w:t>
      </w:r>
    </w:p>
    <w:p w14:paraId="577C2904" w14:textId="77777777" w:rsidR="003749F7" w:rsidRPr="001B1007" w:rsidRDefault="003749F7">
      <w:pPr>
        <w:pStyle w:val="ListParagraph"/>
        <w:numPr>
          <w:ilvl w:val="0"/>
          <w:numId w:val="10"/>
        </w:numPr>
        <w:spacing w:before="120" w:after="0"/>
        <w:contextualSpacing w:val="0"/>
      </w:pPr>
      <w:r w:rsidRPr="001B1007">
        <w:t xml:space="preserve">the percentage of CWD who dropped out. </w:t>
      </w:r>
    </w:p>
    <w:p w14:paraId="5C507B88" w14:textId="31629AD4" w:rsidR="00745A63" w:rsidRDefault="00745A63" w:rsidP="00CC6999">
      <w:bookmarkStart w:id="106" w:name="_Hlk168481627"/>
      <w:r>
        <w:t>For the 2024 IDEA Part B determinations, OSEP also considered participation of CWD on Statewide assessments (which include the regular assessment and the alternate assessment). While the participation rates of CWD on Statewide assessments were a factor in each State or Entity’s 2024 Part B Results Matrix, no State or Entity received a Needs Intervention determination in 2024 due solely to this criterion. However, this criterion will be fully incorporated beginning with the 2025 determinations.</w:t>
      </w:r>
    </w:p>
    <w:bookmarkEnd w:id="106"/>
    <w:p w14:paraId="402FC587" w14:textId="77777777" w:rsidR="003749F7" w:rsidRPr="001B1007" w:rsidRDefault="003749F7" w:rsidP="003749F7">
      <w:r w:rsidRPr="001B1007">
        <w:t xml:space="preserve">You may access the results of OSEP’s review of </w:t>
      </w:r>
      <w:r w:rsidRPr="00BE0983">
        <w:t>Colorado's</w:t>
      </w:r>
      <w:r w:rsidRPr="001B1007">
        <w:t xml:space="preserve"> SPP/APR and other relevant data by accessing the E</w:t>
      </w:r>
      <w:r w:rsidRPr="00CC6999">
        <w:rPr>
          <w:i/>
          <w:iCs/>
        </w:rPr>
        <w:t>MAPS</w:t>
      </w:r>
      <w:r w:rsidRPr="001B1007">
        <w:t xml:space="preserve"> SPP/APR reporting tool using your </w:t>
      </w:r>
      <w:r>
        <w:t>Colorado</w:t>
      </w:r>
      <w:r w:rsidRPr="001B1007">
        <w:t xml:space="preserve">-specific log-on information at </w:t>
      </w:r>
      <w:hyperlink r:id="rId17" w:tooltip="EMAPS SPP/APR reporting tool" w:history="1">
        <w:r w:rsidRPr="007367EC">
          <w:rPr>
            <w:rStyle w:val="Hyperlink"/>
            <w:color w:val="auto"/>
            <w:szCs w:val="24"/>
          </w:rPr>
          <w:t>https://emaps.ed.gov/suite/</w:t>
        </w:r>
      </w:hyperlink>
      <w:r w:rsidRPr="001B1007">
        <w:t xml:space="preserve">. When you access </w:t>
      </w:r>
      <w:r w:rsidRPr="00BE0983">
        <w:t>Colorado's</w:t>
      </w:r>
      <w:r>
        <w:t xml:space="preserve"> </w:t>
      </w:r>
      <w:r w:rsidRPr="001B1007">
        <w:t xml:space="preserve">SPP/APR on the site, you will find, in applicable Indicators 1 through 17, the OSEP Response to the indicator and any actions that </w:t>
      </w:r>
      <w:r>
        <w:t>Colorado</w:t>
      </w:r>
      <w:r w:rsidRPr="001B1007">
        <w:t xml:space="preserve"> is required to take. The actions that </w:t>
      </w:r>
      <w:r>
        <w:t>Colorado</w:t>
      </w:r>
      <w:r w:rsidRPr="001B1007">
        <w:t xml:space="preserve"> is required to take </w:t>
      </w:r>
      <w:r w:rsidRPr="001B1007">
        <w:rPr>
          <w:szCs w:val="24"/>
        </w:rPr>
        <w:t>are in the “Required Actions” section of the indicator.</w:t>
      </w:r>
      <w:r w:rsidRPr="001B1007">
        <w:t xml:space="preserve"> </w:t>
      </w:r>
    </w:p>
    <w:p w14:paraId="03B9B4DF" w14:textId="77777777" w:rsidR="003749F7" w:rsidRPr="001B1007" w:rsidRDefault="003749F7" w:rsidP="003749F7">
      <w:r w:rsidRPr="001B1007">
        <w:t xml:space="preserve">It is important for you to review the Introduction to the SPP/APR, which may also include language in the “OSEP Response” and/or “Required Actions” sections. </w:t>
      </w:r>
    </w:p>
    <w:p w14:paraId="065C86E9" w14:textId="7E1A1857" w:rsidR="003749F7" w:rsidRPr="001B1007" w:rsidRDefault="003749F7" w:rsidP="003749F7">
      <w:r w:rsidRPr="001B1007">
        <w:t xml:space="preserve">You will also find the following important documents </w:t>
      </w:r>
      <w:r w:rsidR="00C941CA">
        <w:t>in the Determinations Enclosures section</w:t>
      </w:r>
      <w:r w:rsidRPr="001B1007">
        <w:t xml:space="preserve">: </w:t>
      </w:r>
    </w:p>
    <w:p w14:paraId="26B05F74" w14:textId="77777777" w:rsidR="003749F7" w:rsidRPr="001B1007" w:rsidRDefault="003749F7">
      <w:pPr>
        <w:pStyle w:val="ListParagraph"/>
        <w:numPr>
          <w:ilvl w:val="0"/>
          <w:numId w:val="11"/>
        </w:numPr>
        <w:spacing w:before="120" w:after="0"/>
        <w:contextualSpacing w:val="0"/>
      </w:pPr>
      <w:r w:rsidRPr="00BE0983">
        <w:t>Colorado's</w:t>
      </w:r>
      <w:r w:rsidRPr="001B1007">
        <w:t xml:space="preserve"> RDA </w:t>
      </w:r>
      <w:proofErr w:type="gramStart"/>
      <w:r w:rsidRPr="001B1007">
        <w:t>Matrix;</w:t>
      </w:r>
      <w:proofErr w:type="gramEnd"/>
      <w:r w:rsidRPr="001B1007">
        <w:t xml:space="preserve"> </w:t>
      </w:r>
    </w:p>
    <w:p w14:paraId="574AB191" w14:textId="4A24C268" w:rsidR="003749F7" w:rsidRPr="001B1007" w:rsidRDefault="003749F7">
      <w:pPr>
        <w:pStyle w:val="ListParagraph"/>
        <w:numPr>
          <w:ilvl w:val="0"/>
          <w:numId w:val="11"/>
        </w:numPr>
        <w:spacing w:before="120" w:after="0"/>
        <w:contextualSpacing w:val="0"/>
      </w:pPr>
      <w:r w:rsidRPr="001B1007">
        <w:t xml:space="preserve">the HTDMD </w:t>
      </w:r>
      <w:hyperlink r:id="rId18" w:history="1">
        <w:r w:rsidR="00C941CA" w:rsidRPr="00512718">
          <w:rPr>
            <w:rStyle w:val="Hyperlink"/>
          </w:rPr>
          <w:t>link</w:t>
        </w:r>
      </w:hyperlink>
      <w:r w:rsidRPr="001B1007">
        <w:t xml:space="preserve">; </w:t>
      </w:r>
    </w:p>
    <w:p w14:paraId="678AEC01" w14:textId="466DBA66" w:rsidR="003749F7" w:rsidRPr="001B1007" w:rsidRDefault="003749F7">
      <w:pPr>
        <w:pStyle w:val="ListParagraph"/>
        <w:numPr>
          <w:ilvl w:val="0"/>
          <w:numId w:val="11"/>
        </w:numPr>
        <w:spacing w:before="120" w:after="0"/>
        <w:contextualSpacing w:val="0"/>
      </w:pPr>
      <w:r w:rsidRPr="001B1007">
        <w:lastRenderedPageBreak/>
        <w:t>“202</w:t>
      </w:r>
      <w:r w:rsidR="007D0AB6">
        <w:t>4</w:t>
      </w:r>
      <w:r w:rsidRPr="001B1007">
        <w:t xml:space="preserve"> Data Rubric Part B,” which shows how OSEP calculated </w:t>
      </w:r>
      <w:proofErr w:type="gramStart"/>
      <w:r w:rsidRPr="00BE0983">
        <w:t>Colorado's</w:t>
      </w:r>
      <w:r>
        <w:t xml:space="preserve"> </w:t>
      </w:r>
      <w:r w:rsidRPr="001B1007">
        <w:t xml:space="preserve"> “</w:t>
      </w:r>
      <w:proofErr w:type="gramEnd"/>
      <w:r w:rsidRPr="001B1007">
        <w:t>Timely and Accurate State-Reported Data” score in the Compliance Matrix; and</w:t>
      </w:r>
    </w:p>
    <w:p w14:paraId="578CC485" w14:textId="6FC92831" w:rsidR="003749F7" w:rsidRPr="001B1007" w:rsidRDefault="003749F7">
      <w:pPr>
        <w:numPr>
          <w:ilvl w:val="0"/>
          <w:numId w:val="11"/>
        </w:numPr>
        <w:spacing w:before="120" w:after="120"/>
        <w:rPr>
          <w:szCs w:val="24"/>
        </w:rPr>
      </w:pPr>
      <w:r w:rsidRPr="001B1007">
        <w:rPr>
          <w:szCs w:val="24"/>
        </w:rPr>
        <w:t>“Dispute Resolution 202</w:t>
      </w:r>
      <w:r w:rsidR="007D0AB6">
        <w:rPr>
          <w:szCs w:val="24"/>
        </w:rPr>
        <w:t>2</w:t>
      </w:r>
      <w:r w:rsidRPr="001B1007">
        <w:rPr>
          <w:szCs w:val="24"/>
        </w:rPr>
        <w:t>-202</w:t>
      </w:r>
      <w:r w:rsidR="007D0AB6">
        <w:rPr>
          <w:szCs w:val="24"/>
        </w:rPr>
        <w:t>3</w:t>
      </w:r>
      <w:r w:rsidRPr="001B1007">
        <w:rPr>
          <w:szCs w:val="24"/>
        </w:rPr>
        <w:t xml:space="preserve">,” which includes the IDEA Section 618 data that OSEP used to calculate the </w:t>
      </w:r>
      <w:r>
        <w:rPr>
          <w:szCs w:val="24"/>
        </w:rPr>
        <w:t>Colorado's</w:t>
      </w:r>
      <w:r w:rsidRPr="001B1007">
        <w:rPr>
          <w:szCs w:val="24"/>
        </w:rPr>
        <w:t xml:space="preserve"> “Timely State Complaint Decisions” and “Timely Due Process Hearing Decisions” scores in the Compliance Matrix. </w:t>
      </w:r>
    </w:p>
    <w:p w14:paraId="488B63E9" w14:textId="41995147" w:rsidR="003749F7" w:rsidRPr="001B1007" w:rsidRDefault="003749F7" w:rsidP="003749F7">
      <w:r w:rsidRPr="001B1007">
        <w:t xml:space="preserve">As noted above, </w:t>
      </w:r>
      <w:r w:rsidRPr="00BE0983">
        <w:t>Colorado's</w:t>
      </w:r>
      <w:r w:rsidRPr="001B1007">
        <w:t xml:space="preserve"> 202</w:t>
      </w:r>
      <w:r w:rsidR="007D0AB6">
        <w:t>4</w:t>
      </w:r>
      <w:r w:rsidRPr="001B1007">
        <w:t xml:space="preserve"> determination is Needs Assistance. A State</w:t>
      </w:r>
      <w:r w:rsidR="001150B3">
        <w:t>’s</w:t>
      </w:r>
      <w:r w:rsidRPr="001B1007">
        <w:t xml:space="preserve"> or Entity’s 202</w:t>
      </w:r>
      <w:r w:rsidR="007D0AB6">
        <w:t>4</w:t>
      </w:r>
      <w:r w:rsidRPr="001B1007">
        <w:t xml:space="preserve"> RDA </w:t>
      </w:r>
      <w:proofErr w:type="gramStart"/>
      <w:r w:rsidRPr="001B1007">
        <w:t>Determination is</w:t>
      </w:r>
      <w:proofErr w:type="gramEnd"/>
      <w:r w:rsidRPr="001B1007">
        <w:t xml:space="preserve"> Needs Assistance if the RDA Percentage is at least 60% but less than 80%. A State</w:t>
      </w:r>
      <w:r>
        <w:t xml:space="preserve"> or Entity</w:t>
      </w:r>
      <w:r w:rsidRPr="001B1007">
        <w:t>’s determination would also be Needs Assistance if its RDA Determination percentage is 80% or above but the Department has imposed Specific Conditions on the State</w:t>
      </w:r>
      <w:r w:rsidR="001150B3">
        <w:t>’s</w:t>
      </w:r>
      <w:r w:rsidRPr="001B1007">
        <w:t xml:space="preserve"> or Entity’s last three IDEA Part B grant awards (for FFYs 202</w:t>
      </w:r>
      <w:r w:rsidR="007D0AB6">
        <w:t>1</w:t>
      </w:r>
      <w:r w:rsidRPr="001B1007">
        <w:t>, 202</w:t>
      </w:r>
      <w:r w:rsidR="007D0AB6">
        <w:t>2</w:t>
      </w:r>
      <w:r w:rsidRPr="001B1007">
        <w:t>, and 202</w:t>
      </w:r>
      <w:r w:rsidR="007D0AB6">
        <w:t>3</w:t>
      </w:r>
      <w:r w:rsidRPr="001B1007">
        <w:t>), and those Specific Conditions are in effect at the time of the 202</w:t>
      </w:r>
      <w:r w:rsidR="007D0AB6">
        <w:t>4</w:t>
      </w:r>
      <w:r w:rsidRPr="001B1007">
        <w:t xml:space="preserve"> determination.</w:t>
      </w:r>
    </w:p>
    <w:p w14:paraId="0D4D4518" w14:textId="12886215" w:rsidR="003749F7" w:rsidRPr="001B1007" w:rsidRDefault="003749F7" w:rsidP="003749F7">
      <w:pPr>
        <w:rPr>
          <w:rFonts w:eastAsia="Calibri"/>
        </w:rPr>
      </w:pPr>
      <w:r w:rsidRPr="008005F5">
        <w:t>Colorado's</w:t>
      </w:r>
      <w:r>
        <w:t xml:space="preserve"> </w:t>
      </w:r>
      <w:r w:rsidRPr="001B1007">
        <w:rPr>
          <w:rFonts w:eastAsia="Calibri"/>
        </w:rPr>
        <w:t>determination for 202</w:t>
      </w:r>
      <w:r w:rsidR="005D41B6">
        <w:rPr>
          <w:rFonts w:eastAsia="Calibri"/>
        </w:rPr>
        <w:t>3</w:t>
      </w:r>
      <w:r w:rsidRPr="001B1007">
        <w:rPr>
          <w:rFonts w:eastAsia="Calibri"/>
        </w:rPr>
        <w:t xml:space="preserve"> was also Needs Assistance. In accordance with Section 616(e)(1) of the IDEA and 34 C.F.R. §300.604(a), if a State or Entity is determined to need assistance for two consecutive years, the Secretary must take one or more of the following actions: </w:t>
      </w:r>
    </w:p>
    <w:p w14:paraId="68607193" w14:textId="77777777" w:rsidR="003749F7" w:rsidRPr="001B1007" w:rsidRDefault="003749F7">
      <w:pPr>
        <w:numPr>
          <w:ilvl w:val="0"/>
          <w:numId w:val="16"/>
        </w:numPr>
        <w:spacing w:before="120" w:after="120"/>
        <w:rPr>
          <w:rFonts w:eastAsia="Times New Roman"/>
          <w:szCs w:val="24"/>
        </w:rPr>
      </w:pPr>
      <w:r w:rsidRPr="001B1007">
        <w:rPr>
          <w:szCs w:val="24"/>
        </w:rPr>
        <w:t xml:space="preserve">advise the State or Entity of available sources of technical assistance that may help the State or Entity address the areas in which the State or Entity needs assistance and require the State </w:t>
      </w:r>
      <w:r>
        <w:rPr>
          <w:szCs w:val="24"/>
        </w:rPr>
        <w:t xml:space="preserve">or Entity </w:t>
      </w:r>
      <w:r w:rsidRPr="001B1007">
        <w:rPr>
          <w:szCs w:val="24"/>
        </w:rPr>
        <w:t xml:space="preserve">to work with appropriate </w:t>
      </w:r>
      <w:proofErr w:type="gramStart"/>
      <w:r w:rsidRPr="001B1007">
        <w:rPr>
          <w:szCs w:val="24"/>
        </w:rPr>
        <w:t>entities;</w:t>
      </w:r>
      <w:proofErr w:type="gramEnd"/>
      <w:r w:rsidRPr="001B1007">
        <w:rPr>
          <w:szCs w:val="24"/>
        </w:rPr>
        <w:t xml:space="preserve"> </w:t>
      </w:r>
    </w:p>
    <w:p w14:paraId="56F1F5A8" w14:textId="77777777" w:rsidR="003749F7" w:rsidRPr="001B1007" w:rsidRDefault="003749F7">
      <w:pPr>
        <w:numPr>
          <w:ilvl w:val="0"/>
          <w:numId w:val="16"/>
        </w:numPr>
        <w:spacing w:before="120" w:after="120"/>
        <w:rPr>
          <w:szCs w:val="24"/>
        </w:rPr>
      </w:pPr>
      <w:r w:rsidRPr="001B1007">
        <w:rPr>
          <w:szCs w:val="24"/>
        </w:rPr>
        <w:t xml:space="preserve">direct the use of State-level funds on the area or areas in which the State or Entity needs assistance; or </w:t>
      </w:r>
    </w:p>
    <w:p w14:paraId="1B6A2565" w14:textId="71DCD4AF" w:rsidR="003749F7" w:rsidRPr="001B1007" w:rsidRDefault="003749F7">
      <w:pPr>
        <w:numPr>
          <w:ilvl w:val="0"/>
          <w:numId w:val="16"/>
        </w:numPr>
        <w:spacing w:before="120" w:after="120"/>
        <w:rPr>
          <w:szCs w:val="24"/>
        </w:rPr>
      </w:pPr>
      <w:r w:rsidRPr="001B1007">
        <w:rPr>
          <w:szCs w:val="24"/>
        </w:rPr>
        <w:t>identify the State or Entity as a high-risk grantee and impose Specific Conditions on the State</w:t>
      </w:r>
      <w:r w:rsidR="001150B3">
        <w:rPr>
          <w:szCs w:val="24"/>
        </w:rPr>
        <w:t>’s</w:t>
      </w:r>
      <w:r w:rsidRPr="001B1007">
        <w:rPr>
          <w:szCs w:val="24"/>
        </w:rPr>
        <w:t xml:space="preserve"> or Entity’s IDEA Part B grant award.</w:t>
      </w:r>
    </w:p>
    <w:p w14:paraId="522954BA" w14:textId="29689717" w:rsidR="003749F7" w:rsidRPr="001B1007" w:rsidRDefault="003749F7" w:rsidP="003749F7">
      <w:pPr>
        <w:rPr>
          <w:rFonts w:eastAsia="Calibri"/>
        </w:rPr>
      </w:pPr>
      <w:r w:rsidRPr="001B1007">
        <w:rPr>
          <w:rFonts w:eastAsia="Calibri"/>
        </w:rPr>
        <w:t xml:space="preserve">Pursuant to these requirements, the Secretary is advising </w:t>
      </w:r>
      <w:r>
        <w:t>Colorado</w:t>
      </w:r>
      <w:r w:rsidRPr="001B1007">
        <w:rPr>
          <w:rFonts w:eastAsia="Calibri"/>
        </w:rPr>
        <w:t xml:space="preserve"> of available sources of technical assistance, including OSEP-funded technical assistance centers and resources at the following websites: </w:t>
      </w:r>
      <w:bookmarkStart w:id="107" w:name="_Hlk75275845"/>
      <w:r w:rsidRPr="001B1007">
        <w:fldChar w:fldCharType="begin"/>
      </w:r>
      <w:r w:rsidRPr="001B1007">
        <w:instrText>HYPERLINK "https://osepideasthatwork.org/resources-grantees/program-areas/monitoring-and-state-improvement-planning-msip?tab=pa-resources"</w:instrText>
      </w:r>
      <w:r w:rsidRPr="001B1007">
        <w:fldChar w:fldCharType="separate"/>
      </w:r>
      <w:r w:rsidRPr="007367EC">
        <w:rPr>
          <w:rStyle w:val="Hyperlink"/>
          <w:color w:val="auto"/>
        </w:rPr>
        <w:t>Monitoring and State Improvement Planning (MSIP) | OSEP Ideas That Work</w:t>
      </w:r>
      <w:r w:rsidRPr="001B1007">
        <w:fldChar w:fldCharType="end"/>
      </w:r>
      <w:r w:rsidRPr="001B1007">
        <w:t xml:space="preserve">, </w:t>
      </w:r>
      <w:hyperlink r:id="rId19" w:history="1">
        <w:r w:rsidRPr="007367EC">
          <w:rPr>
            <w:rStyle w:val="Hyperlink"/>
            <w:color w:val="auto"/>
          </w:rPr>
          <w:t>Individuals with Disabilities Education Act (IDEA) Topic Areas</w:t>
        </w:r>
      </w:hyperlink>
      <w:bookmarkEnd w:id="107"/>
      <w:r w:rsidRPr="001B1007">
        <w:rPr>
          <w:rFonts w:eastAsia="Calibri"/>
        </w:rPr>
        <w:t xml:space="preserve">, and requiring </w:t>
      </w:r>
      <w:r>
        <w:t>Colorado</w:t>
      </w:r>
      <w:r w:rsidRPr="001B1007">
        <w:rPr>
          <w:rFonts w:eastAsia="Calibri"/>
        </w:rPr>
        <w:t xml:space="preserve"> to work with appropriate entities. In addition, </w:t>
      </w:r>
      <w:r>
        <w:t>Colorado</w:t>
      </w:r>
      <w:r w:rsidRPr="001B1007">
        <w:t xml:space="preserve"> </w:t>
      </w:r>
      <w:r w:rsidRPr="001B1007">
        <w:rPr>
          <w:rFonts w:eastAsia="Calibri"/>
        </w:rPr>
        <w:t xml:space="preserve">should consider accessing technical assistance from other Department-funded centers such as the Comprehensive Centers with resources at the following link: </w:t>
      </w:r>
      <w:hyperlink r:id="rId20" w:tooltip="Comprehensive Centers" w:history="1">
        <w:r w:rsidRPr="007367EC">
          <w:rPr>
            <w:rStyle w:val="Hyperlink"/>
            <w:rFonts w:eastAsia="Calibri"/>
            <w:color w:val="auto"/>
          </w:rPr>
          <w:t>https://compcenternetwork.org/states</w:t>
        </w:r>
      </w:hyperlink>
      <w:r w:rsidRPr="001B1007">
        <w:rPr>
          <w:rFonts w:eastAsia="Calibri"/>
        </w:rPr>
        <w:t xml:space="preserve">. The Secretary directs </w:t>
      </w:r>
      <w:r>
        <w:t>Colorado</w:t>
      </w:r>
      <w:r w:rsidRPr="001B1007">
        <w:t xml:space="preserve"> </w:t>
      </w:r>
      <w:r w:rsidRPr="001B1007">
        <w:rPr>
          <w:rFonts w:eastAsia="Calibri"/>
        </w:rPr>
        <w:t xml:space="preserve">to determine the results elements and/or compliance indicators, and improvement strategies, on which it will focus its use of available technical assistance, </w:t>
      </w:r>
      <w:proofErr w:type="gramStart"/>
      <w:r w:rsidRPr="001B1007">
        <w:rPr>
          <w:rFonts w:eastAsia="Calibri"/>
        </w:rPr>
        <w:t>in order to</w:t>
      </w:r>
      <w:proofErr w:type="gramEnd"/>
      <w:r w:rsidRPr="001B1007">
        <w:rPr>
          <w:rFonts w:eastAsia="Calibri"/>
        </w:rPr>
        <w:t xml:space="preserve"> improve its performance. We strongly encourage </w:t>
      </w:r>
      <w:r>
        <w:t>Colorado</w:t>
      </w:r>
      <w:r w:rsidRPr="001B1007">
        <w:rPr>
          <w:rFonts w:eastAsia="Calibri"/>
        </w:rPr>
        <w:t xml:space="preserve"> to access technical assistance related to those results elements and compliance indicators for which it received a score of zero. </w:t>
      </w:r>
      <w:r>
        <w:t>Colorado</w:t>
      </w:r>
      <w:r w:rsidRPr="001B1007">
        <w:rPr>
          <w:rFonts w:eastAsia="Calibri"/>
        </w:rPr>
        <w:t xml:space="preserve"> must report with its FFY 202</w:t>
      </w:r>
      <w:r w:rsidR="001150B3">
        <w:rPr>
          <w:rFonts w:eastAsia="Calibri"/>
        </w:rPr>
        <w:t>3</w:t>
      </w:r>
      <w:r w:rsidRPr="001B1007">
        <w:rPr>
          <w:rFonts w:eastAsia="Calibri"/>
        </w:rPr>
        <w:t xml:space="preserve"> SPP/APR submission, due February 1, 202</w:t>
      </w:r>
      <w:r w:rsidR="001150B3">
        <w:rPr>
          <w:rFonts w:eastAsia="Calibri"/>
        </w:rPr>
        <w:t>5</w:t>
      </w:r>
      <w:r w:rsidRPr="001B1007">
        <w:rPr>
          <w:rFonts w:eastAsia="Calibri"/>
        </w:rPr>
        <w:t xml:space="preserve">, on: </w:t>
      </w:r>
    </w:p>
    <w:p w14:paraId="16A456E3" w14:textId="77777777" w:rsidR="003749F7" w:rsidRPr="001B1007" w:rsidRDefault="003749F7">
      <w:pPr>
        <w:numPr>
          <w:ilvl w:val="0"/>
          <w:numId w:val="8"/>
        </w:numPr>
        <w:spacing w:before="120" w:after="120"/>
        <w:rPr>
          <w:rFonts w:eastAsia="Calibri"/>
          <w:szCs w:val="24"/>
        </w:rPr>
      </w:pPr>
      <w:r w:rsidRPr="001B1007">
        <w:rPr>
          <w:rFonts w:eastAsia="Calibri"/>
          <w:szCs w:val="24"/>
        </w:rPr>
        <w:t xml:space="preserve">the technical assistance sources from which </w:t>
      </w:r>
      <w:r>
        <w:t>Colorado</w:t>
      </w:r>
      <w:r w:rsidRPr="001B1007">
        <w:t xml:space="preserve"> </w:t>
      </w:r>
      <w:r w:rsidRPr="001B1007">
        <w:rPr>
          <w:rFonts w:eastAsia="Calibri"/>
          <w:szCs w:val="24"/>
        </w:rPr>
        <w:t xml:space="preserve">received assistance; and </w:t>
      </w:r>
    </w:p>
    <w:p w14:paraId="39A60AD9" w14:textId="77777777" w:rsidR="003749F7" w:rsidRPr="001B1007" w:rsidRDefault="003749F7">
      <w:pPr>
        <w:numPr>
          <w:ilvl w:val="0"/>
          <w:numId w:val="8"/>
        </w:numPr>
        <w:spacing w:before="120" w:after="120"/>
        <w:rPr>
          <w:rFonts w:eastAsia="Calibri"/>
          <w:szCs w:val="24"/>
        </w:rPr>
      </w:pPr>
      <w:r w:rsidRPr="001B1007">
        <w:rPr>
          <w:rFonts w:eastAsia="Calibri"/>
          <w:szCs w:val="24"/>
        </w:rPr>
        <w:t xml:space="preserve">the actions </w:t>
      </w:r>
      <w:r>
        <w:t>Colorado</w:t>
      </w:r>
      <w:r w:rsidRPr="001B1007">
        <w:t xml:space="preserve"> </w:t>
      </w:r>
      <w:r w:rsidRPr="001B1007">
        <w:rPr>
          <w:rFonts w:eastAsia="Calibri"/>
          <w:szCs w:val="24"/>
        </w:rPr>
        <w:t xml:space="preserve">took </w:t>
      </w:r>
      <w:proofErr w:type="gramStart"/>
      <w:r w:rsidRPr="001B1007">
        <w:rPr>
          <w:rFonts w:eastAsia="Calibri"/>
          <w:szCs w:val="24"/>
        </w:rPr>
        <w:t>as a result of</w:t>
      </w:r>
      <w:proofErr w:type="gramEnd"/>
      <w:r w:rsidRPr="001B1007">
        <w:rPr>
          <w:rFonts w:eastAsia="Calibri"/>
          <w:szCs w:val="24"/>
        </w:rPr>
        <w:t xml:space="preserve"> that technical assistance.</w:t>
      </w:r>
    </w:p>
    <w:p w14:paraId="31FAEC24" w14:textId="2C790BB3" w:rsidR="003749F7" w:rsidRPr="001B1007" w:rsidRDefault="003749F7" w:rsidP="003749F7">
      <w:pPr>
        <w:rPr>
          <w:rFonts w:eastAsia="Times New Roman"/>
        </w:rPr>
      </w:pPr>
      <w:r w:rsidRPr="001B1007">
        <w:t xml:space="preserve">As required by IDEA Section 616(e)(7) and 34 C.F.R. §300.606, </w:t>
      </w:r>
      <w:r>
        <w:t>Colorado</w:t>
      </w:r>
      <w:r w:rsidRPr="001B1007">
        <w:t xml:space="preserve"> must notify the public that the Secretary of Education has taken the above enforcement actions, including, at a minimum, by posting a public notice on its website and distributing the notice to the media and through public agencies.</w:t>
      </w:r>
    </w:p>
    <w:p w14:paraId="1D47011F" w14:textId="77777777" w:rsidR="0045468C" w:rsidRDefault="0045468C" w:rsidP="0045468C">
      <w:r w:rsidRPr="001B1007">
        <w:t xml:space="preserve">IDEA determinations provide an opportunity for all stakeholders to examine State data as that data </w:t>
      </w:r>
      <w:proofErr w:type="gramStart"/>
      <w:r w:rsidRPr="001B1007">
        <w:t>relate</w:t>
      </w:r>
      <w:proofErr w:type="gramEnd"/>
      <w:r w:rsidRPr="001B1007">
        <w:t xml:space="preserve"> to improving outcomes for infants, toddlers, children, and youth with disabilities. The Department encourages stakeholders to review State SPP/APR data and other available data as part of the focus on improving equitable outcomes for infants, toddlers, children, and youth with disabilities. Key areas the Department encourages State and local personnel to review are access to high-quality intervention and instruction; effective implementation of individualized family service plans (IFSPs) and individualized education programs (IEPs), using data to drive decision-making, supporting strong relationship building with families, and actively addressing educator and other personnel shortages.</w:t>
      </w:r>
    </w:p>
    <w:p w14:paraId="4802C6AC" w14:textId="77777777" w:rsidR="00C941CA" w:rsidRDefault="00C941CA" w:rsidP="00C941CA">
      <w:r w:rsidRPr="001B1007">
        <w:t>For 2025 and beyond, the Department is considering three criteria related to IDEA Part B determinations as part of the Department’s continued efforts to incorporate equity and improve results for CWD. First, the Department is considering as a factor OSEP-identified longstanding noncompliance (i.e., unresolved findings issued by OSEP at least three or more years ago). This factor would be reflected in the determination for each State and Entity through the “longstanding noncompliance” section of the Compliance Matrix beginning with the 2025 determinations. In implementing this factor, the Department is also considering beginning in 2025 whether a State or Entity that would otherwise receive a score of Meets Requirements would not be able to receive a determination of Meets Requirements if the State or Entity had OSEP-identified longstanding noncompliance (i.e., unresolved findings issued by OSEP at least three or more years ago). Second, the Department is considering as potential additional factors the improvement in proficiency rates of CWD on Statewide assessments. Third, the Department is considering whether and how to continue including in its determinations criteria the participation and proficiency of CWD on the NAEP.</w:t>
      </w:r>
    </w:p>
    <w:p w14:paraId="2D8C881B" w14:textId="77777777" w:rsidR="00C941CA" w:rsidRDefault="00C941CA" w:rsidP="00C941CA">
      <w:r w:rsidRPr="001B1007">
        <w:t>For the FFY 2023 SPP/APR submission due on February 1, 2025, OSEP is providing the following information about the IDEA Section 618 data. The 2023-24 IDEA Section 618 Part B data submitted as of the due date will be used for the FFY 2023 SPP/APR and the 2025 IDEA Part B Results Matrix and States and Entities will not be able to resubmit their IDEA Section 618 data after the due date. The 2023-24 IDEA Section 618 Part B data will automatically be prepopulated in the SPP/APR reporting platform for Part B SPP/APR Indicators 3, 5, and 6 (as they have in the past). Under EDFacts Modernization, States and Entities are expected to submit high-quality IDEA Section 618 Part B data that can be published and used by the Department as of the due date. States and Entities are expected to conduct data quality reviews prior to the applicable due date. OSEP expects States and Entities to take one of the following actions for all business rules that are triggered in the EDPass or EMAPS system prior to the applicable due date: 1) revise the uploaded data to address the edit; or 2) provide a data note addressing why the data submission triggered the business rule. States and Entities will be unable to submit the IDEA Section 618 Part B data without taking one of these two actions. There will not be a resubmission period for the IDEA Section 618 Part B data.</w:t>
      </w:r>
    </w:p>
    <w:p w14:paraId="731228D5" w14:textId="1A4DB626" w:rsidR="003749F7" w:rsidRPr="001B1007" w:rsidRDefault="003749F7" w:rsidP="003749F7">
      <w:r w:rsidRPr="001B1007">
        <w:t xml:space="preserve">As a reminder, </w:t>
      </w:r>
      <w:r>
        <w:t>Colorado</w:t>
      </w:r>
      <w:r w:rsidRPr="001B1007">
        <w:t xml:space="preserve"> must report annually to the public, by posting on the State educational agency’s (SEA’s) website, the performance of each local educational agency (LEA) located in </w:t>
      </w:r>
      <w:r>
        <w:t>Colorado</w:t>
      </w:r>
      <w:r w:rsidRPr="001B1007">
        <w:t xml:space="preserve"> on the targets in the SPP/APR as soon as practicable, but no later than 120 days after </w:t>
      </w:r>
      <w:r w:rsidRPr="008005F5">
        <w:t>Colorado's</w:t>
      </w:r>
      <w:r>
        <w:t xml:space="preserve"> </w:t>
      </w:r>
      <w:r w:rsidRPr="001B1007">
        <w:t>submission of its FFY 202</w:t>
      </w:r>
      <w:r w:rsidR="00972967">
        <w:t>2</w:t>
      </w:r>
      <w:r w:rsidRPr="001B1007">
        <w:t xml:space="preserve"> SPP/APR. In addition, </w:t>
      </w:r>
      <w:r>
        <w:t>Colorado</w:t>
      </w:r>
      <w:r w:rsidRPr="001B1007">
        <w:t xml:space="preserve"> must: </w:t>
      </w:r>
    </w:p>
    <w:p w14:paraId="1AB572E9" w14:textId="77777777" w:rsidR="003749F7" w:rsidRPr="001B1007" w:rsidRDefault="003749F7">
      <w:pPr>
        <w:pStyle w:val="ListParagraph"/>
        <w:numPr>
          <w:ilvl w:val="0"/>
          <w:numId w:val="12"/>
        </w:numPr>
        <w:spacing w:before="120" w:after="0"/>
        <w:contextualSpacing w:val="0"/>
      </w:pPr>
      <w:r w:rsidRPr="001B1007">
        <w:t>review LEA performance against targets in the State’s SPP/</w:t>
      </w:r>
      <w:proofErr w:type="gramStart"/>
      <w:r w:rsidRPr="001B1007">
        <w:t>APR;</w:t>
      </w:r>
      <w:proofErr w:type="gramEnd"/>
      <w:r w:rsidRPr="001B1007">
        <w:t xml:space="preserve"> </w:t>
      </w:r>
    </w:p>
    <w:p w14:paraId="3E060E1D" w14:textId="77777777" w:rsidR="003749F7" w:rsidRPr="001B1007" w:rsidRDefault="003749F7">
      <w:pPr>
        <w:pStyle w:val="ListParagraph"/>
        <w:numPr>
          <w:ilvl w:val="0"/>
          <w:numId w:val="12"/>
        </w:numPr>
        <w:spacing w:before="120" w:after="0"/>
        <w:contextualSpacing w:val="0"/>
      </w:pPr>
      <w:r w:rsidRPr="001B1007">
        <w:lastRenderedPageBreak/>
        <w:t xml:space="preserve">determine if each LEA “meets the requirements” of Part B, or “needs assistance,” “needs intervention,” or “needs substantial intervention” in implementing Part B of the </w:t>
      </w:r>
      <w:proofErr w:type="gramStart"/>
      <w:r w:rsidRPr="001B1007">
        <w:t>IDEA;</w:t>
      </w:r>
      <w:proofErr w:type="gramEnd"/>
      <w:r w:rsidRPr="001B1007">
        <w:t xml:space="preserve"> </w:t>
      </w:r>
    </w:p>
    <w:p w14:paraId="09585497" w14:textId="77777777" w:rsidR="003749F7" w:rsidRPr="001B1007" w:rsidRDefault="003749F7">
      <w:pPr>
        <w:pStyle w:val="ListParagraph"/>
        <w:numPr>
          <w:ilvl w:val="0"/>
          <w:numId w:val="12"/>
        </w:numPr>
        <w:spacing w:before="120" w:after="0"/>
        <w:contextualSpacing w:val="0"/>
      </w:pPr>
      <w:r w:rsidRPr="001B1007">
        <w:t xml:space="preserve">take appropriate enforcement action; and </w:t>
      </w:r>
    </w:p>
    <w:p w14:paraId="1CB1E778" w14:textId="77777777" w:rsidR="003749F7" w:rsidRPr="001B1007" w:rsidRDefault="003749F7">
      <w:pPr>
        <w:pStyle w:val="ListParagraph"/>
        <w:numPr>
          <w:ilvl w:val="0"/>
          <w:numId w:val="12"/>
        </w:numPr>
        <w:spacing w:before="120" w:after="0"/>
        <w:contextualSpacing w:val="0"/>
      </w:pPr>
      <w:r w:rsidRPr="001B1007">
        <w:t xml:space="preserve">inform each LEA of its determination. </w:t>
      </w:r>
    </w:p>
    <w:p w14:paraId="7009AC6D" w14:textId="77777777" w:rsidR="003749F7" w:rsidRPr="001B1007" w:rsidRDefault="003749F7" w:rsidP="003749F7">
      <w:r w:rsidRPr="001B1007">
        <w:t xml:space="preserve">Further, </w:t>
      </w:r>
      <w:r>
        <w:t>Colorado</w:t>
      </w:r>
      <w:r w:rsidRPr="001B1007">
        <w:t xml:space="preserve"> must make its SPP/APR available to the public by posting it on the SEA’s website. Within the upcoming weeks, OSEP will be finalizing a State Profile that:</w:t>
      </w:r>
    </w:p>
    <w:p w14:paraId="5DCD3DB3" w14:textId="77777777" w:rsidR="003749F7" w:rsidRPr="001B1007" w:rsidRDefault="003749F7">
      <w:pPr>
        <w:pStyle w:val="ListParagraph"/>
        <w:numPr>
          <w:ilvl w:val="0"/>
          <w:numId w:val="13"/>
        </w:numPr>
        <w:spacing w:before="120" w:after="0"/>
        <w:contextualSpacing w:val="0"/>
      </w:pPr>
      <w:r w:rsidRPr="001B1007">
        <w:t xml:space="preserve">includes </w:t>
      </w:r>
      <w:r w:rsidRPr="008005F5">
        <w:t>Colorado's</w:t>
      </w:r>
      <w:r>
        <w:t xml:space="preserve"> determination letter and SPP/APR, OSEP attachments, and all State or Entity attachments that are accessible in accordance with Section 508 of the Rehabilitation Act of 1973; and </w:t>
      </w:r>
    </w:p>
    <w:p w14:paraId="25C4DDD0" w14:textId="77777777" w:rsidR="003749F7" w:rsidRPr="001B1007" w:rsidRDefault="003749F7">
      <w:pPr>
        <w:pStyle w:val="ListParagraph"/>
        <w:numPr>
          <w:ilvl w:val="0"/>
          <w:numId w:val="13"/>
        </w:numPr>
        <w:spacing w:before="120" w:after="0"/>
        <w:contextualSpacing w:val="0"/>
      </w:pPr>
      <w:r w:rsidRPr="001B1007">
        <w:t>will be accessible to the public via the ed.gov website.</w:t>
      </w:r>
    </w:p>
    <w:p w14:paraId="0C7E299D" w14:textId="77777777" w:rsidR="003749F7" w:rsidRPr="001B1007" w:rsidRDefault="003749F7" w:rsidP="003749F7">
      <w:r w:rsidRPr="001B1007">
        <w:t xml:space="preserve">OSEP appreciates </w:t>
      </w:r>
      <w:r w:rsidRPr="008005F5">
        <w:t>Colorado's</w:t>
      </w:r>
      <w:r w:rsidRPr="001B1007">
        <w:t xml:space="preserve"> efforts to improve results for children and youth with disabilities and looks forward to working with </w:t>
      </w:r>
      <w:r>
        <w:t>Colorado</w:t>
      </w:r>
      <w:r w:rsidRPr="001B1007">
        <w:t xml:space="preserve"> over the next year as we continue our important work of improving the lives of children with disabilities and their families. Please contact your OSEP State Lead if you have any questions, would like to discuss this further, or want to request technical assistance.</w:t>
      </w:r>
    </w:p>
    <w:p w14:paraId="5F0F3696" w14:textId="77777777" w:rsidR="003749F7" w:rsidRPr="001B1007" w:rsidRDefault="003749F7" w:rsidP="003749F7">
      <w:pPr>
        <w:keepNext/>
        <w:ind w:left="4680"/>
        <w:rPr>
          <w:szCs w:val="24"/>
        </w:rPr>
      </w:pPr>
      <w:r w:rsidRPr="001B1007">
        <w:rPr>
          <w:szCs w:val="24"/>
        </w:rPr>
        <w:t>Sincerely,</w:t>
      </w:r>
    </w:p>
    <w:p w14:paraId="65AE0E6D" w14:textId="77777777" w:rsidR="003749F7" w:rsidRPr="001B1007" w:rsidRDefault="003749F7" w:rsidP="003749F7">
      <w:pPr>
        <w:keepNext/>
        <w:spacing w:before="240"/>
        <w:ind w:left="4680"/>
        <w:rPr>
          <w:szCs w:val="24"/>
        </w:rPr>
      </w:pPr>
      <w:r>
        <w:rPr>
          <w:noProof/>
        </w:rPr>
        <w:drawing>
          <wp:inline distT="0" distB="0" distL="0" distR="0" wp14:anchorId="5F898211" wp14:editId="570CCBE8">
            <wp:extent cx="1922918" cy="336166"/>
            <wp:effectExtent l="0" t="0" r="1270" b="6985"/>
            <wp:docPr id="1" name="Picture 1" descr="A close up of a text  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 up of a text  Description automatically generated"/>
                    <pic:cNvPicPr>
                      <a:picLocks noChangeAspect="1" noChangeArrowheads="1"/>
                    </pic:cNvPicPr>
                  </pic:nvPicPr>
                  <pic:blipFill rotWithShape="1">
                    <a:blip r:embed="rId21" cstate="print">
                      <a:extLst>
                        <a:ext uri="{28A0092B-C50C-407E-A947-70E740481C1C}">
                          <a14:useLocalDpi xmlns:a14="http://schemas.microsoft.com/office/drawing/2010/main" val="0"/>
                        </a:ext>
                      </a:extLst>
                    </a:blip>
                    <a:srcRect t="19001" b="24041"/>
                    <a:stretch/>
                  </pic:blipFill>
                  <pic:spPr bwMode="auto">
                    <a:xfrm>
                      <a:off x="0" y="0"/>
                      <a:ext cx="1924050" cy="336364"/>
                    </a:xfrm>
                    <a:prstGeom prst="rect">
                      <a:avLst/>
                    </a:prstGeom>
                    <a:noFill/>
                    <a:ln>
                      <a:noFill/>
                    </a:ln>
                    <a:extLst>
                      <a:ext uri="{53640926-AAD7-44D8-BBD7-CCE9431645EC}">
                        <a14:shadowObscured xmlns:a14="http://schemas.microsoft.com/office/drawing/2010/main"/>
                      </a:ext>
                    </a:extLst>
                  </pic:spPr>
                </pic:pic>
              </a:graphicData>
            </a:graphic>
          </wp:inline>
        </w:drawing>
      </w:r>
    </w:p>
    <w:p w14:paraId="616C680D" w14:textId="77777777" w:rsidR="003749F7" w:rsidRPr="001B1007" w:rsidRDefault="003749F7" w:rsidP="003749F7">
      <w:pPr>
        <w:keepNext/>
        <w:pBdr>
          <w:top w:val="single" w:sz="4" w:space="1" w:color="auto"/>
        </w:pBdr>
        <w:spacing w:before="0"/>
        <w:ind w:left="4680"/>
        <w:rPr>
          <w:szCs w:val="24"/>
        </w:rPr>
      </w:pPr>
      <w:r w:rsidRPr="001B1007">
        <w:rPr>
          <w:szCs w:val="24"/>
        </w:rPr>
        <w:t xml:space="preserve">Valerie </w:t>
      </w:r>
      <w:r>
        <w:rPr>
          <w:szCs w:val="24"/>
        </w:rPr>
        <w:t xml:space="preserve">C. </w:t>
      </w:r>
      <w:r w:rsidRPr="001B1007">
        <w:rPr>
          <w:szCs w:val="24"/>
        </w:rPr>
        <w:t>Williams</w:t>
      </w:r>
    </w:p>
    <w:p w14:paraId="16E0AF9D" w14:textId="77777777" w:rsidR="003749F7" w:rsidRPr="001B1007" w:rsidRDefault="003749F7" w:rsidP="003749F7">
      <w:pPr>
        <w:keepNext/>
        <w:spacing w:before="0"/>
        <w:ind w:left="4680"/>
        <w:rPr>
          <w:szCs w:val="24"/>
        </w:rPr>
      </w:pPr>
      <w:r w:rsidRPr="001B1007">
        <w:rPr>
          <w:szCs w:val="24"/>
        </w:rPr>
        <w:t>Director</w:t>
      </w:r>
    </w:p>
    <w:p w14:paraId="44BDDB4C" w14:textId="77777777" w:rsidR="003749F7" w:rsidRPr="001B1007" w:rsidRDefault="003749F7" w:rsidP="003749F7">
      <w:pPr>
        <w:spacing w:before="0"/>
        <w:ind w:left="4680"/>
        <w:rPr>
          <w:szCs w:val="24"/>
        </w:rPr>
      </w:pPr>
      <w:r w:rsidRPr="001B1007">
        <w:rPr>
          <w:szCs w:val="24"/>
        </w:rPr>
        <w:t>Office of Special Education Programs</w:t>
      </w:r>
    </w:p>
    <w:p w14:paraId="4292D477" w14:textId="77777777" w:rsidR="003749F7" w:rsidRPr="001B1007" w:rsidRDefault="003749F7" w:rsidP="003749F7">
      <w:pPr>
        <w:rPr>
          <w:szCs w:val="24"/>
        </w:rPr>
      </w:pPr>
      <w:r w:rsidRPr="001B1007">
        <w:rPr>
          <w:szCs w:val="24"/>
        </w:rPr>
        <w:t xml:space="preserve">cc: </w:t>
      </w:r>
      <w:r>
        <w:rPr>
          <w:szCs w:val="24"/>
        </w:rPr>
        <w:t>Colorado</w:t>
      </w:r>
      <w:r w:rsidRPr="001B1007">
        <w:rPr>
          <w:szCs w:val="24"/>
        </w:rPr>
        <w:t xml:space="preserve"> Director of Special Education </w:t>
      </w:r>
    </w:p>
    <w:p w14:paraId="15EDBB9D" w14:textId="77777777" w:rsidR="003749F7" w:rsidRPr="001B1007" w:rsidRDefault="003749F7" w:rsidP="003749F7"/>
    <w:p w14:paraId="5C433C77" w14:textId="77777777" w:rsidR="003749F7" w:rsidRPr="001B1007" w:rsidRDefault="003749F7" w:rsidP="003749F7">
      <w:pPr>
        <w:pStyle w:val="CommentText"/>
      </w:pPr>
    </w:p>
    <w:p w14:paraId="1A73978B" w14:textId="77777777" w:rsidR="003749F7" w:rsidRPr="001B1007" w:rsidRDefault="003749F7" w:rsidP="003749F7">
      <w:pPr>
        <w:spacing w:before="0" w:after="200" w:line="276" w:lineRule="auto"/>
        <w:rPr>
          <w:rFonts w:cs="Arial"/>
          <w:b/>
          <w:bCs/>
          <w:szCs w:val="16"/>
        </w:rPr>
      </w:pPr>
    </w:p>
    <w:p w14:paraId="05B81CB3" w14:textId="2220E482" w:rsidR="00D84A0A" w:rsidRPr="00D733C3" w:rsidRDefault="00D84A0A" w:rsidP="003749F7">
      <w:pPr>
        <w:rPr>
          <w:rFonts w:cs="Arial"/>
          <w:b/>
          <w:bCs/>
          <w:szCs w:val="16"/>
        </w:rPr>
      </w:pPr>
    </w:p>
    <w:sectPr w:rsidR="00D84A0A" w:rsidRPr="00D733C3" w:rsidSect="00A70254">
      <w:headerReference w:type="default" r:id="rId22"/>
      <w:footerReference w:type="default" r:id="rId23"/>
      <w:pgSz w:w="12240" w:h="15840"/>
      <w:pgMar w:top="720" w:right="720" w:bottom="720" w:left="720" w:header="763" w:footer="431" w:gutter="0"/>
      <w:cols w:space="720"/>
      <w:docGrid w:linePitch="21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C76D04" w14:textId="77777777" w:rsidR="00330015" w:rsidRDefault="00330015" w:rsidP="000802F7">
      <w:pPr>
        <w:spacing w:before="0" w:after="0"/>
      </w:pPr>
      <w:r>
        <w:separator/>
      </w:r>
    </w:p>
  </w:endnote>
  <w:endnote w:type="continuationSeparator" w:id="0">
    <w:p w14:paraId="6A66D6EE" w14:textId="77777777" w:rsidR="00330015" w:rsidRDefault="00330015" w:rsidP="000802F7">
      <w:pPr>
        <w:spacing w:before="0" w:after="0"/>
      </w:pPr>
      <w:r>
        <w:continuationSeparator/>
      </w:r>
    </w:p>
  </w:endnote>
  <w:endnote w:type="continuationNotice" w:id="1">
    <w:p w14:paraId="52091EC1" w14:textId="77777777" w:rsidR="00330015" w:rsidRDefault="00330015">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rlito">
    <w:altName w:val="Calibri"/>
    <w:charset w:val="00"/>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76032885"/>
      <w:docPartObj>
        <w:docPartGallery w:val="Page Numbers (Bottom of Page)"/>
        <w:docPartUnique/>
      </w:docPartObj>
    </w:sdtPr>
    <w:sdtEndPr>
      <w:rPr>
        <w:noProof/>
      </w:rPr>
    </w:sdtEndPr>
    <w:sdtContent>
      <w:sdt>
        <w:sdtPr>
          <w:id w:val="1521194661"/>
          <w:docPartObj>
            <w:docPartGallery w:val="Page Numbers (Bottom of Page)"/>
            <w:docPartUnique/>
          </w:docPartObj>
        </w:sdtPr>
        <w:sdtEndPr>
          <w:rPr>
            <w:noProof/>
          </w:rPr>
        </w:sdtEndPr>
        <w:sdtContent>
          <w:p w14:paraId="6320AF27" w14:textId="07F84AA5" w:rsidR="0031327B" w:rsidRDefault="00D733C3" w:rsidP="00D733C3">
            <w:pPr>
              <w:pStyle w:val="Footer"/>
              <w:jc w:val="right"/>
              <w:rPr>
                <w:noProof/>
              </w:rPr>
            </w:pPr>
            <w:r>
              <w:fldChar w:fldCharType="begin"/>
            </w:r>
            <w:r>
              <w:instrText xml:space="preserve"> PAGE   \* MERGEFORMAT </w:instrText>
            </w:r>
            <w:r>
              <w:fldChar w:fldCharType="separate"/>
            </w:r>
            <w:r>
              <w:t>3</w:t>
            </w:r>
            <w:r>
              <w:rPr>
                <w:noProof/>
              </w:rPr>
              <w:fldChar w:fldCharType="end"/>
            </w:r>
            <w:r>
              <w:ptab w:relativeTo="margin" w:alignment="right" w:leader="none"/>
            </w:r>
            <w:r>
              <w:t>Part B</w:t>
            </w:r>
          </w:p>
        </w:sdtContent>
      </w:sdt>
    </w:sdtContent>
  </w:sdt>
  <w:p w14:paraId="1BC23CDB" w14:textId="366F33BD" w:rsidR="000F4A1E" w:rsidRDefault="000F4A1E">
    <w:pPr>
      <w:pStyle w:val="BodyText"/>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58575961"/>
      <w:docPartObj>
        <w:docPartGallery w:val="Page Numbers (Bottom of Page)"/>
        <w:docPartUnique/>
      </w:docPartObj>
    </w:sdtPr>
    <w:sdtEndPr>
      <w:rPr>
        <w:noProof/>
      </w:rPr>
    </w:sdtEndPr>
    <w:sdtContent>
      <w:p w14:paraId="21A975EC" w14:textId="77777777" w:rsidR="00725F6D" w:rsidRPr="00E52257" w:rsidRDefault="00862001" w:rsidP="00923F24">
        <w:pPr>
          <w:jc w:val="center"/>
          <w:rPr>
            <w:color w:val="17365D"/>
            <w:sz w:val="18"/>
          </w:rPr>
        </w:pPr>
        <w:r w:rsidRPr="00E52257">
          <w:rPr>
            <w:color w:val="17365D"/>
            <w:sz w:val="18"/>
          </w:rPr>
          <w:t>400 MARYLAND AVE. S.W., WASHINGTON DC 20202-2600</w:t>
        </w:r>
      </w:p>
      <w:p w14:paraId="7D1DA131" w14:textId="77777777" w:rsidR="00725F6D" w:rsidRPr="00021B5A" w:rsidRDefault="00862001" w:rsidP="00923F24">
        <w:pPr>
          <w:spacing w:before="40"/>
          <w:jc w:val="center"/>
          <w:rPr>
            <w:rStyle w:val="Hyperlink"/>
            <w:color w:val="17365D"/>
            <w:sz w:val="18"/>
          </w:rPr>
        </w:pPr>
        <w:r w:rsidRPr="00021B5A">
          <w:rPr>
            <w:color w:val="17365D"/>
            <w:sz w:val="18"/>
          </w:rPr>
          <w:fldChar w:fldCharType="begin"/>
        </w:r>
        <w:r>
          <w:instrText xml:space="preserve"> HYPERLINK "http://www.ed.gov/" \o "U.S. Department of Education website" </w:instrText>
        </w:r>
        <w:r w:rsidRPr="00021B5A">
          <w:rPr>
            <w:color w:val="17365D"/>
            <w:sz w:val="18"/>
          </w:rPr>
        </w:r>
        <w:r w:rsidRPr="00021B5A">
          <w:rPr>
            <w:color w:val="17365D"/>
            <w:sz w:val="18"/>
          </w:rPr>
          <w:fldChar w:fldCharType="separate"/>
        </w:r>
        <w:r w:rsidRPr="00543045">
          <w:rPr>
            <w:rStyle w:val="Hyperlink"/>
            <w:color w:val="17365D"/>
            <w:sz w:val="18"/>
          </w:rPr>
          <w:t>www.ed.gov</w:t>
        </w:r>
      </w:p>
      <w:p w14:paraId="74BDD96C" w14:textId="77777777" w:rsidR="00725F6D" w:rsidRPr="00E52257" w:rsidRDefault="00862001" w:rsidP="00923F24">
        <w:pPr>
          <w:spacing w:before="40"/>
          <w:jc w:val="center"/>
          <w:rPr>
            <w:color w:val="17365D"/>
            <w:sz w:val="18"/>
          </w:rPr>
        </w:pPr>
        <w:r w:rsidRPr="00021B5A">
          <w:rPr>
            <w:color w:val="17365D"/>
            <w:sz w:val="18"/>
          </w:rPr>
          <w:fldChar w:fldCharType="end"/>
        </w:r>
        <w:r w:rsidRPr="00E52257">
          <w:rPr>
            <w:i/>
            <w:iCs/>
            <w:color w:val="17365D"/>
            <w:sz w:val="18"/>
          </w:rPr>
          <w:t xml:space="preserve">The Department of Education’s mission is to promote student achievement and preparation for global competitiveness by </w:t>
        </w:r>
        <w:r w:rsidRPr="00E52257">
          <w:rPr>
            <w:i/>
            <w:iCs/>
            <w:color w:val="17365D"/>
            <w:sz w:val="18"/>
          </w:rPr>
          <w:br/>
          <w:t>fostering educational excellence and ensuring equal access.</w:t>
        </w:r>
      </w:p>
      <w:sdt>
        <w:sdtPr>
          <w:id w:val="-300998871"/>
          <w:docPartObj>
            <w:docPartGallery w:val="Page Numbers (Bottom of Page)"/>
            <w:docPartUnique/>
          </w:docPartObj>
        </w:sdtPr>
        <w:sdtEndPr>
          <w:rPr>
            <w:noProof/>
          </w:rPr>
        </w:sdtEndPr>
        <w:sdtContent>
          <w:p w14:paraId="324AF18E" w14:textId="77777777" w:rsidR="00725F6D" w:rsidRDefault="00862001" w:rsidP="00D733C3">
            <w:pPr>
              <w:pStyle w:val="Footer"/>
              <w:jc w:val="right"/>
              <w:rPr>
                <w:noProof/>
              </w:rPr>
            </w:pPr>
            <w:r>
              <w:fldChar w:fldCharType="begin"/>
            </w:r>
            <w:r>
              <w:instrText xml:space="preserve"> PAGE   \* MERGEFORMAT </w:instrText>
            </w:r>
            <w:r>
              <w:fldChar w:fldCharType="separate"/>
            </w:r>
            <w:r>
              <w:t>3</w:t>
            </w:r>
            <w:r>
              <w:rPr>
                <w:noProof/>
              </w:rPr>
              <w:fldChar w:fldCharType="end"/>
            </w:r>
            <w:r>
              <w:ptab w:relativeTo="margin" w:alignment="right" w:leader="none"/>
            </w:r>
            <w:r>
              <w:t>Part B</w:t>
            </w:r>
          </w:p>
        </w:sdtContent>
      </w:sdt>
    </w:sdtContent>
  </w:sdt>
  <w:p w14:paraId="0021AF07" w14:textId="77777777" w:rsidR="00725F6D" w:rsidRDefault="00725F6D">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77AD06" w14:textId="77777777" w:rsidR="00330015" w:rsidRDefault="00330015" w:rsidP="000802F7">
      <w:pPr>
        <w:spacing w:before="0" w:after="0"/>
      </w:pPr>
      <w:r>
        <w:separator/>
      </w:r>
    </w:p>
  </w:footnote>
  <w:footnote w:type="continuationSeparator" w:id="0">
    <w:p w14:paraId="4FBA576A" w14:textId="77777777" w:rsidR="00330015" w:rsidRDefault="00330015" w:rsidP="000802F7">
      <w:pPr>
        <w:spacing w:before="0" w:after="0"/>
      </w:pPr>
      <w:r>
        <w:continuationSeparator/>
      </w:r>
    </w:p>
  </w:footnote>
  <w:footnote w:type="continuationNotice" w:id="1">
    <w:p w14:paraId="4E20F5D0" w14:textId="77777777" w:rsidR="00330015" w:rsidRDefault="00330015">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3D827F" w14:textId="1332B1B2" w:rsidR="000F4A1E" w:rsidRDefault="000F4A1E">
    <w:pPr>
      <w:pStyle w:val="BodyText"/>
      <w:spacing w:line="14" w:lineRule="auto"/>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B1C001" w14:textId="77777777" w:rsidR="00725F6D" w:rsidRPr="00923F24" w:rsidRDefault="00862001" w:rsidP="00923F24">
    <w:pPr>
      <w:spacing w:before="120" w:after="0"/>
      <w:ind w:right="1440"/>
      <w:jc w:val="center"/>
      <w:rPr>
        <w:rFonts w:ascii="Times New Roman" w:eastAsia="Times New Roman" w:hAnsi="Times New Roman" w:cs="Times New Roman"/>
        <w:b/>
        <w:smallCaps/>
        <w:color w:val="244061"/>
        <w:sz w:val="24"/>
      </w:rPr>
    </w:pPr>
    <w:r w:rsidRPr="00923F24">
      <w:rPr>
        <w:rFonts w:ascii="Times New Roman" w:eastAsia="Times New Roman" w:hAnsi="Times New Roman" w:cs="Times New Roman"/>
        <w:b/>
        <w:smallCaps/>
        <w:noProof/>
        <w:color w:val="244061"/>
        <w:sz w:val="24"/>
      </w:rPr>
      <w:drawing>
        <wp:anchor distT="0" distB="0" distL="114300" distR="114300" simplePos="0" relativeHeight="251659264" behindDoc="0" locked="0" layoutInCell="1" allowOverlap="1" wp14:anchorId="04934896" wp14:editId="21545BBD">
          <wp:simplePos x="0" y="0"/>
          <wp:positionH relativeFrom="column">
            <wp:posOffset>-51830</wp:posOffset>
          </wp:positionH>
          <wp:positionV relativeFrom="paragraph">
            <wp:posOffset>-191638</wp:posOffset>
          </wp:positionV>
          <wp:extent cx="914400" cy="914400"/>
          <wp:effectExtent l="0" t="0" r="0" b="0"/>
          <wp:wrapSquare wrapText="bothSides"/>
          <wp:docPr id="1522170329" name="Picture 1522170329" descr="U.S.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U.S. Department of Education"/>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anchor>
      </w:drawing>
    </w:r>
    <w:r w:rsidRPr="00923F24">
      <w:rPr>
        <w:rFonts w:ascii="Times New Roman" w:eastAsia="Times New Roman" w:hAnsi="Times New Roman" w:cs="Times New Roman"/>
        <w:b/>
        <w:smallCaps/>
        <w:color w:val="244061"/>
        <w:sz w:val="24"/>
      </w:rPr>
      <w:t>United States Department of Education</w:t>
    </w:r>
  </w:p>
  <w:p w14:paraId="211FB69D" w14:textId="77777777" w:rsidR="00725F6D" w:rsidRDefault="00862001" w:rsidP="00923F24">
    <w:pPr>
      <w:spacing w:before="120" w:after="0"/>
      <w:ind w:right="1440"/>
      <w:jc w:val="center"/>
      <w:rPr>
        <w:rFonts w:ascii="Times New Roman" w:eastAsia="Times New Roman" w:hAnsi="Times New Roman" w:cs="Times New Roman"/>
        <w:b/>
        <w:smallCaps/>
        <w:color w:val="244061"/>
        <w:sz w:val="24"/>
      </w:rPr>
    </w:pPr>
    <w:r w:rsidRPr="00923F24">
      <w:rPr>
        <w:rFonts w:ascii="Times New Roman" w:eastAsia="Times New Roman" w:hAnsi="Times New Roman" w:cs="Times New Roman"/>
        <w:b/>
        <w:smallCaps/>
        <w:color w:val="244061"/>
        <w:sz w:val="24"/>
      </w:rPr>
      <w:t>Office of Special Education and Rehabilitative Services</w:t>
    </w:r>
  </w:p>
  <w:p w14:paraId="58AD6D1D" w14:textId="77777777" w:rsidR="00725F6D" w:rsidRPr="00923F24" w:rsidRDefault="00725F6D" w:rsidP="00923F24">
    <w:pPr>
      <w:spacing w:before="120" w:after="0"/>
      <w:ind w:right="1440"/>
      <w:jc w:val="center"/>
      <w:rPr>
        <w:rFonts w:ascii="Times New Roman" w:eastAsia="Times New Roman" w:hAnsi="Times New Roman" w:cs="Times New Roman"/>
        <w:b/>
        <w:smallCaps/>
        <w:color w:val="244061"/>
        <w:sz w:val="24"/>
      </w:rPr>
    </w:pPr>
  </w:p>
  <w:p w14:paraId="103FE7B3" w14:textId="77777777" w:rsidR="00725F6D" w:rsidRDefault="00725F6D">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9.4pt;height:18.8pt;visibility:visible" o:bullet="t">
        <v:imagedata r:id="rId1" o:title="" croptop="12526f" cropbottom="7411f" cropleft="12045f" cropright="6359f"/>
      </v:shape>
    </w:pict>
  </w:numPicBullet>
  <w:abstractNum w:abstractNumId="0" w15:restartNumberingAfterBreak="0">
    <w:nsid w:val="0288557B"/>
    <w:multiLevelType w:val="hybridMultilevel"/>
    <w:tmpl w:val="8548B854"/>
    <w:lvl w:ilvl="0" w:tplc="00203D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7526B4"/>
    <w:multiLevelType w:val="hybridMultilevel"/>
    <w:tmpl w:val="43D8272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AE640E2"/>
    <w:multiLevelType w:val="multilevel"/>
    <w:tmpl w:val="C1CAE6D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210E5A23"/>
    <w:multiLevelType w:val="hybridMultilevel"/>
    <w:tmpl w:val="081A0F38"/>
    <w:lvl w:ilvl="0" w:tplc="A14A3E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6F10816"/>
    <w:multiLevelType w:val="hybridMultilevel"/>
    <w:tmpl w:val="62F02BE2"/>
    <w:lvl w:ilvl="0" w:tplc="D22C94C8">
      <w:start w:val="1"/>
      <w:numFmt w:val="bullet"/>
      <w:pStyle w:val="RadioButtonBullet"/>
      <w:lvlText w:val=""/>
      <w:lvlPicBulletId w:val="0"/>
      <w:lvlJc w:val="left"/>
      <w:pPr>
        <w:tabs>
          <w:tab w:val="num" w:pos="720"/>
        </w:tabs>
        <w:ind w:left="720" w:hanging="360"/>
      </w:pPr>
      <w:rPr>
        <w:rFonts w:ascii="Symbol" w:hAnsi="Symbol" w:hint="default"/>
      </w:rPr>
    </w:lvl>
    <w:lvl w:ilvl="1" w:tplc="199004C2">
      <w:start w:val="1"/>
      <w:numFmt w:val="bullet"/>
      <w:lvlText w:val=""/>
      <w:lvlJc w:val="left"/>
      <w:pPr>
        <w:tabs>
          <w:tab w:val="num" w:pos="1440"/>
        </w:tabs>
        <w:ind w:left="1440" w:hanging="360"/>
      </w:pPr>
      <w:rPr>
        <w:rFonts w:ascii="Symbol" w:hAnsi="Symbol" w:hint="default"/>
      </w:rPr>
    </w:lvl>
    <w:lvl w:ilvl="2" w:tplc="F45AB4D0" w:tentative="1">
      <w:start w:val="1"/>
      <w:numFmt w:val="bullet"/>
      <w:lvlText w:val=""/>
      <w:lvlJc w:val="left"/>
      <w:pPr>
        <w:tabs>
          <w:tab w:val="num" w:pos="2160"/>
        </w:tabs>
        <w:ind w:left="2160" w:hanging="360"/>
      </w:pPr>
      <w:rPr>
        <w:rFonts w:ascii="Symbol" w:hAnsi="Symbol" w:hint="default"/>
      </w:rPr>
    </w:lvl>
    <w:lvl w:ilvl="3" w:tplc="08340BBE" w:tentative="1">
      <w:start w:val="1"/>
      <w:numFmt w:val="bullet"/>
      <w:lvlText w:val=""/>
      <w:lvlJc w:val="left"/>
      <w:pPr>
        <w:tabs>
          <w:tab w:val="num" w:pos="2880"/>
        </w:tabs>
        <w:ind w:left="2880" w:hanging="360"/>
      </w:pPr>
      <w:rPr>
        <w:rFonts w:ascii="Symbol" w:hAnsi="Symbol" w:hint="default"/>
      </w:rPr>
    </w:lvl>
    <w:lvl w:ilvl="4" w:tplc="C38683EA" w:tentative="1">
      <w:start w:val="1"/>
      <w:numFmt w:val="bullet"/>
      <w:lvlText w:val=""/>
      <w:lvlJc w:val="left"/>
      <w:pPr>
        <w:tabs>
          <w:tab w:val="num" w:pos="3600"/>
        </w:tabs>
        <w:ind w:left="3600" w:hanging="360"/>
      </w:pPr>
      <w:rPr>
        <w:rFonts w:ascii="Symbol" w:hAnsi="Symbol" w:hint="default"/>
      </w:rPr>
    </w:lvl>
    <w:lvl w:ilvl="5" w:tplc="49D286D4" w:tentative="1">
      <w:start w:val="1"/>
      <w:numFmt w:val="bullet"/>
      <w:lvlText w:val=""/>
      <w:lvlJc w:val="left"/>
      <w:pPr>
        <w:tabs>
          <w:tab w:val="num" w:pos="4320"/>
        </w:tabs>
        <w:ind w:left="4320" w:hanging="360"/>
      </w:pPr>
      <w:rPr>
        <w:rFonts w:ascii="Symbol" w:hAnsi="Symbol" w:hint="default"/>
      </w:rPr>
    </w:lvl>
    <w:lvl w:ilvl="6" w:tplc="DDEC5CF2" w:tentative="1">
      <w:start w:val="1"/>
      <w:numFmt w:val="bullet"/>
      <w:lvlText w:val=""/>
      <w:lvlJc w:val="left"/>
      <w:pPr>
        <w:tabs>
          <w:tab w:val="num" w:pos="5040"/>
        </w:tabs>
        <w:ind w:left="5040" w:hanging="360"/>
      </w:pPr>
      <w:rPr>
        <w:rFonts w:ascii="Symbol" w:hAnsi="Symbol" w:hint="default"/>
      </w:rPr>
    </w:lvl>
    <w:lvl w:ilvl="7" w:tplc="1DE8D87A" w:tentative="1">
      <w:start w:val="1"/>
      <w:numFmt w:val="bullet"/>
      <w:lvlText w:val=""/>
      <w:lvlJc w:val="left"/>
      <w:pPr>
        <w:tabs>
          <w:tab w:val="num" w:pos="5760"/>
        </w:tabs>
        <w:ind w:left="5760" w:hanging="360"/>
      </w:pPr>
      <w:rPr>
        <w:rFonts w:ascii="Symbol" w:hAnsi="Symbol" w:hint="default"/>
      </w:rPr>
    </w:lvl>
    <w:lvl w:ilvl="8" w:tplc="772899E4"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3A965831"/>
    <w:multiLevelType w:val="hybridMultilevel"/>
    <w:tmpl w:val="31167B22"/>
    <w:lvl w:ilvl="0" w:tplc="4C76C600">
      <w:start w:val="1"/>
      <w:numFmt w:val="decimal"/>
      <w:lvlText w:val="(%1)"/>
      <w:lvlJc w:val="left"/>
      <w:pPr>
        <w:ind w:left="742" w:hanging="243"/>
      </w:pPr>
      <w:rPr>
        <w:rFonts w:ascii="Calibri" w:eastAsia="Calibri" w:hAnsi="Calibri" w:cs="Calibri" w:hint="default"/>
        <w:spacing w:val="-1"/>
        <w:w w:val="100"/>
        <w:sz w:val="18"/>
        <w:szCs w:val="18"/>
        <w:lang w:val="en-US" w:eastAsia="en-US" w:bidi="ar-SA"/>
      </w:rPr>
    </w:lvl>
    <w:lvl w:ilvl="1" w:tplc="7FB8318A">
      <w:numFmt w:val="bullet"/>
      <w:lvlText w:val="•"/>
      <w:lvlJc w:val="left"/>
      <w:pPr>
        <w:ind w:left="1630" w:hanging="243"/>
      </w:pPr>
      <w:rPr>
        <w:rFonts w:hint="default"/>
        <w:lang w:val="en-US" w:eastAsia="en-US" w:bidi="ar-SA"/>
      </w:rPr>
    </w:lvl>
    <w:lvl w:ilvl="2" w:tplc="0B645188">
      <w:numFmt w:val="bullet"/>
      <w:lvlText w:val="•"/>
      <w:lvlJc w:val="left"/>
      <w:pPr>
        <w:ind w:left="2520" w:hanging="243"/>
      </w:pPr>
      <w:rPr>
        <w:rFonts w:hint="default"/>
        <w:lang w:val="en-US" w:eastAsia="en-US" w:bidi="ar-SA"/>
      </w:rPr>
    </w:lvl>
    <w:lvl w:ilvl="3" w:tplc="2D265A84">
      <w:numFmt w:val="bullet"/>
      <w:lvlText w:val="•"/>
      <w:lvlJc w:val="left"/>
      <w:pPr>
        <w:ind w:left="3410" w:hanging="243"/>
      </w:pPr>
      <w:rPr>
        <w:rFonts w:hint="default"/>
        <w:lang w:val="en-US" w:eastAsia="en-US" w:bidi="ar-SA"/>
      </w:rPr>
    </w:lvl>
    <w:lvl w:ilvl="4" w:tplc="EC3405A6">
      <w:numFmt w:val="bullet"/>
      <w:lvlText w:val="•"/>
      <w:lvlJc w:val="left"/>
      <w:pPr>
        <w:ind w:left="4300" w:hanging="243"/>
      </w:pPr>
      <w:rPr>
        <w:rFonts w:hint="default"/>
        <w:lang w:val="en-US" w:eastAsia="en-US" w:bidi="ar-SA"/>
      </w:rPr>
    </w:lvl>
    <w:lvl w:ilvl="5" w:tplc="1A7453C2">
      <w:numFmt w:val="bullet"/>
      <w:lvlText w:val="•"/>
      <w:lvlJc w:val="left"/>
      <w:pPr>
        <w:ind w:left="5190" w:hanging="243"/>
      </w:pPr>
      <w:rPr>
        <w:rFonts w:hint="default"/>
        <w:lang w:val="en-US" w:eastAsia="en-US" w:bidi="ar-SA"/>
      </w:rPr>
    </w:lvl>
    <w:lvl w:ilvl="6" w:tplc="C08EBB80">
      <w:numFmt w:val="bullet"/>
      <w:lvlText w:val="•"/>
      <w:lvlJc w:val="left"/>
      <w:pPr>
        <w:ind w:left="6080" w:hanging="243"/>
      </w:pPr>
      <w:rPr>
        <w:rFonts w:hint="default"/>
        <w:lang w:val="en-US" w:eastAsia="en-US" w:bidi="ar-SA"/>
      </w:rPr>
    </w:lvl>
    <w:lvl w:ilvl="7" w:tplc="CEDC7EAC">
      <w:numFmt w:val="bullet"/>
      <w:lvlText w:val="•"/>
      <w:lvlJc w:val="left"/>
      <w:pPr>
        <w:ind w:left="6970" w:hanging="243"/>
      </w:pPr>
      <w:rPr>
        <w:rFonts w:hint="default"/>
        <w:lang w:val="en-US" w:eastAsia="en-US" w:bidi="ar-SA"/>
      </w:rPr>
    </w:lvl>
    <w:lvl w:ilvl="8" w:tplc="31E0B7AC">
      <w:numFmt w:val="bullet"/>
      <w:lvlText w:val="•"/>
      <w:lvlJc w:val="left"/>
      <w:pPr>
        <w:ind w:left="7860" w:hanging="243"/>
      </w:pPr>
      <w:rPr>
        <w:rFonts w:hint="default"/>
        <w:lang w:val="en-US" w:eastAsia="en-US" w:bidi="ar-SA"/>
      </w:rPr>
    </w:lvl>
  </w:abstractNum>
  <w:abstractNum w:abstractNumId="6" w15:restartNumberingAfterBreak="0">
    <w:nsid w:val="43DB6ABC"/>
    <w:multiLevelType w:val="multilevel"/>
    <w:tmpl w:val="19F6621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462C3BE4"/>
    <w:multiLevelType w:val="multilevel"/>
    <w:tmpl w:val="A9CEB98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4F5530B4"/>
    <w:multiLevelType w:val="hybridMultilevel"/>
    <w:tmpl w:val="969A0ED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54CC62B6"/>
    <w:multiLevelType w:val="hybridMultilevel"/>
    <w:tmpl w:val="43D8272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557D63B9"/>
    <w:multiLevelType w:val="hybridMultilevel"/>
    <w:tmpl w:val="CD9088B0"/>
    <w:lvl w:ilvl="0" w:tplc="98706CCA">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627F6E09"/>
    <w:multiLevelType w:val="hybridMultilevel"/>
    <w:tmpl w:val="14C08E3C"/>
    <w:lvl w:ilvl="0" w:tplc="11F2CA00">
      <w:start w:val="1"/>
      <w:numFmt w:val="decimal"/>
      <w:lvlText w:val="(%1)"/>
      <w:lvlJc w:val="left"/>
      <w:pPr>
        <w:ind w:left="720" w:hanging="360"/>
      </w:pPr>
      <w:rPr>
        <w:rFonts w:ascii="Arial" w:eastAsiaTheme="minorHAnsi" w:hAnsi="Arial" w:cstheme="minorBidi"/>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5844278"/>
    <w:multiLevelType w:val="hybridMultilevel"/>
    <w:tmpl w:val="43D82728"/>
    <w:lvl w:ilvl="0" w:tplc="5BE0034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6CC7F34"/>
    <w:multiLevelType w:val="hybridMultilevel"/>
    <w:tmpl w:val="9F809C7A"/>
    <w:lvl w:ilvl="0" w:tplc="63A63868">
      <w:start w:val="1"/>
      <w:numFmt w:val="bullet"/>
      <w:pStyle w:val="IndNote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80D1260"/>
    <w:multiLevelType w:val="hybridMultilevel"/>
    <w:tmpl w:val="969A0ED4"/>
    <w:lvl w:ilvl="0" w:tplc="4D3A264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A60345B"/>
    <w:multiLevelType w:val="hybridMultilevel"/>
    <w:tmpl w:val="07A0DB14"/>
    <w:lvl w:ilvl="0" w:tplc="FC6C7E0C">
      <w:start w:val="1"/>
      <w:numFmt w:val="decimal"/>
      <w:pStyle w:val="BRIRequirement"/>
      <w:lvlText w:val="BRI%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51335C8"/>
    <w:multiLevelType w:val="hybridMultilevel"/>
    <w:tmpl w:val="FAF4F1C4"/>
    <w:lvl w:ilvl="0" w:tplc="AE4ACDC8">
      <w:start w:val="1"/>
      <w:numFmt w:val="decimal"/>
      <w:pStyle w:val="FigureCaption"/>
      <w:lvlText w:val="Figure %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53835698">
    <w:abstractNumId w:val="15"/>
  </w:num>
  <w:num w:numId="2" w16cid:durableId="1592162888">
    <w:abstractNumId w:val="4"/>
  </w:num>
  <w:num w:numId="3" w16cid:durableId="1701589992">
    <w:abstractNumId w:val="13"/>
  </w:num>
  <w:num w:numId="4" w16cid:durableId="250937431">
    <w:abstractNumId w:val="16"/>
  </w:num>
  <w:num w:numId="5" w16cid:durableId="1616593578">
    <w:abstractNumId w:val="6"/>
  </w:num>
  <w:num w:numId="6" w16cid:durableId="1061438534">
    <w:abstractNumId w:val="2"/>
  </w:num>
  <w:num w:numId="7" w16cid:durableId="1802728668">
    <w:abstractNumId w:val="7"/>
  </w:num>
  <w:num w:numId="8" w16cid:durableId="104052094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15269979">
    <w:abstractNumId w:val="0"/>
  </w:num>
  <w:num w:numId="10" w16cid:durableId="42338469">
    <w:abstractNumId w:val="11"/>
  </w:num>
  <w:num w:numId="11" w16cid:durableId="1052729607">
    <w:abstractNumId w:val="14"/>
  </w:num>
  <w:num w:numId="12" w16cid:durableId="526408006">
    <w:abstractNumId w:val="12"/>
  </w:num>
  <w:num w:numId="13" w16cid:durableId="1451318079">
    <w:abstractNumId w:val="3"/>
  </w:num>
  <w:num w:numId="14" w16cid:durableId="25982123">
    <w:abstractNumId w:val="1"/>
  </w:num>
  <w:num w:numId="15" w16cid:durableId="762146582">
    <w:abstractNumId w:val="9"/>
  </w:num>
  <w:num w:numId="16" w16cid:durableId="648872921">
    <w:abstractNumId w:val="8"/>
  </w:num>
  <w:num w:numId="17" w16cid:durableId="1059286313">
    <w:abstractNumId w:val="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hideSpellingErrors/>
  <w:hideGrammaticalError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307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7669"/>
    <w:rsid w:val="0000024B"/>
    <w:rsid w:val="00000E77"/>
    <w:rsid w:val="0000102A"/>
    <w:rsid w:val="0000116E"/>
    <w:rsid w:val="000013E5"/>
    <w:rsid w:val="0000146B"/>
    <w:rsid w:val="00001EAE"/>
    <w:rsid w:val="000020E9"/>
    <w:rsid w:val="00002320"/>
    <w:rsid w:val="0000272B"/>
    <w:rsid w:val="00002962"/>
    <w:rsid w:val="00002B25"/>
    <w:rsid w:val="00002D92"/>
    <w:rsid w:val="00002E37"/>
    <w:rsid w:val="000032E5"/>
    <w:rsid w:val="000036C1"/>
    <w:rsid w:val="00003894"/>
    <w:rsid w:val="00004592"/>
    <w:rsid w:val="00004700"/>
    <w:rsid w:val="00004880"/>
    <w:rsid w:val="00004E61"/>
    <w:rsid w:val="0000579A"/>
    <w:rsid w:val="000063AC"/>
    <w:rsid w:val="0000663B"/>
    <w:rsid w:val="00006A25"/>
    <w:rsid w:val="000070D5"/>
    <w:rsid w:val="00010158"/>
    <w:rsid w:val="000105C5"/>
    <w:rsid w:val="00011443"/>
    <w:rsid w:val="000114E3"/>
    <w:rsid w:val="00011778"/>
    <w:rsid w:val="00011B86"/>
    <w:rsid w:val="0001227B"/>
    <w:rsid w:val="000124F7"/>
    <w:rsid w:val="00013138"/>
    <w:rsid w:val="0001550D"/>
    <w:rsid w:val="00015D55"/>
    <w:rsid w:val="0001707D"/>
    <w:rsid w:val="00017940"/>
    <w:rsid w:val="00017BA7"/>
    <w:rsid w:val="00017D15"/>
    <w:rsid w:val="000209D6"/>
    <w:rsid w:val="00020E05"/>
    <w:rsid w:val="0002147B"/>
    <w:rsid w:val="00021AE9"/>
    <w:rsid w:val="000221B3"/>
    <w:rsid w:val="000223EC"/>
    <w:rsid w:val="000227B7"/>
    <w:rsid w:val="00023642"/>
    <w:rsid w:val="00023E62"/>
    <w:rsid w:val="000248C8"/>
    <w:rsid w:val="00024979"/>
    <w:rsid w:val="000251C4"/>
    <w:rsid w:val="000256D1"/>
    <w:rsid w:val="00025AFF"/>
    <w:rsid w:val="00025D8D"/>
    <w:rsid w:val="000277CE"/>
    <w:rsid w:val="00027886"/>
    <w:rsid w:val="0003014D"/>
    <w:rsid w:val="000301BA"/>
    <w:rsid w:val="00030B45"/>
    <w:rsid w:val="00031465"/>
    <w:rsid w:val="00031560"/>
    <w:rsid w:val="00031A91"/>
    <w:rsid w:val="00031C3A"/>
    <w:rsid w:val="00031E3A"/>
    <w:rsid w:val="00032548"/>
    <w:rsid w:val="0003292C"/>
    <w:rsid w:val="00032930"/>
    <w:rsid w:val="00032AC4"/>
    <w:rsid w:val="00032DB1"/>
    <w:rsid w:val="00033474"/>
    <w:rsid w:val="000336AC"/>
    <w:rsid w:val="00033723"/>
    <w:rsid w:val="00034A81"/>
    <w:rsid w:val="000360A5"/>
    <w:rsid w:val="000367A3"/>
    <w:rsid w:val="00036AA4"/>
    <w:rsid w:val="00040468"/>
    <w:rsid w:val="00040BA5"/>
    <w:rsid w:val="00041274"/>
    <w:rsid w:val="000417B4"/>
    <w:rsid w:val="00041E27"/>
    <w:rsid w:val="00041FD3"/>
    <w:rsid w:val="0004359A"/>
    <w:rsid w:val="000437FD"/>
    <w:rsid w:val="00043AAB"/>
    <w:rsid w:val="00043AC9"/>
    <w:rsid w:val="000444E2"/>
    <w:rsid w:val="00044883"/>
    <w:rsid w:val="00044B5C"/>
    <w:rsid w:val="00045F9F"/>
    <w:rsid w:val="00046488"/>
    <w:rsid w:val="00046969"/>
    <w:rsid w:val="00046BF9"/>
    <w:rsid w:val="00046F83"/>
    <w:rsid w:val="000477FF"/>
    <w:rsid w:val="00047CB5"/>
    <w:rsid w:val="00051B61"/>
    <w:rsid w:val="000521AB"/>
    <w:rsid w:val="0005247A"/>
    <w:rsid w:val="00052590"/>
    <w:rsid w:val="000526F6"/>
    <w:rsid w:val="00052E15"/>
    <w:rsid w:val="000532EB"/>
    <w:rsid w:val="00053391"/>
    <w:rsid w:val="000533D7"/>
    <w:rsid w:val="00053795"/>
    <w:rsid w:val="00053DFE"/>
    <w:rsid w:val="0005400D"/>
    <w:rsid w:val="000545D2"/>
    <w:rsid w:val="00054985"/>
    <w:rsid w:val="00054A60"/>
    <w:rsid w:val="00054C7A"/>
    <w:rsid w:val="00054FA8"/>
    <w:rsid w:val="000550B2"/>
    <w:rsid w:val="00055BD1"/>
    <w:rsid w:val="00055C7A"/>
    <w:rsid w:val="00055FC7"/>
    <w:rsid w:val="00056350"/>
    <w:rsid w:val="000566E1"/>
    <w:rsid w:val="00056758"/>
    <w:rsid w:val="00056F03"/>
    <w:rsid w:val="00057843"/>
    <w:rsid w:val="000578BA"/>
    <w:rsid w:val="0006058A"/>
    <w:rsid w:val="00060ADC"/>
    <w:rsid w:val="00061459"/>
    <w:rsid w:val="0006151E"/>
    <w:rsid w:val="000618B4"/>
    <w:rsid w:val="00061AB2"/>
    <w:rsid w:val="00061DF1"/>
    <w:rsid w:val="00061F73"/>
    <w:rsid w:val="000622A8"/>
    <w:rsid w:val="0006235D"/>
    <w:rsid w:val="000625F8"/>
    <w:rsid w:val="00062BB2"/>
    <w:rsid w:val="00062E68"/>
    <w:rsid w:val="00063136"/>
    <w:rsid w:val="00063CB9"/>
    <w:rsid w:val="000646AE"/>
    <w:rsid w:val="00064809"/>
    <w:rsid w:val="000648D2"/>
    <w:rsid w:val="00064AB6"/>
    <w:rsid w:val="000657A8"/>
    <w:rsid w:val="000657F0"/>
    <w:rsid w:val="000663C3"/>
    <w:rsid w:val="000668E0"/>
    <w:rsid w:val="00066BAA"/>
    <w:rsid w:val="00066F3E"/>
    <w:rsid w:val="00067654"/>
    <w:rsid w:val="00067C04"/>
    <w:rsid w:val="00070D9E"/>
    <w:rsid w:val="0007196B"/>
    <w:rsid w:val="00071D42"/>
    <w:rsid w:val="00072B99"/>
    <w:rsid w:val="00072BBA"/>
    <w:rsid w:val="00072FEE"/>
    <w:rsid w:val="00073047"/>
    <w:rsid w:val="00073BD7"/>
    <w:rsid w:val="00074237"/>
    <w:rsid w:val="000743D6"/>
    <w:rsid w:val="00074B33"/>
    <w:rsid w:val="000762B0"/>
    <w:rsid w:val="000778C9"/>
    <w:rsid w:val="000802F7"/>
    <w:rsid w:val="000806CC"/>
    <w:rsid w:val="00080D36"/>
    <w:rsid w:val="00080EBD"/>
    <w:rsid w:val="00082667"/>
    <w:rsid w:val="00082757"/>
    <w:rsid w:val="000829BF"/>
    <w:rsid w:val="0008392B"/>
    <w:rsid w:val="00083B68"/>
    <w:rsid w:val="0008402E"/>
    <w:rsid w:val="0008434A"/>
    <w:rsid w:val="000845C1"/>
    <w:rsid w:val="000847AD"/>
    <w:rsid w:val="00084AD7"/>
    <w:rsid w:val="00084FF1"/>
    <w:rsid w:val="000850E1"/>
    <w:rsid w:val="00085111"/>
    <w:rsid w:val="0008540D"/>
    <w:rsid w:val="00085B13"/>
    <w:rsid w:val="00085C21"/>
    <w:rsid w:val="00085D61"/>
    <w:rsid w:val="00085D89"/>
    <w:rsid w:val="000867D7"/>
    <w:rsid w:val="0008752B"/>
    <w:rsid w:val="00087EB9"/>
    <w:rsid w:val="00090132"/>
    <w:rsid w:val="000901D6"/>
    <w:rsid w:val="000903A7"/>
    <w:rsid w:val="00090C2F"/>
    <w:rsid w:val="000915A3"/>
    <w:rsid w:val="00091A40"/>
    <w:rsid w:val="00091DB2"/>
    <w:rsid w:val="000923A7"/>
    <w:rsid w:val="00092636"/>
    <w:rsid w:val="00092E0A"/>
    <w:rsid w:val="00093ACB"/>
    <w:rsid w:val="00094739"/>
    <w:rsid w:val="000948DD"/>
    <w:rsid w:val="00095491"/>
    <w:rsid w:val="00096442"/>
    <w:rsid w:val="0009692C"/>
    <w:rsid w:val="00096A50"/>
    <w:rsid w:val="00096F71"/>
    <w:rsid w:val="00097249"/>
    <w:rsid w:val="000977EB"/>
    <w:rsid w:val="000A01AC"/>
    <w:rsid w:val="000A0593"/>
    <w:rsid w:val="000A1594"/>
    <w:rsid w:val="000A18ED"/>
    <w:rsid w:val="000A1989"/>
    <w:rsid w:val="000A2C83"/>
    <w:rsid w:val="000A2E95"/>
    <w:rsid w:val="000A31F1"/>
    <w:rsid w:val="000A32F4"/>
    <w:rsid w:val="000A4757"/>
    <w:rsid w:val="000A49CD"/>
    <w:rsid w:val="000A49F7"/>
    <w:rsid w:val="000A4CDC"/>
    <w:rsid w:val="000A4ED6"/>
    <w:rsid w:val="000A4FD8"/>
    <w:rsid w:val="000A5A2E"/>
    <w:rsid w:val="000A66A9"/>
    <w:rsid w:val="000A6CA4"/>
    <w:rsid w:val="000A6EEB"/>
    <w:rsid w:val="000A7001"/>
    <w:rsid w:val="000A73A1"/>
    <w:rsid w:val="000A7A15"/>
    <w:rsid w:val="000A7D7D"/>
    <w:rsid w:val="000B050E"/>
    <w:rsid w:val="000B0DE4"/>
    <w:rsid w:val="000B10B1"/>
    <w:rsid w:val="000B1A1B"/>
    <w:rsid w:val="000B1F9C"/>
    <w:rsid w:val="000B2819"/>
    <w:rsid w:val="000B29F8"/>
    <w:rsid w:val="000B2A70"/>
    <w:rsid w:val="000B2C26"/>
    <w:rsid w:val="000B2DCB"/>
    <w:rsid w:val="000B3578"/>
    <w:rsid w:val="000B3A11"/>
    <w:rsid w:val="000B3D92"/>
    <w:rsid w:val="000B4405"/>
    <w:rsid w:val="000B4AA4"/>
    <w:rsid w:val="000B547A"/>
    <w:rsid w:val="000B56BA"/>
    <w:rsid w:val="000B5823"/>
    <w:rsid w:val="000B60CA"/>
    <w:rsid w:val="000B64CB"/>
    <w:rsid w:val="000B7132"/>
    <w:rsid w:val="000B7462"/>
    <w:rsid w:val="000C0565"/>
    <w:rsid w:val="000C0900"/>
    <w:rsid w:val="000C1754"/>
    <w:rsid w:val="000C1C56"/>
    <w:rsid w:val="000C2448"/>
    <w:rsid w:val="000C24C2"/>
    <w:rsid w:val="000C2AED"/>
    <w:rsid w:val="000C3180"/>
    <w:rsid w:val="000C3421"/>
    <w:rsid w:val="000C3A20"/>
    <w:rsid w:val="000C45DB"/>
    <w:rsid w:val="000C47B3"/>
    <w:rsid w:val="000C50F5"/>
    <w:rsid w:val="000C52CF"/>
    <w:rsid w:val="000C5A7A"/>
    <w:rsid w:val="000C5B96"/>
    <w:rsid w:val="000C60E1"/>
    <w:rsid w:val="000C6167"/>
    <w:rsid w:val="000C71F1"/>
    <w:rsid w:val="000C7B90"/>
    <w:rsid w:val="000D03F2"/>
    <w:rsid w:val="000D0B6A"/>
    <w:rsid w:val="000D0EE0"/>
    <w:rsid w:val="000D1580"/>
    <w:rsid w:val="000D2287"/>
    <w:rsid w:val="000D289C"/>
    <w:rsid w:val="000D2EA7"/>
    <w:rsid w:val="000D3273"/>
    <w:rsid w:val="000D3CAE"/>
    <w:rsid w:val="000D3DAA"/>
    <w:rsid w:val="000D3ED8"/>
    <w:rsid w:val="000D3EDF"/>
    <w:rsid w:val="000D3F12"/>
    <w:rsid w:val="000D4537"/>
    <w:rsid w:val="000D4C8D"/>
    <w:rsid w:val="000D67EF"/>
    <w:rsid w:val="000D6C5B"/>
    <w:rsid w:val="000D6EC4"/>
    <w:rsid w:val="000D746C"/>
    <w:rsid w:val="000D79AE"/>
    <w:rsid w:val="000E04D6"/>
    <w:rsid w:val="000E0BA2"/>
    <w:rsid w:val="000E0C95"/>
    <w:rsid w:val="000E0EBC"/>
    <w:rsid w:val="000E1C83"/>
    <w:rsid w:val="000E1FC6"/>
    <w:rsid w:val="000E206D"/>
    <w:rsid w:val="000E23B5"/>
    <w:rsid w:val="000E2A52"/>
    <w:rsid w:val="000E30A8"/>
    <w:rsid w:val="000E33D0"/>
    <w:rsid w:val="000E3445"/>
    <w:rsid w:val="000E3ACC"/>
    <w:rsid w:val="000E4061"/>
    <w:rsid w:val="000E4594"/>
    <w:rsid w:val="000E4B9A"/>
    <w:rsid w:val="000E4EE2"/>
    <w:rsid w:val="000E56FA"/>
    <w:rsid w:val="000E5AAB"/>
    <w:rsid w:val="000E62E5"/>
    <w:rsid w:val="000E6823"/>
    <w:rsid w:val="000E6948"/>
    <w:rsid w:val="000E7350"/>
    <w:rsid w:val="000E7E94"/>
    <w:rsid w:val="000F007B"/>
    <w:rsid w:val="000F0525"/>
    <w:rsid w:val="000F0806"/>
    <w:rsid w:val="000F0D59"/>
    <w:rsid w:val="000F0FCB"/>
    <w:rsid w:val="000F1792"/>
    <w:rsid w:val="000F1C34"/>
    <w:rsid w:val="000F256B"/>
    <w:rsid w:val="000F2A59"/>
    <w:rsid w:val="000F2A8B"/>
    <w:rsid w:val="000F40CF"/>
    <w:rsid w:val="000F435D"/>
    <w:rsid w:val="000F48BC"/>
    <w:rsid w:val="000F4A1E"/>
    <w:rsid w:val="000F4C46"/>
    <w:rsid w:val="000F4E22"/>
    <w:rsid w:val="000F4F37"/>
    <w:rsid w:val="000F66B8"/>
    <w:rsid w:val="000F670E"/>
    <w:rsid w:val="000F7196"/>
    <w:rsid w:val="000F7399"/>
    <w:rsid w:val="000F76DD"/>
    <w:rsid w:val="000F7A89"/>
    <w:rsid w:val="000F7C7C"/>
    <w:rsid w:val="000F7CF3"/>
    <w:rsid w:val="0010110E"/>
    <w:rsid w:val="001011BB"/>
    <w:rsid w:val="0010168C"/>
    <w:rsid w:val="0010170F"/>
    <w:rsid w:val="00101CA5"/>
    <w:rsid w:val="0010203A"/>
    <w:rsid w:val="00102505"/>
    <w:rsid w:val="00102C3C"/>
    <w:rsid w:val="00102F19"/>
    <w:rsid w:val="00102FA3"/>
    <w:rsid w:val="00104B17"/>
    <w:rsid w:val="0010510A"/>
    <w:rsid w:val="00105DC4"/>
    <w:rsid w:val="00105F98"/>
    <w:rsid w:val="001061C0"/>
    <w:rsid w:val="00106D71"/>
    <w:rsid w:val="00107043"/>
    <w:rsid w:val="00107406"/>
    <w:rsid w:val="0010785B"/>
    <w:rsid w:val="00107F32"/>
    <w:rsid w:val="00107FAE"/>
    <w:rsid w:val="00110328"/>
    <w:rsid w:val="0011074D"/>
    <w:rsid w:val="00110BB6"/>
    <w:rsid w:val="001111BE"/>
    <w:rsid w:val="0011161A"/>
    <w:rsid w:val="001126C3"/>
    <w:rsid w:val="00112F4D"/>
    <w:rsid w:val="00113CE9"/>
    <w:rsid w:val="001142DE"/>
    <w:rsid w:val="001150B3"/>
    <w:rsid w:val="0011547F"/>
    <w:rsid w:val="001156D2"/>
    <w:rsid w:val="00115CDA"/>
    <w:rsid w:val="00116D0B"/>
    <w:rsid w:val="00116E25"/>
    <w:rsid w:val="00117490"/>
    <w:rsid w:val="00117588"/>
    <w:rsid w:val="00117696"/>
    <w:rsid w:val="00117952"/>
    <w:rsid w:val="001203FA"/>
    <w:rsid w:val="0012058D"/>
    <w:rsid w:val="00120808"/>
    <w:rsid w:val="00121709"/>
    <w:rsid w:val="00121968"/>
    <w:rsid w:val="00122103"/>
    <w:rsid w:val="0012230D"/>
    <w:rsid w:val="00122384"/>
    <w:rsid w:val="001225CB"/>
    <w:rsid w:val="00123D76"/>
    <w:rsid w:val="00123FF7"/>
    <w:rsid w:val="00124025"/>
    <w:rsid w:val="00124A5D"/>
    <w:rsid w:val="00124E6A"/>
    <w:rsid w:val="00124ED5"/>
    <w:rsid w:val="00126039"/>
    <w:rsid w:val="001266CE"/>
    <w:rsid w:val="001267A3"/>
    <w:rsid w:val="00126B45"/>
    <w:rsid w:val="00126ED9"/>
    <w:rsid w:val="00126FF9"/>
    <w:rsid w:val="00127006"/>
    <w:rsid w:val="00127037"/>
    <w:rsid w:val="00127074"/>
    <w:rsid w:val="001270B8"/>
    <w:rsid w:val="001273C6"/>
    <w:rsid w:val="00127B4A"/>
    <w:rsid w:val="00127FEE"/>
    <w:rsid w:val="00130AE9"/>
    <w:rsid w:val="001316B1"/>
    <w:rsid w:val="00131842"/>
    <w:rsid w:val="00131F82"/>
    <w:rsid w:val="001323A5"/>
    <w:rsid w:val="00132EE9"/>
    <w:rsid w:val="001336AE"/>
    <w:rsid w:val="00133C73"/>
    <w:rsid w:val="0013422A"/>
    <w:rsid w:val="00134567"/>
    <w:rsid w:val="0013465F"/>
    <w:rsid w:val="0013495C"/>
    <w:rsid w:val="00134C80"/>
    <w:rsid w:val="00134F30"/>
    <w:rsid w:val="00135576"/>
    <w:rsid w:val="00135F0C"/>
    <w:rsid w:val="00136BE2"/>
    <w:rsid w:val="00136C54"/>
    <w:rsid w:val="001378D0"/>
    <w:rsid w:val="00137AD3"/>
    <w:rsid w:val="0014043C"/>
    <w:rsid w:val="00140972"/>
    <w:rsid w:val="00140A8A"/>
    <w:rsid w:val="00141A33"/>
    <w:rsid w:val="00141E29"/>
    <w:rsid w:val="00142056"/>
    <w:rsid w:val="00142117"/>
    <w:rsid w:val="001428A0"/>
    <w:rsid w:val="001430AA"/>
    <w:rsid w:val="001436E0"/>
    <w:rsid w:val="0014399E"/>
    <w:rsid w:val="001445CE"/>
    <w:rsid w:val="00144795"/>
    <w:rsid w:val="00145049"/>
    <w:rsid w:val="001450D9"/>
    <w:rsid w:val="001465F2"/>
    <w:rsid w:val="00146BB0"/>
    <w:rsid w:val="00146C28"/>
    <w:rsid w:val="00146FBA"/>
    <w:rsid w:val="001474EC"/>
    <w:rsid w:val="0014778D"/>
    <w:rsid w:val="00150A68"/>
    <w:rsid w:val="00150B3B"/>
    <w:rsid w:val="00151F97"/>
    <w:rsid w:val="0015313D"/>
    <w:rsid w:val="001532B7"/>
    <w:rsid w:val="00153F2D"/>
    <w:rsid w:val="001542AE"/>
    <w:rsid w:val="0015622A"/>
    <w:rsid w:val="00156264"/>
    <w:rsid w:val="00156865"/>
    <w:rsid w:val="0015691B"/>
    <w:rsid w:val="00156C67"/>
    <w:rsid w:val="00156F30"/>
    <w:rsid w:val="00156FDD"/>
    <w:rsid w:val="001603DE"/>
    <w:rsid w:val="001604F3"/>
    <w:rsid w:val="00160856"/>
    <w:rsid w:val="00160D96"/>
    <w:rsid w:val="001612CB"/>
    <w:rsid w:val="00161D1D"/>
    <w:rsid w:val="001628C0"/>
    <w:rsid w:val="00162F4A"/>
    <w:rsid w:val="001633A0"/>
    <w:rsid w:val="0016350F"/>
    <w:rsid w:val="001638EB"/>
    <w:rsid w:val="00163AF4"/>
    <w:rsid w:val="00163BEE"/>
    <w:rsid w:val="00163D63"/>
    <w:rsid w:val="00163FA7"/>
    <w:rsid w:val="001647C7"/>
    <w:rsid w:val="00164AAD"/>
    <w:rsid w:val="00164B78"/>
    <w:rsid w:val="00164E7F"/>
    <w:rsid w:val="00165225"/>
    <w:rsid w:val="0016528C"/>
    <w:rsid w:val="00165467"/>
    <w:rsid w:val="00165B2C"/>
    <w:rsid w:val="00166D00"/>
    <w:rsid w:val="0016730D"/>
    <w:rsid w:val="00167423"/>
    <w:rsid w:val="00167BF7"/>
    <w:rsid w:val="00170A9A"/>
    <w:rsid w:val="001711DC"/>
    <w:rsid w:val="00172058"/>
    <w:rsid w:val="001720C2"/>
    <w:rsid w:val="00172C41"/>
    <w:rsid w:val="00172F58"/>
    <w:rsid w:val="00173186"/>
    <w:rsid w:val="0017335B"/>
    <w:rsid w:val="001739F9"/>
    <w:rsid w:val="00173DFE"/>
    <w:rsid w:val="001744F9"/>
    <w:rsid w:val="00174662"/>
    <w:rsid w:val="00174B9B"/>
    <w:rsid w:val="001750A0"/>
    <w:rsid w:val="00175656"/>
    <w:rsid w:val="001756FB"/>
    <w:rsid w:val="00175845"/>
    <w:rsid w:val="00175D9B"/>
    <w:rsid w:val="00176082"/>
    <w:rsid w:val="00176779"/>
    <w:rsid w:val="001773E7"/>
    <w:rsid w:val="00177BC6"/>
    <w:rsid w:val="00177E7A"/>
    <w:rsid w:val="00177EC7"/>
    <w:rsid w:val="001806EA"/>
    <w:rsid w:val="00181070"/>
    <w:rsid w:val="00181813"/>
    <w:rsid w:val="001829C9"/>
    <w:rsid w:val="00182B26"/>
    <w:rsid w:val="001831D2"/>
    <w:rsid w:val="001835EE"/>
    <w:rsid w:val="00183E9B"/>
    <w:rsid w:val="001843C6"/>
    <w:rsid w:val="00184911"/>
    <w:rsid w:val="00184A72"/>
    <w:rsid w:val="001853BF"/>
    <w:rsid w:val="00185BA9"/>
    <w:rsid w:val="00186309"/>
    <w:rsid w:val="0018657A"/>
    <w:rsid w:val="00186964"/>
    <w:rsid w:val="001875AF"/>
    <w:rsid w:val="00190104"/>
    <w:rsid w:val="00191350"/>
    <w:rsid w:val="00191E1E"/>
    <w:rsid w:val="0019260C"/>
    <w:rsid w:val="00193321"/>
    <w:rsid w:val="00194AD8"/>
    <w:rsid w:val="001955AC"/>
    <w:rsid w:val="001965F5"/>
    <w:rsid w:val="0019671E"/>
    <w:rsid w:val="00196B54"/>
    <w:rsid w:val="00196BEB"/>
    <w:rsid w:val="00196BF6"/>
    <w:rsid w:val="00196CE6"/>
    <w:rsid w:val="00196F4B"/>
    <w:rsid w:val="001A0637"/>
    <w:rsid w:val="001A0C28"/>
    <w:rsid w:val="001A189D"/>
    <w:rsid w:val="001A1911"/>
    <w:rsid w:val="001A1ABA"/>
    <w:rsid w:val="001A2657"/>
    <w:rsid w:val="001A2D6A"/>
    <w:rsid w:val="001A31FD"/>
    <w:rsid w:val="001A342F"/>
    <w:rsid w:val="001A3539"/>
    <w:rsid w:val="001A3BEB"/>
    <w:rsid w:val="001A4886"/>
    <w:rsid w:val="001A582D"/>
    <w:rsid w:val="001A5EEE"/>
    <w:rsid w:val="001A60EE"/>
    <w:rsid w:val="001A6B81"/>
    <w:rsid w:val="001A6E55"/>
    <w:rsid w:val="001B07D3"/>
    <w:rsid w:val="001B12D3"/>
    <w:rsid w:val="001B1437"/>
    <w:rsid w:val="001B16F4"/>
    <w:rsid w:val="001B1B03"/>
    <w:rsid w:val="001B1B38"/>
    <w:rsid w:val="001B1E5C"/>
    <w:rsid w:val="001B2F50"/>
    <w:rsid w:val="001B2FFF"/>
    <w:rsid w:val="001B30DB"/>
    <w:rsid w:val="001B35F8"/>
    <w:rsid w:val="001B3D85"/>
    <w:rsid w:val="001B43E4"/>
    <w:rsid w:val="001B45DD"/>
    <w:rsid w:val="001B4AF7"/>
    <w:rsid w:val="001B5174"/>
    <w:rsid w:val="001B5210"/>
    <w:rsid w:val="001B560A"/>
    <w:rsid w:val="001B5817"/>
    <w:rsid w:val="001B5AFB"/>
    <w:rsid w:val="001B5CAF"/>
    <w:rsid w:val="001B7525"/>
    <w:rsid w:val="001B75FD"/>
    <w:rsid w:val="001B7C2C"/>
    <w:rsid w:val="001B7E95"/>
    <w:rsid w:val="001C00E2"/>
    <w:rsid w:val="001C05DB"/>
    <w:rsid w:val="001C0D43"/>
    <w:rsid w:val="001C23B6"/>
    <w:rsid w:val="001C2B29"/>
    <w:rsid w:val="001C2BF0"/>
    <w:rsid w:val="001C2E4E"/>
    <w:rsid w:val="001C2FC6"/>
    <w:rsid w:val="001C3129"/>
    <w:rsid w:val="001C34E6"/>
    <w:rsid w:val="001C443D"/>
    <w:rsid w:val="001C46DC"/>
    <w:rsid w:val="001C4828"/>
    <w:rsid w:val="001C4BFE"/>
    <w:rsid w:val="001C6C30"/>
    <w:rsid w:val="001C79FF"/>
    <w:rsid w:val="001C7E55"/>
    <w:rsid w:val="001D000B"/>
    <w:rsid w:val="001D009F"/>
    <w:rsid w:val="001D0860"/>
    <w:rsid w:val="001D16F7"/>
    <w:rsid w:val="001D17B3"/>
    <w:rsid w:val="001D1A20"/>
    <w:rsid w:val="001D1B71"/>
    <w:rsid w:val="001D21D9"/>
    <w:rsid w:val="001D2E9B"/>
    <w:rsid w:val="001D3C35"/>
    <w:rsid w:val="001D3D0A"/>
    <w:rsid w:val="001D496D"/>
    <w:rsid w:val="001D508C"/>
    <w:rsid w:val="001D508D"/>
    <w:rsid w:val="001D51D9"/>
    <w:rsid w:val="001D55EC"/>
    <w:rsid w:val="001D5841"/>
    <w:rsid w:val="001D5BAF"/>
    <w:rsid w:val="001D5F4A"/>
    <w:rsid w:val="001D677D"/>
    <w:rsid w:val="001D6A0A"/>
    <w:rsid w:val="001D6B3B"/>
    <w:rsid w:val="001D6BA5"/>
    <w:rsid w:val="001D7011"/>
    <w:rsid w:val="001D71B6"/>
    <w:rsid w:val="001E0824"/>
    <w:rsid w:val="001E141D"/>
    <w:rsid w:val="001E1828"/>
    <w:rsid w:val="001E1D92"/>
    <w:rsid w:val="001E2193"/>
    <w:rsid w:val="001E2418"/>
    <w:rsid w:val="001E2749"/>
    <w:rsid w:val="001E2AFB"/>
    <w:rsid w:val="001E2E5A"/>
    <w:rsid w:val="001E2F3E"/>
    <w:rsid w:val="001E430B"/>
    <w:rsid w:val="001E4624"/>
    <w:rsid w:val="001E49B3"/>
    <w:rsid w:val="001E5B13"/>
    <w:rsid w:val="001E5CEA"/>
    <w:rsid w:val="001E6A41"/>
    <w:rsid w:val="001E6FDD"/>
    <w:rsid w:val="001E724E"/>
    <w:rsid w:val="001E733F"/>
    <w:rsid w:val="001E7916"/>
    <w:rsid w:val="001E7CA0"/>
    <w:rsid w:val="001F07A9"/>
    <w:rsid w:val="001F0BFD"/>
    <w:rsid w:val="001F1168"/>
    <w:rsid w:val="001F1275"/>
    <w:rsid w:val="001F165D"/>
    <w:rsid w:val="001F1F11"/>
    <w:rsid w:val="001F2531"/>
    <w:rsid w:val="001F2870"/>
    <w:rsid w:val="001F2C34"/>
    <w:rsid w:val="001F2DC7"/>
    <w:rsid w:val="001F32F8"/>
    <w:rsid w:val="001F361D"/>
    <w:rsid w:val="001F3A65"/>
    <w:rsid w:val="001F3A6C"/>
    <w:rsid w:val="001F448F"/>
    <w:rsid w:val="001F4991"/>
    <w:rsid w:val="001F4C9D"/>
    <w:rsid w:val="001F5453"/>
    <w:rsid w:val="001F57DF"/>
    <w:rsid w:val="001F64DB"/>
    <w:rsid w:val="001F6583"/>
    <w:rsid w:val="001F692C"/>
    <w:rsid w:val="001F6A28"/>
    <w:rsid w:val="001F6BAA"/>
    <w:rsid w:val="001F7049"/>
    <w:rsid w:val="001F7C95"/>
    <w:rsid w:val="002002C8"/>
    <w:rsid w:val="00200745"/>
    <w:rsid w:val="00200DF4"/>
    <w:rsid w:val="0020141B"/>
    <w:rsid w:val="00201889"/>
    <w:rsid w:val="00201B4B"/>
    <w:rsid w:val="00202A6D"/>
    <w:rsid w:val="002043C7"/>
    <w:rsid w:val="0020456D"/>
    <w:rsid w:val="002049CF"/>
    <w:rsid w:val="00204FB9"/>
    <w:rsid w:val="00205239"/>
    <w:rsid w:val="0020552B"/>
    <w:rsid w:val="00205E6B"/>
    <w:rsid w:val="00206890"/>
    <w:rsid w:val="00206A65"/>
    <w:rsid w:val="00207D31"/>
    <w:rsid w:val="00210AC6"/>
    <w:rsid w:val="00210D18"/>
    <w:rsid w:val="00210F75"/>
    <w:rsid w:val="0021110D"/>
    <w:rsid w:val="00211617"/>
    <w:rsid w:val="00211DCE"/>
    <w:rsid w:val="00212954"/>
    <w:rsid w:val="00212E92"/>
    <w:rsid w:val="00214263"/>
    <w:rsid w:val="00214749"/>
    <w:rsid w:val="0021481D"/>
    <w:rsid w:val="00214BEB"/>
    <w:rsid w:val="0021530B"/>
    <w:rsid w:val="00215E33"/>
    <w:rsid w:val="00216A75"/>
    <w:rsid w:val="00217F33"/>
    <w:rsid w:val="00220311"/>
    <w:rsid w:val="002203FA"/>
    <w:rsid w:val="0022093F"/>
    <w:rsid w:val="002210FB"/>
    <w:rsid w:val="00221206"/>
    <w:rsid w:val="00221EC9"/>
    <w:rsid w:val="002223BB"/>
    <w:rsid w:val="00222B7B"/>
    <w:rsid w:val="00224107"/>
    <w:rsid w:val="00225126"/>
    <w:rsid w:val="0022535C"/>
    <w:rsid w:val="00225CD5"/>
    <w:rsid w:val="00227DE4"/>
    <w:rsid w:val="00227E23"/>
    <w:rsid w:val="00230E4A"/>
    <w:rsid w:val="00230EE6"/>
    <w:rsid w:val="002318F8"/>
    <w:rsid w:val="002330FF"/>
    <w:rsid w:val="00233191"/>
    <w:rsid w:val="00233230"/>
    <w:rsid w:val="00233913"/>
    <w:rsid w:val="002342E5"/>
    <w:rsid w:val="002346EB"/>
    <w:rsid w:val="002349E3"/>
    <w:rsid w:val="002349E5"/>
    <w:rsid w:val="0023537B"/>
    <w:rsid w:val="0023569F"/>
    <w:rsid w:val="002374DE"/>
    <w:rsid w:val="0024014D"/>
    <w:rsid w:val="00240638"/>
    <w:rsid w:val="00241102"/>
    <w:rsid w:val="00241BD0"/>
    <w:rsid w:val="00241E12"/>
    <w:rsid w:val="002423F2"/>
    <w:rsid w:val="00242B5A"/>
    <w:rsid w:val="00242D8A"/>
    <w:rsid w:val="00242F63"/>
    <w:rsid w:val="0024349D"/>
    <w:rsid w:val="0024349E"/>
    <w:rsid w:val="0024351A"/>
    <w:rsid w:val="00243C7D"/>
    <w:rsid w:val="002441FF"/>
    <w:rsid w:val="00244E23"/>
    <w:rsid w:val="002451DC"/>
    <w:rsid w:val="00245261"/>
    <w:rsid w:val="00245835"/>
    <w:rsid w:val="002458C0"/>
    <w:rsid w:val="00245D5D"/>
    <w:rsid w:val="0024644C"/>
    <w:rsid w:val="00246915"/>
    <w:rsid w:val="002477AC"/>
    <w:rsid w:val="00247959"/>
    <w:rsid w:val="00250278"/>
    <w:rsid w:val="002507BC"/>
    <w:rsid w:val="00250A97"/>
    <w:rsid w:val="00250BEA"/>
    <w:rsid w:val="00250E0A"/>
    <w:rsid w:val="00251098"/>
    <w:rsid w:val="00251242"/>
    <w:rsid w:val="002518F2"/>
    <w:rsid w:val="00251CC0"/>
    <w:rsid w:val="002522EB"/>
    <w:rsid w:val="002523BB"/>
    <w:rsid w:val="002529C8"/>
    <w:rsid w:val="00253252"/>
    <w:rsid w:val="0025343C"/>
    <w:rsid w:val="002536C1"/>
    <w:rsid w:val="00253975"/>
    <w:rsid w:val="00255E0E"/>
    <w:rsid w:val="0025687D"/>
    <w:rsid w:val="00256998"/>
    <w:rsid w:val="00256FF8"/>
    <w:rsid w:val="002602A9"/>
    <w:rsid w:val="00260D94"/>
    <w:rsid w:val="00260DBA"/>
    <w:rsid w:val="002621F6"/>
    <w:rsid w:val="002623CD"/>
    <w:rsid w:val="00262BC0"/>
    <w:rsid w:val="002639F2"/>
    <w:rsid w:val="00264AC4"/>
    <w:rsid w:val="00264D70"/>
    <w:rsid w:val="002651D2"/>
    <w:rsid w:val="00265DF6"/>
    <w:rsid w:val="00266107"/>
    <w:rsid w:val="002666D1"/>
    <w:rsid w:val="002667EA"/>
    <w:rsid w:val="002668EF"/>
    <w:rsid w:val="00267199"/>
    <w:rsid w:val="0026766C"/>
    <w:rsid w:val="002676A2"/>
    <w:rsid w:val="00270239"/>
    <w:rsid w:val="00271656"/>
    <w:rsid w:val="002717E6"/>
    <w:rsid w:val="00271CC8"/>
    <w:rsid w:val="00271E37"/>
    <w:rsid w:val="00273A95"/>
    <w:rsid w:val="002742D7"/>
    <w:rsid w:val="0027466E"/>
    <w:rsid w:val="00274A01"/>
    <w:rsid w:val="002764FB"/>
    <w:rsid w:val="002768DB"/>
    <w:rsid w:val="002772F4"/>
    <w:rsid w:val="00277C0C"/>
    <w:rsid w:val="00277CA1"/>
    <w:rsid w:val="00277FC9"/>
    <w:rsid w:val="002801CB"/>
    <w:rsid w:val="0028078A"/>
    <w:rsid w:val="00280C06"/>
    <w:rsid w:val="00280FC8"/>
    <w:rsid w:val="0028126A"/>
    <w:rsid w:val="002813C2"/>
    <w:rsid w:val="002816F8"/>
    <w:rsid w:val="00281D27"/>
    <w:rsid w:val="0028232F"/>
    <w:rsid w:val="002824BD"/>
    <w:rsid w:val="002839AD"/>
    <w:rsid w:val="00283A6E"/>
    <w:rsid w:val="00283B9B"/>
    <w:rsid w:val="00283E11"/>
    <w:rsid w:val="002842DB"/>
    <w:rsid w:val="0028448A"/>
    <w:rsid w:val="00284EF7"/>
    <w:rsid w:val="00284FB1"/>
    <w:rsid w:val="0028570E"/>
    <w:rsid w:val="00285DE9"/>
    <w:rsid w:val="00285DF4"/>
    <w:rsid w:val="00285F70"/>
    <w:rsid w:val="002860EA"/>
    <w:rsid w:val="0028638B"/>
    <w:rsid w:val="00286999"/>
    <w:rsid w:val="00286AE2"/>
    <w:rsid w:val="00286BDF"/>
    <w:rsid w:val="00287DAC"/>
    <w:rsid w:val="00287E73"/>
    <w:rsid w:val="002908CD"/>
    <w:rsid w:val="0029150F"/>
    <w:rsid w:val="002916E6"/>
    <w:rsid w:val="00291712"/>
    <w:rsid w:val="00291D97"/>
    <w:rsid w:val="00292349"/>
    <w:rsid w:val="0029351F"/>
    <w:rsid w:val="00293C7E"/>
    <w:rsid w:val="002945EF"/>
    <w:rsid w:val="00294DF7"/>
    <w:rsid w:val="00295C99"/>
    <w:rsid w:val="00296637"/>
    <w:rsid w:val="00296D74"/>
    <w:rsid w:val="00296EF8"/>
    <w:rsid w:val="0029729C"/>
    <w:rsid w:val="002974C4"/>
    <w:rsid w:val="00297652"/>
    <w:rsid w:val="00297710"/>
    <w:rsid w:val="002A09E1"/>
    <w:rsid w:val="002A1641"/>
    <w:rsid w:val="002A18EC"/>
    <w:rsid w:val="002A19C8"/>
    <w:rsid w:val="002A1EAC"/>
    <w:rsid w:val="002A2503"/>
    <w:rsid w:val="002A2781"/>
    <w:rsid w:val="002A2A1B"/>
    <w:rsid w:val="002A3A93"/>
    <w:rsid w:val="002A4591"/>
    <w:rsid w:val="002A4DA7"/>
    <w:rsid w:val="002A4FB3"/>
    <w:rsid w:val="002A568B"/>
    <w:rsid w:val="002A5ACF"/>
    <w:rsid w:val="002A5C3B"/>
    <w:rsid w:val="002A5E4E"/>
    <w:rsid w:val="002A6E26"/>
    <w:rsid w:val="002A70AC"/>
    <w:rsid w:val="002B0988"/>
    <w:rsid w:val="002B10E9"/>
    <w:rsid w:val="002B14DF"/>
    <w:rsid w:val="002B15AD"/>
    <w:rsid w:val="002B25D0"/>
    <w:rsid w:val="002B3B1A"/>
    <w:rsid w:val="002B4010"/>
    <w:rsid w:val="002B481B"/>
    <w:rsid w:val="002B4BE3"/>
    <w:rsid w:val="002B4D97"/>
    <w:rsid w:val="002B5631"/>
    <w:rsid w:val="002B646E"/>
    <w:rsid w:val="002B6555"/>
    <w:rsid w:val="002B68F9"/>
    <w:rsid w:val="002B6949"/>
    <w:rsid w:val="002B6965"/>
    <w:rsid w:val="002B7490"/>
    <w:rsid w:val="002B7F41"/>
    <w:rsid w:val="002C02F9"/>
    <w:rsid w:val="002C11D6"/>
    <w:rsid w:val="002C1E51"/>
    <w:rsid w:val="002C207A"/>
    <w:rsid w:val="002C32D7"/>
    <w:rsid w:val="002C3413"/>
    <w:rsid w:val="002C3D51"/>
    <w:rsid w:val="002C43CF"/>
    <w:rsid w:val="002C5259"/>
    <w:rsid w:val="002C5A1B"/>
    <w:rsid w:val="002C60D5"/>
    <w:rsid w:val="002C68A2"/>
    <w:rsid w:val="002C6B70"/>
    <w:rsid w:val="002C705B"/>
    <w:rsid w:val="002C72EA"/>
    <w:rsid w:val="002C7DA3"/>
    <w:rsid w:val="002D0871"/>
    <w:rsid w:val="002D0922"/>
    <w:rsid w:val="002D0CFA"/>
    <w:rsid w:val="002D145D"/>
    <w:rsid w:val="002D15D3"/>
    <w:rsid w:val="002D1C51"/>
    <w:rsid w:val="002D2499"/>
    <w:rsid w:val="002D30ED"/>
    <w:rsid w:val="002D3265"/>
    <w:rsid w:val="002D3270"/>
    <w:rsid w:val="002D35C2"/>
    <w:rsid w:val="002D3EE6"/>
    <w:rsid w:val="002D41F0"/>
    <w:rsid w:val="002D492B"/>
    <w:rsid w:val="002D4D55"/>
    <w:rsid w:val="002D57DA"/>
    <w:rsid w:val="002D597B"/>
    <w:rsid w:val="002D5ED8"/>
    <w:rsid w:val="002D6889"/>
    <w:rsid w:val="002D6F4D"/>
    <w:rsid w:val="002D71EA"/>
    <w:rsid w:val="002D75C7"/>
    <w:rsid w:val="002D7A24"/>
    <w:rsid w:val="002D7AD6"/>
    <w:rsid w:val="002D7B2A"/>
    <w:rsid w:val="002E00D1"/>
    <w:rsid w:val="002E02A9"/>
    <w:rsid w:val="002E0BFD"/>
    <w:rsid w:val="002E0D74"/>
    <w:rsid w:val="002E111A"/>
    <w:rsid w:val="002E1710"/>
    <w:rsid w:val="002E1751"/>
    <w:rsid w:val="002E1E70"/>
    <w:rsid w:val="002E2229"/>
    <w:rsid w:val="002E346C"/>
    <w:rsid w:val="002E4104"/>
    <w:rsid w:val="002E456C"/>
    <w:rsid w:val="002E49AA"/>
    <w:rsid w:val="002E4D4F"/>
    <w:rsid w:val="002E5136"/>
    <w:rsid w:val="002E52B9"/>
    <w:rsid w:val="002E66C4"/>
    <w:rsid w:val="002E69D1"/>
    <w:rsid w:val="002E763A"/>
    <w:rsid w:val="002E7868"/>
    <w:rsid w:val="002F0129"/>
    <w:rsid w:val="002F088C"/>
    <w:rsid w:val="002F09C5"/>
    <w:rsid w:val="002F0F0A"/>
    <w:rsid w:val="002F0F0E"/>
    <w:rsid w:val="002F1CFB"/>
    <w:rsid w:val="002F1D27"/>
    <w:rsid w:val="002F2379"/>
    <w:rsid w:val="002F3163"/>
    <w:rsid w:val="002F364A"/>
    <w:rsid w:val="002F3F83"/>
    <w:rsid w:val="002F44F9"/>
    <w:rsid w:val="002F5568"/>
    <w:rsid w:val="002F5F54"/>
    <w:rsid w:val="002F6CA7"/>
    <w:rsid w:val="002F6CB6"/>
    <w:rsid w:val="002F7D07"/>
    <w:rsid w:val="00300258"/>
    <w:rsid w:val="003008E2"/>
    <w:rsid w:val="00300CF4"/>
    <w:rsid w:val="00301FD0"/>
    <w:rsid w:val="00302CA6"/>
    <w:rsid w:val="00302CD0"/>
    <w:rsid w:val="003031B5"/>
    <w:rsid w:val="0030359D"/>
    <w:rsid w:val="003038B6"/>
    <w:rsid w:val="0030500A"/>
    <w:rsid w:val="00305357"/>
    <w:rsid w:val="003053C8"/>
    <w:rsid w:val="00305458"/>
    <w:rsid w:val="00306032"/>
    <w:rsid w:val="0030619F"/>
    <w:rsid w:val="0030668A"/>
    <w:rsid w:val="003066D7"/>
    <w:rsid w:val="003068D4"/>
    <w:rsid w:val="003069AE"/>
    <w:rsid w:val="00306A86"/>
    <w:rsid w:val="00306CEA"/>
    <w:rsid w:val="00306E3B"/>
    <w:rsid w:val="00306EB6"/>
    <w:rsid w:val="0030752F"/>
    <w:rsid w:val="0030766A"/>
    <w:rsid w:val="003077CF"/>
    <w:rsid w:val="00307895"/>
    <w:rsid w:val="00310357"/>
    <w:rsid w:val="00310483"/>
    <w:rsid w:val="00310D4A"/>
    <w:rsid w:val="003111B9"/>
    <w:rsid w:val="003112BE"/>
    <w:rsid w:val="003112D5"/>
    <w:rsid w:val="00311355"/>
    <w:rsid w:val="00312480"/>
    <w:rsid w:val="00312732"/>
    <w:rsid w:val="00312C1A"/>
    <w:rsid w:val="0031316A"/>
    <w:rsid w:val="0031327B"/>
    <w:rsid w:val="003132AE"/>
    <w:rsid w:val="003133B4"/>
    <w:rsid w:val="003136FD"/>
    <w:rsid w:val="003138F9"/>
    <w:rsid w:val="0031445F"/>
    <w:rsid w:val="00314A86"/>
    <w:rsid w:val="00315173"/>
    <w:rsid w:val="00315747"/>
    <w:rsid w:val="00315E88"/>
    <w:rsid w:val="00316138"/>
    <w:rsid w:val="0031646E"/>
    <w:rsid w:val="0031684C"/>
    <w:rsid w:val="00317888"/>
    <w:rsid w:val="00317C9F"/>
    <w:rsid w:val="00317D36"/>
    <w:rsid w:val="003205A2"/>
    <w:rsid w:val="00320A06"/>
    <w:rsid w:val="00320AC3"/>
    <w:rsid w:val="00320F23"/>
    <w:rsid w:val="00321497"/>
    <w:rsid w:val="003217D2"/>
    <w:rsid w:val="00321982"/>
    <w:rsid w:val="00321ED3"/>
    <w:rsid w:val="003229FA"/>
    <w:rsid w:val="00322EB5"/>
    <w:rsid w:val="003237A7"/>
    <w:rsid w:val="00323BDD"/>
    <w:rsid w:val="00324430"/>
    <w:rsid w:val="00324615"/>
    <w:rsid w:val="00325944"/>
    <w:rsid w:val="003261F6"/>
    <w:rsid w:val="003263F1"/>
    <w:rsid w:val="00326814"/>
    <w:rsid w:val="00326B5B"/>
    <w:rsid w:val="00326C0B"/>
    <w:rsid w:val="00330015"/>
    <w:rsid w:val="00330231"/>
    <w:rsid w:val="00330836"/>
    <w:rsid w:val="003308B8"/>
    <w:rsid w:val="00331137"/>
    <w:rsid w:val="00331CBC"/>
    <w:rsid w:val="00332054"/>
    <w:rsid w:val="003321D1"/>
    <w:rsid w:val="00332397"/>
    <w:rsid w:val="0033239B"/>
    <w:rsid w:val="00332E23"/>
    <w:rsid w:val="00332E76"/>
    <w:rsid w:val="00333FD4"/>
    <w:rsid w:val="0033429D"/>
    <w:rsid w:val="00334953"/>
    <w:rsid w:val="00334EAB"/>
    <w:rsid w:val="00334EF8"/>
    <w:rsid w:val="00335139"/>
    <w:rsid w:val="003356F1"/>
    <w:rsid w:val="00335D2A"/>
    <w:rsid w:val="00340115"/>
    <w:rsid w:val="003403B4"/>
    <w:rsid w:val="0034074E"/>
    <w:rsid w:val="0034094E"/>
    <w:rsid w:val="00341650"/>
    <w:rsid w:val="00342627"/>
    <w:rsid w:val="0034266C"/>
    <w:rsid w:val="00343E21"/>
    <w:rsid w:val="00344A5B"/>
    <w:rsid w:val="00344AE0"/>
    <w:rsid w:val="00344B76"/>
    <w:rsid w:val="00344F68"/>
    <w:rsid w:val="003452DA"/>
    <w:rsid w:val="0034558C"/>
    <w:rsid w:val="00345912"/>
    <w:rsid w:val="00345B60"/>
    <w:rsid w:val="00345EDF"/>
    <w:rsid w:val="003464CD"/>
    <w:rsid w:val="00346510"/>
    <w:rsid w:val="00346807"/>
    <w:rsid w:val="00346D66"/>
    <w:rsid w:val="00346E9D"/>
    <w:rsid w:val="00347516"/>
    <w:rsid w:val="00347F04"/>
    <w:rsid w:val="003501E6"/>
    <w:rsid w:val="0035126E"/>
    <w:rsid w:val="00351CE7"/>
    <w:rsid w:val="00351FA8"/>
    <w:rsid w:val="003521AD"/>
    <w:rsid w:val="003522C0"/>
    <w:rsid w:val="00352769"/>
    <w:rsid w:val="00352E68"/>
    <w:rsid w:val="003532E2"/>
    <w:rsid w:val="00353EB1"/>
    <w:rsid w:val="00353FEA"/>
    <w:rsid w:val="003542D6"/>
    <w:rsid w:val="00354CA9"/>
    <w:rsid w:val="0035552F"/>
    <w:rsid w:val="003569A0"/>
    <w:rsid w:val="003601CD"/>
    <w:rsid w:val="00360734"/>
    <w:rsid w:val="003608F9"/>
    <w:rsid w:val="00360CD9"/>
    <w:rsid w:val="00360DD6"/>
    <w:rsid w:val="00361018"/>
    <w:rsid w:val="0036124B"/>
    <w:rsid w:val="00361CFA"/>
    <w:rsid w:val="003622F1"/>
    <w:rsid w:val="00362834"/>
    <w:rsid w:val="003628FE"/>
    <w:rsid w:val="00363327"/>
    <w:rsid w:val="00363FF5"/>
    <w:rsid w:val="0036658D"/>
    <w:rsid w:val="00366764"/>
    <w:rsid w:val="003704E3"/>
    <w:rsid w:val="00370A28"/>
    <w:rsid w:val="00371D57"/>
    <w:rsid w:val="00371FAA"/>
    <w:rsid w:val="0037212A"/>
    <w:rsid w:val="003721DA"/>
    <w:rsid w:val="00372273"/>
    <w:rsid w:val="00372D83"/>
    <w:rsid w:val="00372DF8"/>
    <w:rsid w:val="0037347F"/>
    <w:rsid w:val="00373699"/>
    <w:rsid w:val="00373CF8"/>
    <w:rsid w:val="00373F78"/>
    <w:rsid w:val="0037431B"/>
    <w:rsid w:val="00374399"/>
    <w:rsid w:val="003746CE"/>
    <w:rsid w:val="0037493F"/>
    <w:rsid w:val="003749F7"/>
    <w:rsid w:val="0037506A"/>
    <w:rsid w:val="0037560A"/>
    <w:rsid w:val="00376262"/>
    <w:rsid w:val="003763A1"/>
    <w:rsid w:val="003768E2"/>
    <w:rsid w:val="00376F43"/>
    <w:rsid w:val="00377473"/>
    <w:rsid w:val="0037760E"/>
    <w:rsid w:val="003803E0"/>
    <w:rsid w:val="0038054C"/>
    <w:rsid w:val="003805D3"/>
    <w:rsid w:val="003809AF"/>
    <w:rsid w:val="00380B36"/>
    <w:rsid w:val="003817A7"/>
    <w:rsid w:val="003817C0"/>
    <w:rsid w:val="0038191F"/>
    <w:rsid w:val="003819CC"/>
    <w:rsid w:val="00381B0C"/>
    <w:rsid w:val="0038290A"/>
    <w:rsid w:val="00382D8D"/>
    <w:rsid w:val="00382F22"/>
    <w:rsid w:val="003830A8"/>
    <w:rsid w:val="00384541"/>
    <w:rsid w:val="00384797"/>
    <w:rsid w:val="003848FB"/>
    <w:rsid w:val="00385049"/>
    <w:rsid w:val="00385214"/>
    <w:rsid w:val="003856C4"/>
    <w:rsid w:val="003864B1"/>
    <w:rsid w:val="00386623"/>
    <w:rsid w:val="00387F2F"/>
    <w:rsid w:val="003900C7"/>
    <w:rsid w:val="003902D5"/>
    <w:rsid w:val="00390746"/>
    <w:rsid w:val="00390CF9"/>
    <w:rsid w:val="00391C58"/>
    <w:rsid w:val="00391C9B"/>
    <w:rsid w:val="00392198"/>
    <w:rsid w:val="003929E1"/>
    <w:rsid w:val="00392D78"/>
    <w:rsid w:val="00393264"/>
    <w:rsid w:val="00395064"/>
    <w:rsid w:val="0039534D"/>
    <w:rsid w:val="003953C1"/>
    <w:rsid w:val="00395B6C"/>
    <w:rsid w:val="00395F8F"/>
    <w:rsid w:val="003968A6"/>
    <w:rsid w:val="00396BA3"/>
    <w:rsid w:val="0039793B"/>
    <w:rsid w:val="003A07F8"/>
    <w:rsid w:val="003A1055"/>
    <w:rsid w:val="003A10AE"/>
    <w:rsid w:val="003A2176"/>
    <w:rsid w:val="003A2612"/>
    <w:rsid w:val="003A32A9"/>
    <w:rsid w:val="003A32DA"/>
    <w:rsid w:val="003A34C1"/>
    <w:rsid w:val="003A380D"/>
    <w:rsid w:val="003A3D26"/>
    <w:rsid w:val="003A3DF1"/>
    <w:rsid w:val="003A4027"/>
    <w:rsid w:val="003A42F7"/>
    <w:rsid w:val="003A4653"/>
    <w:rsid w:val="003A4794"/>
    <w:rsid w:val="003A481F"/>
    <w:rsid w:val="003A4A57"/>
    <w:rsid w:val="003A4C7C"/>
    <w:rsid w:val="003A4D11"/>
    <w:rsid w:val="003A4D17"/>
    <w:rsid w:val="003A51A7"/>
    <w:rsid w:val="003A5280"/>
    <w:rsid w:val="003A5585"/>
    <w:rsid w:val="003A5701"/>
    <w:rsid w:val="003A6167"/>
    <w:rsid w:val="003A652D"/>
    <w:rsid w:val="003A67B1"/>
    <w:rsid w:val="003A6862"/>
    <w:rsid w:val="003A6BD9"/>
    <w:rsid w:val="003A6D3A"/>
    <w:rsid w:val="003A7B67"/>
    <w:rsid w:val="003A7D48"/>
    <w:rsid w:val="003B08A2"/>
    <w:rsid w:val="003B0BF4"/>
    <w:rsid w:val="003B0C91"/>
    <w:rsid w:val="003B0F8E"/>
    <w:rsid w:val="003B1111"/>
    <w:rsid w:val="003B1933"/>
    <w:rsid w:val="003B2B5E"/>
    <w:rsid w:val="003B30B3"/>
    <w:rsid w:val="003B3666"/>
    <w:rsid w:val="003B3E5C"/>
    <w:rsid w:val="003B4163"/>
    <w:rsid w:val="003B41C7"/>
    <w:rsid w:val="003B496A"/>
    <w:rsid w:val="003B4CAA"/>
    <w:rsid w:val="003B5105"/>
    <w:rsid w:val="003B512C"/>
    <w:rsid w:val="003B5C91"/>
    <w:rsid w:val="003B5D58"/>
    <w:rsid w:val="003B5FA0"/>
    <w:rsid w:val="003B6047"/>
    <w:rsid w:val="003B64C0"/>
    <w:rsid w:val="003B692F"/>
    <w:rsid w:val="003B693F"/>
    <w:rsid w:val="003B6DEA"/>
    <w:rsid w:val="003B6ECC"/>
    <w:rsid w:val="003B7250"/>
    <w:rsid w:val="003B7835"/>
    <w:rsid w:val="003B79B9"/>
    <w:rsid w:val="003B7A6C"/>
    <w:rsid w:val="003B7E92"/>
    <w:rsid w:val="003C0029"/>
    <w:rsid w:val="003C01AC"/>
    <w:rsid w:val="003C04A9"/>
    <w:rsid w:val="003C0975"/>
    <w:rsid w:val="003C0D77"/>
    <w:rsid w:val="003C0FEC"/>
    <w:rsid w:val="003C10E1"/>
    <w:rsid w:val="003C1852"/>
    <w:rsid w:val="003C1943"/>
    <w:rsid w:val="003C2214"/>
    <w:rsid w:val="003C2B5C"/>
    <w:rsid w:val="003C2E92"/>
    <w:rsid w:val="003C308E"/>
    <w:rsid w:val="003C32EE"/>
    <w:rsid w:val="003C4506"/>
    <w:rsid w:val="003C450C"/>
    <w:rsid w:val="003C4DB4"/>
    <w:rsid w:val="003C4DD4"/>
    <w:rsid w:val="003C4E4D"/>
    <w:rsid w:val="003C5308"/>
    <w:rsid w:val="003C567F"/>
    <w:rsid w:val="003C587C"/>
    <w:rsid w:val="003C62D9"/>
    <w:rsid w:val="003C6438"/>
    <w:rsid w:val="003C6D1D"/>
    <w:rsid w:val="003C6E27"/>
    <w:rsid w:val="003C6F87"/>
    <w:rsid w:val="003C7251"/>
    <w:rsid w:val="003C776C"/>
    <w:rsid w:val="003D02CD"/>
    <w:rsid w:val="003D2651"/>
    <w:rsid w:val="003D332D"/>
    <w:rsid w:val="003D3787"/>
    <w:rsid w:val="003D436D"/>
    <w:rsid w:val="003D4EC0"/>
    <w:rsid w:val="003D506A"/>
    <w:rsid w:val="003D5D06"/>
    <w:rsid w:val="003D5FD3"/>
    <w:rsid w:val="003D61B5"/>
    <w:rsid w:val="003D79C5"/>
    <w:rsid w:val="003D7F56"/>
    <w:rsid w:val="003E05D8"/>
    <w:rsid w:val="003E11AE"/>
    <w:rsid w:val="003E1D8E"/>
    <w:rsid w:val="003E28EB"/>
    <w:rsid w:val="003E3939"/>
    <w:rsid w:val="003E3AED"/>
    <w:rsid w:val="003E3B30"/>
    <w:rsid w:val="003E44E5"/>
    <w:rsid w:val="003E45D7"/>
    <w:rsid w:val="003E4D6F"/>
    <w:rsid w:val="003E53BB"/>
    <w:rsid w:val="003E54EB"/>
    <w:rsid w:val="003E551D"/>
    <w:rsid w:val="003E5A6B"/>
    <w:rsid w:val="003E65F5"/>
    <w:rsid w:val="003E69BA"/>
    <w:rsid w:val="003E7287"/>
    <w:rsid w:val="003E7437"/>
    <w:rsid w:val="003E7EE9"/>
    <w:rsid w:val="003E7FC1"/>
    <w:rsid w:val="003F088A"/>
    <w:rsid w:val="003F0F5F"/>
    <w:rsid w:val="003F1034"/>
    <w:rsid w:val="003F1EF0"/>
    <w:rsid w:val="003F3EA5"/>
    <w:rsid w:val="003F4461"/>
    <w:rsid w:val="003F4A0E"/>
    <w:rsid w:val="003F4D08"/>
    <w:rsid w:val="003F589D"/>
    <w:rsid w:val="003F58AF"/>
    <w:rsid w:val="003F5B6E"/>
    <w:rsid w:val="003F63C0"/>
    <w:rsid w:val="003F6592"/>
    <w:rsid w:val="003F6728"/>
    <w:rsid w:val="003F6F4E"/>
    <w:rsid w:val="003F7384"/>
    <w:rsid w:val="00400C56"/>
    <w:rsid w:val="00400F0F"/>
    <w:rsid w:val="004010B8"/>
    <w:rsid w:val="0040136C"/>
    <w:rsid w:val="00401663"/>
    <w:rsid w:val="0040181B"/>
    <w:rsid w:val="00401924"/>
    <w:rsid w:val="0040197F"/>
    <w:rsid w:val="00401C77"/>
    <w:rsid w:val="00401CBF"/>
    <w:rsid w:val="004021BD"/>
    <w:rsid w:val="00402838"/>
    <w:rsid w:val="00402E87"/>
    <w:rsid w:val="0040325C"/>
    <w:rsid w:val="00403A29"/>
    <w:rsid w:val="004043E9"/>
    <w:rsid w:val="00404967"/>
    <w:rsid w:val="00404B50"/>
    <w:rsid w:val="00404D7E"/>
    <w:rsid w:val="00405D30"/>
    <w:rsid w:val="004067B5"/>
    <w:rsid w:val="004067BC"/>
    <w:rsid w:val="00406814"/>
    <w:rsid w:val="00406B81"/>
    <w:rsid w:val="004070B7"/>
    <w:rsid w:val="004078AA"/>
    <w:rsid w:val="004108FE"/>
    <w:rsid w:val="00410D98"/>
    <w:rsid w:val="00410E20"/>
    <w:rsid w:val="00412179"/>
    <w:rsid w:val="00413366"/>
    <w:rsid w:val="0041365C"/>
    <w:rsid w:val="00413C81"/>
    <w:rsid w:val="004143CB"/>
    <w:rsid w:val="004147AC"/>
    <w:rsid w:val="0041488C"/>
    <w:rsid w:val="00414CDE"/>
    <w:rsid w:val="00414E3B"/>
    <w:rsid w:val="00414FEA"/>
    <w:rsid w:val="00415272"/>
    <w:rsid w:val="0041564F"/>
    <w:rsid w:val="00415684"/>
    <w:rsid w:val="00415802"/>
    <w:rsid w:val="004158DD"/>
    <w:rsid w:val="00415998"/>
    <w:rsid w:val="00415C11"/>
    <w:rsid w:val="00415FE9"/>
    <w:rsid w:val="0041625C"/>
    <w:rsid w:val="00416463"/>
    <w:rsid w:val="004165DC"/>
    <w:rsid w:val="00416B0F"/>
    <w:rsid w:val="00416FE7"/>
    <w:rsid w:val="0041712E"/>
    <w:rsid w:val="004201D8"/>
    <w:rsid w:val="00420950"/>
    <w:rsid w:val="00420A46"/>
    <w:rsid w:val="00420F2A"/>
    <w:rsid w:val="004212BA"/>
    <w:rsid w:val="004216A9"/>
    <w:rsid w:val="00421CA3"/>
    <w:rsid w:val="00421D14"/>
    <w:rsid w:val="00421FA5"/>
    <w:rsid w:val="004226FE"/>
    <w:rsid w:val="00422FBD"/>
    <w:rsid w:val="00423047"/>
    <w:rsid w:val="00423D5F"/>
    <w:rsid w:val="0042434D"/>
    <w:rsid w:val="00424E9C"/>
    <w:rsid w:val="0042509A"/>
    <w:rsid w:val="00426EC6"/>
    <w:rsid w:val="00427176"/>
    <w:rsid w:val="00427654"/>
    <w:rsid w:val="00427682"/>
    <w:rsid w:val="004300A1"/>
    <w:rsid w:val="004301DA"/>
    <w:rsid w:val="00430527"/>
    <w:rsid w:val="00430C55"/>
    <w:rsid w:val="00430E26"/>
    <w:rsid w:val="00431920"/>
    <w:rsid w:val="00431DA5"/>
    <w:rsid w:val="00432187"/>
    <w:rsid w:val="004337B0"/>
    <w:rsid w:val="00433A7A"/>
    <w:rsid w:val="00433E14"/>
    <w:rsid w:val="00433F76"/>
    <w:rsid w:val="00433FB5"/>
    <w:rsid w:val="0043415F"/>
    <w:rsid w:val="00434273"/>
    <w:rsid w:val="00434298"/>
    <w:rsid w:val="004348BB"/>
    <w:rsid w:val="00434915"/>
    <w:rsid w:val="0043553A"/>
    <w:rsid w:val="00435568"/>
    <w:rsid w:val="00435E51"/>
    <w:rsid w:val="0043678A"/>
    <w:rsid w:val="004369B2"/>
    <w:rsid w:val="00437204"/>
    <w:rsid w:val="00437C25"/>
    <w:rsid w:val="00440955"/>
    <w:rsid w:val="00440D29"/>
    <w:rsid w:val="00440EFA"/>
    <w:rsid w:val="004410A6"/>
    <w:rsid w:val="00441578"/>
    <w:rsid w:val="00441FB4"/>
    <w:rsid w:val="004422B4"/>
    <w:rsid w:val="0044260C"/>
    <w:rsid w:val="004427EB"/>
    <w:rsid w:val="00442906"/>
    <w:rsid w:val="00442B92"/>
    <w:rsid w:val="00442D9C"/>
    <w:rsid w:val="00443376"/>
    <w:rsid w:val="00443406"/>
    <w:rsid w:val="004435DE"/>
    <w:rsid w:val="00444401"/>
    <w:rsid w:val="00444A9D"/>
    <w:rsid w:val="00445640"/>
    <w:rsid w:val="00445B98"/>
    <w:rsid w:val="00445D91"/>
    <w:rsid w:val="00445DF0"/>
    <w:rsid w:val="004462E1"/>
    <w:rsid w:val="00446423"/>
    <w:rsid w:val="00446689"/>
    <w:rsid w:val="00447067"/>
    <w:rsid w:val="0044716A"/>
    <w:rsid w:val="00450059"/>
    <w:rsid w:val="004502CD"/>
    <w:rsid w:val="004505AF"/>
    <w:rsid w:val="00450DE8"/>
    <w:rsid w:val="00450F98"/>
    <w:rsid w:val="004515C2"/>
    <w:rsid w:val="004518AF"/>
    <w:rsid w:val="00451A1F"/>
    <w:rsid w:val="00451D7E"/>
    <w:rsid w:val="00452273"/>
    <w:rsid w:val="004529BD"/>
    <w:rsid w:val="00453FF2"/>
    <w:rsid w:val="004540D9"/>
    <w:rsid w:val="004542FA"/>
    <w:rsid w:val="0045468C"/>
    <w:rsid w:val="00455806"/>
    <w:rsid w:val="00455889"/>
    <w:rsid w:val="00455A8E"/>
    <w:rsid w:val="00455B5B"/>
    <w:rsid w:val="00456A1A"/>
    <w:rsid w:val="00456EB4"/>
    <w:rsid w:val="00456FF8"/>
    <w:rsid w:val="004577C1"/>
    <w:rsid w:val="00457F04"/>
    <w:rsid w:val="00457F3C"/>
    <w:rsid w:val="00460298"/>
    <w:rsid w:val="004611C1"/>
    <w:rsid w:val="004611C5"/>
    <w:rsid w:val="004613BA"/>
    <w:rsid w:val="0046146E"/>
    <w:rsid w:val="00461B4B"/>
    <w:rsid w:val="00461CA6"/>
    <w:rsid w:val="00461E1F"/>
    <w:rsid w:val="00462483"/>
    <w:rsid w:val="004625A7"/>
    <w:rsid w:val="004625E9"/>
    <w:rsid w:val="00462678"/>
    <w:rsid w:val="0046281F"/>
    <w:rsid w:val="00462D2D"/>
    <w:rsid w:val="00463D01"/>
    <w:rsid w:val="00463E03"/>
    <w:rsid w:val="004640B3"/>
    <w:rsid w:val="00464512"/>
    <w:rsid w:val="00464A9D"/>
    <w:rsid w:val="0046603A"/>
    <w:rsid w:val="0046611E"/>
    <w:rsid w:val="00466646"/>
    <w:rsid w:val="00467140"/>
    <w:rsid w:val="004671FF"/>
    <w:rsid w:val="00467711"/>
    <w:rsid w:val="004704F3"/>
    <w:rsid w:val="004706F6"/>
    <w:rsid w:val="0047086A"/>
    <w:rsid w:val="00470EEA"/>
    <w:rsid w:val="004713D1"/>
    <w:rsid w:val="00472013"/>
    <w:rsid w:val="00472138"/>
    <w:rsid w:val="004721B2"/>
    <w:rsid w:val="004725E6"/>
    <w:rsid w:val="0047313F"/>
    <w:rsid w:val="0047379E"/>
    <w:rsid w:val="00474848"/>
    <w:rsid w:val="00474DB4"/>
    <w:rsid w:val="00475E2D"/>
    <w:rsid w:val="0047630E"/>
    <w:rsid w:val="00476460"/>
    <w:rsid w:val="004765BA"/>
    <w:rsid w:val="00476EA2"/>
    <w:rsid w:val="00477210"/>
    <w:rsid w:val="0047749E"/>
    <w:rsid w:val="004777CA"/>
    <w:rsid w:val="0048004B"/>
    <w:rsid w:val="00480083"/>
    <w:rsid w:val="00480185"/>
    <w:rsid w:val="004801D4"/>
    <w:rsid w:val="00480944"/>
    <w:rsid w:val="00480A1F"/>
    <w:rsid w:val="00480C58"/>
    <w:rsid w:val="0048106A"/>
    <w:rsid w:val="00481476"/>
    <w:rsid w:val="00481536"/>
    <w:rsid w:val="0048173D"/>
    <w:rsid w:val="004827B2"/>
    <w:rsid w:val="00482A0C"/>
    <w:rsid w:val="00482C3B"/>
    <w:rsid w:val="00482C64"/>
    <w:rsid w:val="004838A4"/>
    <w:rsid w:val="00483A7E"/>
    <w:rsid w:val="00483ABB"/>
    <w:rsid w:val="00483CEE"/>
    <w:rsid w:val="00483FA7"/>
    <w:rsid w:val="00484670"/>
    <w:rsid w:val="0048481F"/>
    <w:rsid w:val="00484C42"/>
    <w:rsid w:val="00484DFC"/>
    <w:rsid w:val="00484E18"/>
    <w:rsid w:val="004855E0"/>
    <w:rsid w:val="00485942"/>
    <w:rsid w:val="00486160"/>
    <w:rsid w:val="0048675D"/>
    <w:rsid w:val="004871E4"/>
    <w:rsid w:val="00487CBD"/>
    <w:rsid w:val="00487DD1"/>
    <w:rsid w:val="00487F39"/>
    <w:rsid w:val="00490F6A"/>
    <w:rsid w:val="00491141"/>
    <w:rsid w:val="0049134B"/>
    <w:rsid w:val="00491ED9"/>
    <w:rsid w:val="00492332"/>
    <w:rsid w:val="00492339"/>
    <w:rsid w:val="00492994"/>
    <w:rsid w:val="004939D7"/>
    <w:rsid w:val="004944F8"/>
    <w:rsid w:val="00494CD6"/>
    <w:rsid w:val="00494F22"/>
    <w:rsid w:val="004955D2"/>
    <w:rsid w:val="00495BB6"/>
    <w:rsid w:val="00496EF6"/>
    <w:rsid w:val="00496FEA"/>
    <w:rsid w:val="00497063"/>
    <w:rsid w:val="0049743B"/>
    <w:rsid w:val="00497579"/>
    <w:rsid w:val="00497C4D"/>
    <w:rsid w:val="00497DE4"/>
    <w:rsid w:val="004A074D"/>
    <w:rsid w:val="004A13F5"/>
    <w:rsid w:val="004A15B3"/>
    <w:rsid w:val="004A1709"/>
    <w:rsid w:val="004A1894"/>
    <w:rsid w:val="004A1FCC"/>
    <w:rsid w:val="004A22EC"/>
    <w:rsid w:val="004A3038"/>
    <w:rsid w:val="004A336A"/>
    <w:rsid w:val="004A33CD"/>
    <w:rsid w:val="004A38B9"/>
    <w:rsid w:val="004A3F07"/>
    <w:rsid w:val="004A463F"/>
    <w:rsid w:val="004A4803"/>
    <w:rsid w:val="004A4AC8"/>
    <w:rsid w:val="004A4E9A"/>
    <w:rsid w:val="004A5538"/>
    <w:rsid w:val="004A6352"/>
    <w:rsid w:val="004A7084"/>
    <w:rsid w:val="004A74D2"/>
    <w:rsid w:val="004B0B07"/>
    <w:rsid w:val="004B0B1D"/>
    <w:rsid w:val="004B0DD6"/>
    <w:rsid w:val="004B197E"/>
    <w:rsid w:val="004B1FD2"/>
    <w:rsid w:val="004B292A"/>
    <w:rsid w:val="004B2960"/>
    <w:rsid w:val="004B2A77"/>
    <w:rsid w:val="004B2C2D"/>
    <w:rsid w:val="004B3695"/>
    <w:rsid w:val="004B3B4A"/>
    <w:rsid w:val="004B3E74"/>
    <w:rsid w:val="004B3F40"/>
    <w:rsid w:val="004B3FD9"/>
    <w:rsid w:val="004B6512"/>
    <w:rsid w:val="004B69B2"/>
    <w:rsid w:val="004B728F"/>
    <w:rsid w:val="004B75EC"/>
    <w:rsid w:val="004B782D"/>
    <w:rsid w:val="004B79A1"/>
    <w:rsid w:val="004B7A7A"/>
    <w:rsid w:val="004B7D0D"/>
    <w:rsid w:val="004C00EE"/>
    <w:rsid w:val="004C070C"/>
    <w:rsid w:val="004C1866"/>
    <w:rsid w:val="004C223D"/>
    <w:rsid w:val="004C2776"/>
    <w:rsid w:val="004C2C08"/>
    <w:rsid w:val="004C33EB"/>
    <w:rsid w:val="004C36E3"/>
    <w:rsid w:val="004C3FF1"/>
    <w:rsid w:val="004C4033"/>
    <w:rsid w:val="004C45C6"/>
    <w:rsid w:val="004C462E"/>
    <w:rsid w:val="004C47BE"/>
    <w:rsid w:val="004C56BB"/>
    <w:rsid w:val="004C5DF4"/>
    <w:rsid w:val="004C6B21"/>
    <w:rsid w:val="004C6D9C"/>
    <w:rsid w:val="004C6EDC"/>
    <w:rsid w:val="004C6F4C"/>
    <w:rsid w:val="004C74B7"/>
    <w:rsid w:val="004C794B"/>
    <w:rsid w:val="004C7EF3"/>
    <w:rsid w:val="004D0044"/>
    <w:rsid w:val="004D0478"/>
    <w:rsid w:val="004D0C68"/>
    <w:rsid w:val="004D0C88"/>
    <w:rsid w:val="004D0D91"/>
    <w:rsid w:val="004D12C4"/>
    <w:rsid w:val="004D13EA"/>
    <w:rsid w:val="004D1797"/>
    <w:rsid w:val="004D1EAB"/>
    <w:rsid w:val="004D257E"/>
    <w:rsid w:val="004D25AB"/>
    <w:rsid w:val="004D2E91"/>
    <w:rsid w:val="004D364A"/>
    <w:rsid w:val="004D402E"/>
    <w:rsid w:val="004D4249"/>
    <w:rsid w:val="004D494B"/>
    <w:rsid w:val="004D4A0F"/>
    <w:rsid w:val="004D5775"/>
    <w:rsid w:val="004D5948"/>
    <w:rsid w:val="004D595F"/>
    <w:rsid w:val="004D61A8"/>
    <w:rsid w:val="004D7133"/>
    <w:rsid w:val="004D796B"/>
    <w:rsid w:val="004D7C38"/>
    <w:rsid w:val="004D7FBF"/>
    <w:rsid w:val="004E0578"/>
    <w:rsid w:val="004E0F0B"/>
    <w:rsid w:val="004E1324"/>
    <w:rsid w:val="004E1360"/>
    <w:rsid w:val="004E1471"/>
    <w:rsid w:val="004E1996"/>
    <w:rsid w:val="004E1F08"/>
    <w:rsid w:val="004E1F6F"/>
    <w:rsid w:val="004E2151"/>
    <w:rsid w:val="004E2885"/>
    <w:rsid w:val="004E39F9"/>
    <w:rsid w:val="004E4050"/>
    <w:rsid w:val="004E420B"/>
    <w:rsid w:val="004E499F"/>
    <w:rsid w:val="004E4B8A"/>
    <w:rsid w:val="004E51BB"/>
    <w:rsid w:val="004E5B01"/>
    <w:rsid w:val="004E5C74"/>
    <w:rsid w:val="004E67B3"/>
    <w:rsid w:val="004E6870"/>
    <w:rsid w:val="004E7413"/>
    <w:rsid w:val="004E75B4"/>
    <w:rsid w:val="004E76FC"/>
    <w:rsid w:val="004F019B"/>
    <w:rsid w:val="004F01F7"/>
    <w:rsid w:val="004F03C3"/>
    <w:rsid w:val="004F0C02"/>
    <w:rsid w:val="004F0C1C"/>
    <w:rsid w:val="004F1386"/>
    <w:rsid w:val="004F1449"/>
    <w:rsid w:val="004F2245"/>
    <w:rsid w:val="004F237D"/>
    <w:rsid w:val="004F2A22"/>
    <w:rsid w:val="004F2EB8"/>
    <w:rsid w:val="004F348D"/>
    <w:rsid w:val="004F3650"/>
    <w:rsid w:val="004F3929"/>
    <w:rsid w:val="004F3B41"/>
    <w:rsid w:val="004F4016"/>
    <w:rsid w:val="004F4564"/>
    <w:rsid w:val="004F50E1"/>
    <w:rsid w:val="004F53DE"/>
    <w:rsid w:val="004F5ED8"/>
    <w:rsid w:val="004F64DD"/>
    <w:rsid w:val="004F6533"/>
    <w:rsid w:val="004F665A"/>
    <w:rsid w:val="004F7427"/>
    <w:rsid w:val="004F7463"/>
    <w:rsid w:val="004F7699"/>
    <w:rsid w:val="00500171"/>
    <w:rsid w:val="005003A6"/>
    <w:rsid w:val="005004AB"/>
    <w:rsid w:val="005018AB"/>
    <w:rsid w:val="00501909"/>
    <w:rsid w:val="00501910"/>
    <w:rsid w:val="005019C1"/>
    <w:rsid w:val="005024FD"/>
    <w:rsid w:val="00502870"/>
    <w:rsid w:val="00502D8B"/>
    <w:rsid w:val="0050331E"/>
    <w:rsid w:val="005033CE"/>
    <w:rsid w:val="00503555"/>
    <w:rsid w:val="00503F0A"/>
    <w:rsid w:val="00504107"/>
    <w:rsid w:val="00504599"/>
    <w:rsid w:val="00504753"/>
    <w:rsid w:val="00504809"/>
    <w:rsid w:val="00505DBD"/>
    <w:rsid w:val="00505F18"/>
    <w:rsid w:val="0050677F"/>
    <w:rsid w:val="00506D13"/>
    <w:rsid w:val="00507464"/>
    <w:rsid w:val="005079FD"/>
    <w:rsid w:val="00507A51"/>
    <w:rsid w:val="00507F92"/>
    <w:rsid w:val="0051067B"/>
    <w:rsid w:val="00510E64"/>
    <w:rsid w:val="005115D6"/>
    <w:rsid w:val="0051170F"/>
    <w:rsid w:val="00511AB2"/>
    <w:rsid w:val="00511C1D"/>
    <w:rsid w:val="005120D4"/>
    <w:rsid w:val="00512718"/>
    <w:rsid w:val="00513629"/>
    <w:rsid w:val="0051385A"/>
    <w:rsid w:val="0051396A"/>
    <w:rsid w:val="00513985"/>
    <w:rsid w:val="00513BC1"/>
    <w:rsid w:val="00514367"/>
    <w:rsid w:val="0051535C"/>
    <w:rsid w:val="005155CD"/>
    <w:rsid w:val="00515E61"/>
    <w:rsid w:val="00517594"/>
    <w:rsid w:val="00517622"/>
    <w:rsid w:val="005179CD"/>
    <w:rsid w:val="005179F5"/>
    <w:rsid w:val="0052033B"/>
    <w:rsid w:val="00520631"/>
    <w:rsid w:val="0052083F"/>
    <w:rsid w:val="00520DDF"/>
    <w:rsid w:val="005213C4"/>
    <w:rsid w:val="0052187D"/>
    <w:rsid w:val="00521EAE"/>
    <w:rsid w:val="005224A0"/>
    <w:rsid w:val="00522995"/>
    <w:rsid w:val="00522BEA"/>
    <w:rsid w:val="00523375"/>
    <w:rsid w:val="005235BF"/>
    <w:rsid w:val="00523B67"/>
    <w:rsid w:val="00523D06"/>
    <w:rsid w:val="00523F25"/>
    <w:rsid w:val="00523F73"/>
    <w:rsid w:val="005246CC"/>
    <w:rsid w:val="00525505"/>
    <w:rsid w:val="00525692"/>
    <w:rsid w:val="00525A27"/>
    <w:rsid w:val="00525B5D"/>
    <w:rsid w:val="0052615D"/>
    <w:rsid w:val="00526A64"/>
    <w:rsid w:val="00526DC0"/>
    <w:rsid w:val="0052703F"/>
    <w:rsid w:val="0053066F"/>
    <w:rsid w:val="00530769"/>
    <w:rsid w:val="00530F27"/>
    <w:rsid w:val="005319BD"/>
    <w:rsid w:val="00531E54"/>
    <w:rsid w:val="00531ED7"/>
    <w:rsid w:val="005322B8"/>
    <w:rsid w:val="005322E8"/>
    <w:rsid w:val="0053266B"/>
    <w:rsid w:val="00532F94"/>
    <w:rsid w:val="005331BB"/>
    <w:rsid w:val="00533B0C"/>
    <w:rsid w:val="005340E9"/>
    <w:rsid w:val="005342DE"/>
    <w:rsid w:val="00534663"/>
    <w:rsid w:val="00534829"/>
    <w:rsid w:val="005349F9"/>
    <w:rsid w:val="00534F0F"/>
    <w:rsid w:val="00535855"/>
    <w:rsid w:val="005360D3"/>
    <w:rsid w:val="00536266"/>
    <w:rsid w:val="0053656F"/>
    <w:rsid w:val="00536818"/>
    <w:rsid w:val="00536947"/>
    <w:rsid w:val="00536B0B"/>
    <w:rsid w:val="00536F59"/>
    <w:rsid w:val="00537221"/>
    <w:rsid w:val="00537D53"/>
    <w:rsid w:val="005401F3"/>
    <w:rsid w:val="00540D24"/>
    <w:rsid w:val="00540D34"/>
    <w:rsid w:val="0054138E"/>
    <w:rsid w:val="00541F19"/>
    <w:rsid w:val="005426B7"/>
    <w:rsid w:val="005430ED"/>
    <w:rsid w:val="005440A4"/>
    <w:rsid w:val="005446B0"/>
    <w:rsid w:val="005448AE"/>
    <w:rsid w:val="005459A8"/>
    <w:rsid w:val="00545FA0"/>
    <w:rsid w:val="00546143"/>
    <w:rsid w:val="005473C2"/>
    <w:rsid w:val="00547A80"/>
    <w:rsid w:val="005506F0"/>
    <w:rsid w:val="0055088F"/>
    <w:rsid w:val="00550D9A"/>
    <w:rsid w:val="005510B1"/>
    <w:rsid w:val="00551459"/>
    <w:rsid w:val="00551785"/>
    <w:rsid w:val="00551A71"/>
    <w:rsid w:val="005527CB"/>
    <w:rsid w:val="00552927"/>
    <w:rsid w:val="00552C72"/>
    <w:rsid w:val="00553544"/>
    <w:rsid w:val="0055371A"/>
    <w:rsid w:val="00553A47"/>
    <w:rsid w:val="00553ADE"/>
    <w:rsid w:val="00553B49"/>
    <w:rsid w:val="005542B2"/>
    <w:rsid w:val="00554311"/>
    <w:rsid w:val="00555729"/>
    <w:rsid w:val="005566A3"/>
    <w:rsid w:val="00556E45"/>
    <w:rsid w:val="005573B3"/>
    <w:rsid w:val="005573BB"/>
    <w:rsid w:val="00557804"/>
    <w:rsid w:val="00557A02"/>
    <w:rsid w:val="00557A50"/>
    <w:rsid w:val="00557D06"/>
    <w:rsid w:val="00560C60"/>
    <w:rsid w:val="00561042"/>
    <w:rsid w:val="0056196B"/>
    <w:rsid w:val="00561FD9"/>
    <w:rsid w:val="005622AB"/>
    <w:rsid w:val="005628D2"/>
    <w:rsid w:val="00562B2C"/>
    <w:rsid w:val="0056360C"/>
    <w:rsid w:val="0056363D"/>
    <w:rsid w:val="005643BD"/>
    <w:rsid w:val="00564BFF"/>
    <w:rsid w:val="00564D95"/>
    <w:rsid w:val="0056509A"/>
    <w:rsid w:val="005658C5"/>
    <w:rsid w:val="00565970"/>
    <w:rsid w:val="005660E2"/>
    <w:rsid w:val="0056613A"/>
    <w:rsid w:val="0056654D"/>
    <w:rsid w:val="00566725"/>
    <w:rsid w:val="00566C03"/>
    <w:rsid w:val="005677D4"/>
    <w:rsid w:val="00570930"/>
    <w:rsid w:val="00570C07"/>
    <w:rsid w:val="00570CE4"/>
    <w:rsid w:val="00570F8B"/>
    <w:rsid w:val="00571344"/>
    <w:rsid w:val="00571A0D"/>
    <w:rsid w:val="00571EAB"/>
    <w:rsid w:val="0057259D"/>
    <w:rsid w:val="005727D4"/>
    <w:rsid w:val="00572A24"/>
    <w:rsid w:val="00573021"/>
    <w:rsid w:val="005735FC"/>
    <w:rsid w:val="00573616"/>
    <w:rsid w:val="00573F6C"/>
    <w:rsid w:val="00574623"/>
    <w:rsid w:val="00574BB1"/>
    <w:rsid w:val="00574BBB"/>
    <w:rsid w:val="00574BEC"/>
    <w:rsid w:val="00575688"/>
    <w:rsid w:val="005756A5"/>
    <w:rsid w:val="0057598D"/>
    <w:rsid w:val="00575F02"/>
    <w:rsid w:val="00576498"/>
    <w:rsid w:val="005765DB"/>
    <w:rsid w:val="00580044"/>
    <w:rsid w:val="00580134"/>
    <w:rsid w:val="00581EB2"/>
    <w:rsid w:val="00582103"/>
    <w:rsid w:val="0058254D"/>
    <w:rsid w:val="00582880"/>
    <w:rsid w:val="00582C08"/>
    <w:rsid w:val="00582C70"/>
    <w:rsid w:val="0058315D"/>
    <w:rsid w:val="00583185"/>
    <w:rsid w:val="0058374D"/>
    <w:rsid w:val="00584123"/>
    <w:rsid w:val="00584527"/>
    <w:rsid w:val="00584668"/>
    <w:rsid w:val="00584B6A"/>
    <w:rsid w:val="00585959"/>
    <w:rsid w:val="00585BC2"/>
    <w:rsid w:val="005867E7"/>
    <w:rsid w:val="00586AB8"/>
    <w:rsid w:val="00586C93"/>
    <w:rsid w:val="005873EB"/>
    <w:rsid w:val="00587A22"/>
    <w:rsid w:val="00590296"/>
    <w:rsid w:val="00590F88"/>
    <w:rsid w:val="005913D1"/>
    <w:rsid w:val="00591597"/>
    <w:rsid w:val="00591864"/>
    <w:rsid w:val="0059249C"/>
    <w:rsid w:val="00592E75"/>
    <w:rsid w:val="0059425A"/>
    <w:rsid w:val="005945C8"/>
    <w:rsid w:val="00594EFC"/>
    <w:rsid w:val="00595193"/>
    <w:rsid w:val="00595FD8"/>
    <w:rsid w:val="00596EBD"/>
    <w:rsid w:val="00596F4D"/>
    <w:rsid w:val="00596F83"/>
    <w:rsid w:val="0059735F"/>
    <w:rsid w:val="00597BC3"/>
    <w:rsid w:val="005A08D0"/>
    <w:rsid w:val="005A1138"/>
    <w:rsid w:val="005A18E0"/>
    <w:rsid w:val="005A19DB"/>
    <w:rsid w:val="005A2F23"/>
    <w:rsid w:val="005A2FC0"/>
    <w:rsid w:val="005A338D"/>
    <w:rsid w:val="005A36A2"/>
    <w:rsid w:val="005A3C12"/>
    <w:rsid w:val="005A4830"/>
    <w:rsid w:val="005A486A"/>
    <w:rsid w:val="005A4E0A"/>
    <w:rsid w:val="005A4FB1"/>
    <w:rsid w:val="005A54B6"/>
    <w:rsid w:val="005A54E0"/>
    <w:rsid w:val="005A733B"/>
    <w:rsid w:val="005A75AD"/>
    <w:rsid w:val="005A79B9"/>
    <w:rsid w:val="005A7BC0"/>
    <w:rsid w:val="005A7D62"/>
    <w:rsid w:val="005A7E6C"/>
    <w:rsid w:val="005B0A78"/>
    <w:rsid w:val="005B0B58"/>
    <w:rsid w:val="005B188F"/>
    <w:rsid w:val="005B3B4E"/>
    <w:rsid w:val="005B4004"/>
    <w:rsid w:val="005B5169"/>
    <w:rsid w:val="005B51B2"/>
    <w:rsid w:val="005B52EF"/>
    <w:rsid w:val="005B53EB"/>
    <w:rsid w:val="005B5CC2"/>
    <w:rsid w:val="005B5E66"/>
    <w:rsid w:val="005B5F0A"/>
    <w:rsid w:val="005B63EF"/>
    <w:rsid w:val="005B66AD"/>
    <w:rsid w:val="005B6725"/>
    <w:rsid w:val="005B79CA"/>
    <w:rsid w:val="005B7C50"/>
    <w:rsid w:val="005B7DDF"/>
    <w:rsid w:val="005C0F96"/>
    <w:rsid w:val="005C202C"/>
    <w:rsid w:val="005C280E"/>
    <w:rsid w:val="005C29F8"/>
    <w:rsid w:val="005C2BA4"/>
    <w:rsid w:val="005C362A"/>
    <w:rsid w:val="005C3BB5"/>
    <w:rsid w:val="005C3DF6"/>
    <w:rsid w:val="005C4208"/>
    <w:rsid w:val="005C4311"/>
    <w:rsid w:val="005C50DB"/>
    <w:rsid w:val="005C6000"/>
    <w:rsid w:val="005C6BF5"/>
    <w:rsid w:val="005C6DCB"/>
    <w:rsid w:val="005C7E7C"/>
    <w:rsid w:val="005D0690"/>
    <w:rsid w:val="005D1372"/>
    <w:rsid w:val="005D18BE"/>
    <w:rsid w:val="005D27F7"/>
    <w:rsid w:val="005D296B"/>
    <w:rsid w:val="005D2BAC"/>
    <w:rsid w:val="005D2BDF"/>
    <w:rsid w:val="005D2DDB"/>
    <w:rsid w:val="005D3E4E"/>
    <w:rsid w:val="005D3F8B"/>
    <w:rsid w:val="005D41B6"/>
    <w:rsid w:val="005D4362"/>
    <w:rsid w:val="005D5131"/>
    <w:rsid w:val="005D5508"/>
    <w:rsid w:val="005D604C"/>
    <w:rsid w:val="005D6713"/>
    <w:rsid w:val="005D6D24"/>
    <w:rsid w:val="005D6EB4"/>
    <w:rsid w:val="005D702C"/>
    <w:rsid w:val="005D7714"/>
    <w:rsid w:val="005E00AD"/>
    <w:rsid w:val="005E0303"/>
    <w:rsid w:val="005E05A2"/>
    <w:rsid w:val="005E0706"/>
    <w:rsid w:val="005E1087"/>
    <w:rsid w:val="005E127B"/>
    <w:rsid w:val="005E2440"/>
    <w:rsid w:val="005E3248"/>
    <w:rsid w:val="005E34E0"/>
    <w:rsid w:val="005E5083"/>
    <w:rsid w:val="005E59DB"/>
    <w:rsid w:val="005E6AE6"/>
    <w:rsid w:val="005E70DD"/>
    <w:rsid w:val="005E7410"/>
    <w:rsid w:val="005E751A"/>
    <w:rsid w:val="005F00C3"/>
    <w:rsid w:val="005F0A05"/>
    <w:rsid w:val="005F0D3B"/>
    <w:rsid w:val="005F1C33"/>
    <w:rsid w:val="005F28F5"/>
    <w:rsid w:val="005F2D87"/>
    <w:rsid w:val="005F2FF9"/>
    <w:rsid w:val="005F3399"/>
    <w:rsid w:val="005F370C"/>
    <w:rsid w:val="005F408F"/>
    <w:rsid w:val="005F442C"/>
    <w:rsid w:val="005F5010"/>
    <w:rsid w:val="005F5161"/>
    <w:rsid w:val="005F53B8"/>
    <w:rsid w:val="005F5514"/>
    <w:rsid w:val="005F55A1"/>
    <w:rsid w:val="005F55E8"/>
    <w:rsid w:val="005F5EDD"/>
    <w:rsid w:val="005F5FE9"/>
    <w:rsid w:val="005F6116"/>
    <w:rsid w:val="005F61B8"/>
    <w:rsid w:val="005F6328"/>
    <w:rsid w:val="005F7457"/>
    <w:rsid w:val="005F7CB9"/>
    <w:rsid w:val="00600C5D"/>
    <w:rsid w:val="00600E15"/>
    <w:rsid w:val="0060126E"/>
    <w:rsid w:val="006016F5"/>
    <w:rsid w:val="00601806"/>
    <w:rsid w:val="00602A2C"/>
    <w:rsid w:val="00602C4C"/>
    <w:rsid w:val="0060363C"/>
    <w:rsid w:val="00603B42"/>
    <w:rsid w:val="00604657"/>
    <w:rsid w:val="00605029"/>
    <w:rsid w:val="006051E8"/>
    <w:rsid w:val="0060541C"/>
    <w:rsid w:val="00605930"/>
    <w:rsid w:val="00605B96"/>
    <w:rsid w:val="00606346"/>
    <w:rsid w:val="006066C2"/>
    <w:rsid w:val="00606705"/>
    <w:rsid w:val="006073AD"/>
    <w:rsid w:val="006078CF"/>
    <w:rsid w:val="006104B2"/>
    <w:rsid w:val="00612294"/>
    <w:rsid w:val="006122DB"/>
    <w:rsid w:val="00612978"/>
    <w:rsid w:val="00612B24"/>
    <w:rsid w:val="00613356"/>
    <w:rsid w:val="006133A3"/>
    <w:rsid w:val="00613CEA"/>
    <w:rsid w:val="00613D6A"/>
    <w:rsid w:val="006148DA"/>
    <w:rsid w:val="00614B2B"/>
    <w:rsid w:val="00614E43"/>
    <w:rsid w:val="00615548"/>
    <w:rsid w:val="00615BD0"/>
    <w:rsid w:val="006164AF"/>
    <w:rsid w:val="006164C9"/>
    <w:rsid w:val="00616510"/>
    <w:rsid w:val="00616AB4"/>
    <w:rsid w:val="00616AF8"/>
    <w:rsid w:val="00616BA4"/>
    <w:rsid w:val="00616E19"/>
    <w:rsid w:val="006170BD"/>
    <w:rsid w:val="00617714"/>
    <w:rsid w:val="00617B8B"/>
    <w:rsid w:val="00617F81"/>
    <w:rsid w:val="00620267"/>
    <w:rsid w:val="006203BF"/>
    <w:rsid w:val="00620A1E"/>
    <w:rsid w:val="006210B5"/>
    <w:rsid w:val="006217DF"/>
    <w:rsid w:val="00621E9E"/>
    <w:rsid w:val="006221A4"/>
    <w:rsid w:val="00622F65"/>
    <w:rsid w:val="006234B7"/>
    <w:rsid w:val="00623954"/>
    <w:rsid w:val="00625011"/>
    <w:rsid w:val="00625882"/>
    <w:rsid w:val="00625DA1"/>
    <w:rsid w:val="00625E3A"/>
    <w:rsid w:val="00626739"/>
    <w:rsid w:val="006267C0"/>
    <w:rsid w:val="006279F2"/>
    <w:rsid w:val="006301A1"/>
    <w:rsid w:val="00630925"/>
    <w:rsid w:val="006309D0"/>
    <w:rsid w:val="00630A49"/>
    <w:rsid w:val="00630DF5"/>
    <w:rsid w:val="006315A8"/>
    <w:rsid w:val="006318FB"/>
    <w:rsid w:val="00631963"/>
    <w:rsid w:val="00631A85"/>
    <w:rsid w:val="0063215B"/>
    <w:rsid w:val="00632372"/>
    <w:rsid w:val="006327F7"/>
    <w:rsid w:val="00632E65"/>
    <w:rsid w:val="00633044"/>
    <w:rsid w:val="006332DC"/>
    <w:rsid w:val="006335E9"/>
    <w:rsid w:val="00633B86"/>
    <w:rsid w:val="0063426D"/>
    <w:rsid w:val="006342FA"/>
    <w:rsid w:val="0063434A"/>
    <w:rsid w:val="00634AD8"/>
    <w:rsid w:val="00635026"/>
    <w:rsid w:val="00635660"/>
    <w:rsid w:val="006357C5"/>
    <w:rsid w:val="006359CF"/>
    <w:rsid w:val="00635E50"/>
    <w:rsid w:val="00636061"/>
    <w:rsid w:val="0063655B"/>
    <w:rsid w:val="00636B0E"/>
    <w:rsid w:val="006376ED"/>
    <w:rsid w:val="00637BE2"/>
    <w:rsid w:val="00637C47"/>
    <w:rsid w:val="006407B2"/>
    <w:rsid w:val="00640F04"/>
    <w:rsid w:val="00641023"/>
    <w:rsid w:val="00641149"/>
    <w:rsid w:val="0064117D"/>
    <w:rsid w:val="006414D9"/>
    <w:rsid w:val="00641893"/>
    <w:rsid w:val="00641AC8"/>
    <w:rsid w:val="00641F99"/>
    <w:rsid w:val="0064217C"/>
    <w:rsid w:val="006424B2"/>
    <w:rsid w:val="00642FF1"/>
    <w:rsid w:val="00642FFD"/>
    <w:rsid w:val="0064369A"/>
    <w:rsid w:val="00643D78"/>
    <w:rsid w:val="00644A3A"/>
    <w:rsid w:val="00644AC8"/>
    <w:rsid w:val="0064501C"/>
    <w:rsid w:val="00645750"/>
    <w:rsid w:val="006457D1"/>
    <w:rsid w:val="00646642"/>
    <w:rsid w:val="00646E42"/>
    <w:rsid w:val="006470C4"/>
    <w:rsid w:val="0064716E"/>
    <w:rsid w:val="0064778E"/>
    <w:rsid w:val="006478FC"/>
    <w:rsid w:val="006479A2"/>
    <w:rsid w:val="00647F29"/>
    <w:rsid w:val="00650385"/>
    <w:rsid w:val="00650524"/>
    <w:rsid w:val="00650592"/>
    <w:rsid w:val="00650873"/>
    <w:rsid w:val="00650E5B"/>
    <w:rsid w:val="00651E83"/>
    <w:rsid w:val="00652135"/>
    <w:rsid w:val="0065316F"/>
    <w:rsid w:val="006536FF"/>
    <w:rsid w:val="00653B49"/>
    <w:rsid w:val="00653D42"/>
    <w:rsid w:val="006543C8"/>
    <w:rsid w:val="0065474E"/>
    <w:rsid w:val="00654A4B"/>
    <w:rsid w:val="0065503C"/>
    <w:rsid w:val="006550C3"/>
    <w:rsid w:val="006555C2"/>
    <w:rsid w:val="00655C91"/>
    <w:rsid w:val="00655F47"/>
    <w:rsid w:val="0065643A"/>
    <w:rsid w:val="00657135"/>
    <w:rsid w:val="00660173"/>
    <w:rsid w:val="006603CA"/>
    <w:rsid w:val="006618C8"/>
    <w:rsid w:val="006620B0"/>
    <w:rsid w:val="006620F3"/>
    <w:rsid w:val="00662806"/>
    <w:rsid w:val="006634D9"/>
    <w:rsid w:val="00664D35"/>
    <w:rsid w:val="00665097"/>
    <w:rsid w:val="00665E2F"/>
    <w:rsid w:val="00665E66"/>
    <w:rsid w:val="00666042"/>
    <w:rsid w:val="00667704"/>
    <w:rsid w:val="00667B66"/>
    <w:rsid w:val="00670C09"/>
    <w:rsid w:val="00671E7A"/>
    <w:rsid w:val="006728F7"/>
    <w:rsid w:val="00672CF2"/>
    <w:rsid w:val="00672EE9"/>
    <w:rsid w:val="006736C1"/>
    <w:rsid w:val="006737FF"/>
    <w:rsid w:val="00673813"/>
    <w:rsid w:val="00674187"/>
    <w:rsid w:val="006746B1"/>
    <w:rsid w:val="006748D9"/>
    <w:rsid w:val="00674A5C"/>
    <w:rsid w:val="0067614F"/>
    <w:rsid w:val="00676225"/>
    <w:rsid w:val="00676379"/>
    <w:rsid w:val="00676431"/>
    <w:rsid w:val="006765F7"/>
    <w:rsid w:val="0067663D"/>
    <w:rsid w:val="006766B1"/>
    <w:rsid w:val="00676950"/>
    <w:rsid w:val="006771AA"/>
    <w:rsid w:val="00677BB1"/>
    <w:rsid w:val="00677C8C"/>
    <w:rsid w:val="006800AF"/>
    <w:rsid w:val="00680330"/>
    <w:rsid w:val="00680720"/>
    <w:rsid w:val="00681631"/>
    <w:rsid w:val="00681B2A"/>
    <w:rsid w:val="00681BA6"/>
    <w:rsid w:val="006822BE"/>
    <w:rsid w:val="006833AD"/>
    <w:rsid w:val="00683CF6"/>
    <w:rsid w:val="00684B51"/>
    <w:rsid w:val="00684C47"/>
    <w:rsid w:val="00684EE4"/>
    <w:rsid w:val="00685039"/>
    <w:rsid w:val="006856E6"/>
    <w:rsid w:val="00685BA9"/>
    <w:rsid w:val="00685C73"/>
    <w:rsid w:val="00686ABE"/>
    <w:rsid w:val="00686D7F"/>
    <w:rsid w:val="00686E2E"/>
    <w:rsid w:val="006879FA"/>
    <w:rsid w:val="006904CC"/>
    <w:rsid w:val="006905C9"/>
    <w:rsid w:val="00690A61"/>
    <w:rsid w:val="00690AC9"/>
    <w:rsid w:val="00691390"/>
    <w:rsid w:val="00691ABA"/>
    <w:rsid w:val="0069207F"/>
    <w:rsid w:val="00692B95"/>
    <w:rsid w:val="006936D7"/>
    <w:rsid w:val="006938D2"/>
    <w:rsid w:val="00693A7B"/>
    <w:rsid w:val="00694372"/>
    <w:rsid w:val="00694A39"/>
    <w:rsid w:val="00694EEA"/>
    <w:rsid w:val="00695A84"/>
    <w:rsid w:val="00695D78"/>
    <w:rsid w:val="00696E62"/>
    <w:rsid w:val="0069727E"/>
    <w:rsid w:val="006972BA"/>
    <w:rsid w:val="006973EB"/>
    <w:rsid w:val="00697434"/>
    <w:rsid w:val="006A01BD"/>
    <w:rsid w:val="006A02EA"/>
    <w:rsid w:val="006A08B4"/>
    <w:rsid w:val="006A11BE"/>
    <w:rsid w:val="006A28DE"/>
    <w:rsid w:val="006A36C0"/>
    <w:rsid w:val="006A3AA9"/>
    <w:rsid w:val="006A3B84"/>
    <w:rsid w:val="006A417F"/>
    <w:rsid w:val="006A44D8"/>
    <w:rsid w:val="006A451B"/>
    <w:rsid w:val="006A4596"/>
    <w:rsid w:val="006A5203"/>
    <w:rsid w:val="006A5881"/>
    <w:rsid w:val="006A72FD"/>
    <w:rsid w:val="006A7621"/>
    <w:rsid w:val="006A7CCA"/>
    <w:rsid w:val="006A7DB5"/>
    <w:rsid w:val="006B068C"/>
    <w:rsid w:val="006B0D68"/>
    <w:rsid w:val="006B0F30"/>
    <w:rsid w:val="006B0FD9"/>
    <w:rsid w:val="006B10DC"/>
    <w:rsid w:val="006B14AD"/>
    <w:rsid w:val="006B15E1"/>
    <w:rsid w:val="006B1FFB"/>
    <w:rsid w:val="006B23FB"/>
    <w:rsid w:val="006B33AE"/>
    <w:rsid w:val="006B39BD"/>
    <w:rsid w:val="006B4436"/>
    <w:rsid w:val="006B48EA"/>
    <w:rsid w:val="006B4CA9"/>
    <w:rsid w:val="006B4D98"/>
    <w:rsid w:val="006B5083"/>
    <w:rsid w:val="006B5750"/>
    <w:rsid w:val="006B6EF0"/>
    <w:rsid w:val="006B7031"/>
    <w:rsid w:val="006B75A3"/>
    <w:rsid w:val="006C0729"/>
    <w:rsid w:val="006C0CA1"/>
    <w:rsid w:val="006C25C4"/>
    <w:rsid w:val="006C2704"/>
    <w:rsid w:val="006C28CF"/>
    <w:rsid w:val="006C3252"/>
    <w:rsid w:val="006C3322"/>
    <w:rsid w:val="006C3A3D"/>
    <w:rsid w:val="006C3B7E"/>
    <w:rsid w:val="006C4BB8"/>
    <w:rsid w:val="006C4DA7"/>
    <w:rsid w:val="006C4F90"/>
    <w:rsid w:val="006C575D"/>
    <w:rsid w:val="006C58FD"/>
    <w:rsid w:val="006C6111"/>
    <w:rsid w:val="006C6B39"/>
    <w:rsid w:val="006C6D4D"/>
    <w:rsid w:val="006C7125"/>
    <w:rsid w:val="006D0A52"/>
    <w:rsid w:val="006D117B"/>
    <w:rsid w:val="006D1560"/>
    <w:rsid w:val="006D16E4"/>
    <w:rsid w:val="006D1A2B"/>
    <w:rsid w:val="006D20B0"/>
    <w:rsid w:val="006D21A8"/>
    <w:rsid w:val="006D2A9E"/>
    <w:rsid w:val="006D3BD7"/>
    <w:rsid w:val="006D3EE1"/>
    <w:rsid w:val="006D437F"/>
    <w:rsid w:val="006D44DC"/>
    <w:rsid w:val="006D4F8F"/>
    <w:rsid w:val="006D5937"/>
    <w:rsid w:val="006D5982"/>
    <w:rsid w:val="006D5A8B"/>
    <w:rsid w:val="006D5C56"/>
    <w:rsid w:val="006D5DC4"/>
    <w:rsid w:val="006D5E8D"/>
    <w:rsid w:val="006D5ECB"/>
    <w:rsid w:val="006D650D"/>
    <w:rsid w:val="006D685F"/>
    <w:rsid w:val="006D7047"/>
    <w:rsid w:val="006D741F"/>
    <w:rsid w:val="006D77A0"/>
    <w:rsid w:val="006D7D0C"/>
    <w:rsid w:val="006D7F77"/>
    <w:rsid w:val="006E0CC6"/>
    <w:rsid w:val="006E1738"/>
    <w:rsid w:val="006E1A87"/>
    <w:rsid w:val="006E2B53"/>
    <w:rsid w:val="006E2BBB"/>
    <w:rsid w:val="006E2D94"/>
    <w:rsid w:val="006E3068"/>
    <w:rsid w:val="006E3226"/>
    <w:rsid w:val="006E3F55"/>
    <w:rsid w:val="006E4B85"/>
    <w:rsid w:val="006E52F6"/>
    <w:rsid w:val="006E5A0E"/>
    <w:rsid w:val="006E5A3F"/>
    <w:rsid w:val="006E5AE4"/>
    <w:rsid w:val="006E60EA"/>
    <w:rsid w:val="006E6280"/>
    <w:rsid w:val="006F0B24"/>
    <w:rsid w:val="006F0FFF"/>
    <w:rsid w:val="006F1DE4"/>
    <w:rsid w:val="006F2250"/>
    <w:rsid w:val="006F2592"/>
    <w:rsid w:val="006F2A7D"/>
    <w:rsid w:val="006F3482"/>
    <w:rsid w:val="006F3531"/>
    <w:rsid w:val="006F391E"/>
    <w:rsid w:val="006F3C93"/>
    <w:rsid w:val="006F4307"/>
    <w:rsid w:val="006F4BF7"/>
    <w:rsid w:val="006F5957"/>
    <w:rsid w:val="006F6351"/>
    <w:rsid w:val="006F6B8F"/>
    <w:rsid w:val="006F6E8E"/>
    <w:rsid w:val="0070083E"/>
    <w:rsid w:val="00700E96"/>
    <w:rsid w:val="00700FD9"/>
    <w:rsid w:val="00701B5B"/>
    <w:rsid w:val="00702A40"/>
    <w:rsid w:val="00702CFF"/>
    <w:rsid w:val="00703FA0"/>
    <w:rsid w:val="00704B70"/>
    <w:rsid w:val="00704C17"/>
    <w:rsid w:val="00704E6A"/>
    <w:rsid w:val="007057AB"/>
    <w:rsid w:val="007059B2"/>
    <w:rsid w:val="007072DC"/>
    <w:rsid w:val="00707AF3"/>
    <w:rsid w:val="00707D22"/>
    <w:rsid w:val="0071007C"/>
    <w:rsid w:val="0071022D"/>
    <w:rsid w:val="007104B6"/>
    <w:rsid w:val="00710CAA"/>
    <w:rsid w:val="00711473"/>
    <w:rsid w:val="007122B2"/>
    <w:rsid w:val="00712877"/>
    <w:rsid w:val="007134D3"/>
    <w:rsid w:val="007135ED"/>
    <w:rsid w:val="0071385D"/>
    <w:rsid w:val="00713B92"/>
    <w:rsid w:val="007146BE"/>
    <w:rsid w:val="00714F02"/>
    <w:rsid w:val="00715270"/>
    <w:rsid w:val="00715CA8"/>
    <w:rsid w:val="00715E1E"/>
    <w:rsid w:val="007164C1"/>
    <w:rsid w:val="007165D5"/>
    <w:rsid w:val="00716EB9"/>
    <w:rsid w:val="00717580"/>
    <w:rsid w:val="00717710"/>
    <w:rsid w:val="00720099"/>
    <w:rsid w:val="007200FD"/>
    <w:rsid w:val="0072060C"/>
    <w:rsid w:val="00720AC8"/>
    <w:rsid w:val="00721FDA"/>
    <w:rsid w:val="007227E3"/>
    <w:rsid w:val="007239EC"/>
    <w:rsid w:val="00723A08"/>
    <w:rsid w:val="007243CE"/>
    <w:rsid w:val="00724BCB"/>
    <w:rsid w:val="00724E03"/>
    <w:rsid w:val="00724EC4"/>
    <w:rsid w:val="00724F2E"/>
    <w:rsid w:val="00725433"/>
    <w:rsid w:val="007257BA"/>
    <w:rsid w:val="00725955"/>
    <w:rsid w:val="00725A32"/>
    <w:rsid w:val="00725F6D"/>
    <w:rsid w:val="007262AD"/>
    <w:rsid w:val="00726D4D"/>
    <w:rsid w:val="007270F5"/>
    <w:rsid w:val="00727644"/>
    <w:rsid w:val="00727E58"/>
    <w:rsid w:val="007303FE"/>
    <w:rsid w:val="0073067C"/>
    <w:rsid w:val="0073090D"/>
    <w:rsid w:val="00730C62"/>
    <w:rsid w:val="007312B2"/>
    <w:rsid w:val="00731910"/>
    <w:rsid w:val="00731E72"/>
    <w:rsid w:val="0073226E"/>
    <w:rsid w:val="007327EA"/>
    <w:rsid w:val="00733048"/>
    <w:rsid w:val="007341C1"/>
    <w:rsid w:val="00734221"/>
    <w:rsid w:val="0073456C"/>
    <w:rsid w:val="0073461B"/>
    <w:rsid w:val="007350F7"/>
    <w:rsid w:val="007362A1"/>
    <w:rsid w:val="00736620"/>
    <w:rsid w:val="00736AE6"/>
    <w:rsid w:val="00736E83"/>
    <w:rsid w:val="00737087"/>
    <w:rsid w:val="00740CBC"/>
    <w:rsid w:val="007413DC"/>
    <w:rsid w:val="0074189E"/>
    <w:rsid w:val="007419A9"/>
    <w:rsid w:val="007419E3"/>
    <w:rsid w:val="00741A36"/>
    <w:rsid w:val="0074232F"/>
    <w:rsid w:val="00742A9D"/>
    <w:rsid w:val="00742DCB"/>
    <w:rsid w:val="00742E14"/>
    <w:rsid w:val="00742F8B"/>
    <w:rsid w:val="00743643"/>
    <w:rsid w:val="00743759"/>
    <w:rsid w:val="00743EED"/>
    <w:rsid w:val="00744152"/>
    <w:rsid w:val="0074473E"/>
    <w:rsid w:val="0074520E"/>
    <w:rsid w:val="00745A63"/>
    <w:rsid w:val="00745BF1"/>
    <w:rsid w:val="0074762E"/>
    <w:rsid w:val="00747DFB"/>
    <w:rsid w:val="00747EAD"/>
    <w:rsid w:val="007504AA"/>
    <w:rsid w:val="00750CD5"/>
    <w:rsid w:val="007519E8"/>
    <w:rsid w:val="00751BFA"/>
    <w:rsid w:val="007524CC"/>
    <w:rsid w:val="007529F4"/>
    <w:rsid w:val="00752BAF"/>
    <w:rsid w:val="00752D76"/>
    <w:rsid w:val="00752EFE"/>
    <w:rsid w:val="00752FA3"/>
    <w:rsid w:val="0075451F"/>
    <w:rsid w:val="007545B3"/>
    <w:rsid w:val="00755AF7"/>
    <w:rsid w:val="0075626F"/>
    <w:rsid w:val="00756794"/>
    <w:rsid w:val="00756827"/>
    <w:rsid w:val="00756ABA"/>
    <w:rsid w:val="00756B33"/>
    <w:rsid w:val="00757054"/>
    <w:rsid w:val="00757B8A"/>
    <w:rsid w:val="00757D21"/>
    <w:rsid w:val="0076014E"/>
    <w:rsid w:val="007605BB"/>
    <w:rsid w:val="00760C8C"/>
    <w:rsid w:val="007617A4"/>
    <w:rsid w:val="00762DE8"/>
    <w:rsid w:val="0076314D"/>
    <w:rsid w:val="007631DD"/>
    <w:rsid w:val="00763780"/>
    <w:rsid w:val="007637D6"/>
    <w:rsid w:val="007639D7"/>
    <w:rsid w:val="00763C24"/>
    <w:rsid w:val="00763F84"/>
    <w:rsid w:val="00764DDE"/>
    <w:rsid w:val="00764FE1"/>
    <w:rsid w:val="00767A2B"/>
    <w:rsid w:val="007703CC"/>
    <w:rsid w:val="0077075F"/>
    <w:rsid w:val="00770816"/>
    <w:rsid w:val="007709B9"/>
    <w:rsid w:val="00770AF9"/>
    <w:rsid w:val="0077120F"/>
    <w:rsid w:val="007717C9"/>
    <w:rsid w:val="0077223E"/>
    <w:rsid w:val="0077257F"/>
    <w:rsid w:val="00773230"/>
    <w:rsid w:val="0077340A"/>
    <w:rsid w:val="00773D70"/>
    <w:rsid w:val="00773DD2"/>
    <w:rsid w:val="007742F1"/>
    <w:rsid w:val="00774726"/>
    <w:rsid w:val="00774972"/>
    <w:rsid w:val="00774A11"/>
    <w:rsid w:val="00774A90"/>
    <w:rsid w:val="00774DE0"/>
    <w:rsid w:val="00775686"/>
    <w:rsid w:val="00775716"/>
    <w:rsid w:val="007757B1"/>
    <w:rsid w:val="00775845"/>
    <w:rsid w:val="00775D73"/>
    <w:rsid w:val="00775E47"/>
    <w:rsid w:val="007765EF"/>
    <w:rsid w:val="007767D3"/>
    <w:rsid w:val="00776DD1"/>
    <w:rsid w:val="00776F26"/>
    <w:rsid w:val="0077712B"/>
    <w:rsid w:val="0077753E"/>
    <w:rsid w:val="00777946"/>
    <w:rsid w:val="007800BD"/>
    <w:rsid w:val="00780340"/>
    <w:rsid w:val="0078056F"/>
    <w:rsid w:val="00780CF3"/>
    <w:rsid w:val="00781112"/>
    <w:rsid w:val="007816D8"/>
    <w:rsid w:val="00781C0F"/>
    <w:rsid w:val="007822E4"/>
    <w:rsid w:val="007822FD"/>
    <w:rsid w:val="00782606"/>
    <w:rsid w:val="0078269B"/>
    <w:rsid w:val="007827D9"/>
    <w:rsid w:val="00782979"/>
    <w:rsid w:val="00782B5F"/>
    <w:rsid w:val="00782EC8"/>
    <w:rsid w:val="00782FB6"/>
    <w:rsid w:val="00783479"/>
    <w:rsid w:val="00783F1A"/>
    <w:rsid w:val="00784854"/>
    <w:rsid w:val="0078491F"/>
    <w:rsid w:val="0078546F"/>
    <w:rsid w:val="00785672"/>
    <w:rsid w:val="00785806"/>
    <w:rsid w:val="0078594A"/>
    <w:rsid w:val="007870F8"/>
    <w:rsid w:val="007874BB"/>
    <w:rsid w:val="00787AEB"/>
    <w:rsid w:val="007905E6"/>
    <w:rsid w:val="007917AE"/>
    <w:rsid w:val="00791C5F"/>
    <w:rsid w:val="00791DEB"/>
    <w:rsid w:val="007925C6"/>
    <w:rsid w:val="0079360D"/>
    <w:rsid w:val="00794672"/>
    <w:rsid w:val="00794931"/>
    <w:rsid w:val="00794A41"/>
    <w:rsid w:val="007950D4"/>
    <w:rsid w:val="007953D7"/>
    <w:rsid w:val="007954D3"/>
    <w:rsid w:val="00795995"/>
    <w:rsid w:val="00795E9E"/>
    <w:rsid w:val="00796266"/>
    <w:rsid w:val="00796DC0"/>
    <w:rsid w:val="007973B0"/>
    <w:rsid w:val="007A00C1"/>
    <w:rsid w:val="007A0221"/>
    <w:rsid w:val="007A1398"/>
    <w:rsid w:val="007A1B2A"/>
    <w:rsid w:val="007A2822"/>
    <w:rsid w:val="007A35E2"/>
    <w:rsid w:val="007A3964"/>
    <w:rsid w:val="007A3A34"/>
    <w:rsid w:val="007A467C"/>
    <w:rsid w:val="007A470E"/>
    <w:rsid w:val="007A59A7"/>
    <w:rsid w:val="007A5B01"/>
    <w:rsid w:val="007A5B63"/>
    <w:rsid w:val="007A5BA6"/>
    <w:rsid w:val="007A5EC1"/>
    <w:rsid w:val="007A62B9"/>
    <w:rsid w:val="007A6310"/>
    <w:rsid w:val="007A644D"/>
    <w:rsid w:val="007A6818"/>
    <w:rsid w:val="007A6ADA"/>
    <w:rsid w:val="007A715D"/>
    <w:rsid w:val="007A7E81"/>
    <w:rsid w:val="007A7E93"/>
    <w:rsid w:val="007B0A26"/>
    <w:rsid w:val="007B1221"/>
    <w:rsid w:val="007B1B7E"/>
    <w:rsid w:val="007B1DB7"/>
    <w:rsid w:val="007B2B8D"/>
    <w:rsid w:val="007B35BE"/>
    <w:rsid w:val="007B46BF"/>
    <w:rsid w:val="007B5383"/>
    <w:rsid w:val="007B5C1B"/>
    <w:rsid w:val="007B6017"/>
    <w:rsid w:val="007B61E6"/>
    <w:rsid w:val="007B69ED"/>
    <w:rsid w:val="007B6B98"/>
    <w:rsid w:val="007B7736"/>
    <w:rsid w:val="007B78ED"/>
    <w:rsid w:val="007B7ACE"/>
    <w:rsid w:val="007B7D25"/>
    <w:rsid w:val="007C0107"/>
    <w:rsid w:val="007C0E6F"/>
    <w:rsid w:val="007C139C"/>
    <w:rsid w:val="007C1AC4"/>
    <w:rsid w:val="007C1BCF"/>
    <w:rsid w:val="007C1FC9"/>
    <w:rsid w:val="007C2607"/>
    <w:rsid w:val="007C29FA"/>
    <w:rsid w:val="007C2ABB"/>
    <w:rsid w:val="007C2BE4"/>
    <w:rsid w:val="007C3067"/>
    <w:rsid w:val="007C3C89"/>
    <w:rsid w:val="007C3E25"/>
    <w:rsid w:val="007C4262"/>
    <w:rsid w:val="007C4B0E"/>
    <w:rsid w:val="007C5CB2"/>
    <w:rsid w:val="007C5E7D"/>
    <w:rsid w:val="007C66BF"/>
    <w:rsid w:val="007C67E2"/>
    <w:rsid w:val="007C7971"/>
    <w:rsid w:val="007C7DFF"/>
    <w:rsid w:val="007C7E17"/>
    <w:rsid w:val="007D01BC"/>
    <w:rsid w:val="007D07C4"/>
    <w:rsid w:val="007D0AB6"/>
    <w:rsid w:val="007D100A"/>
    <w:rsid w:val="007D1137"/>
    <w:rsid w:val="007D116C"/>
    <w:rsid w:val="007D12EA"/>
    <w:rsid w:val="007D156B"/>
    <w:rsid w:val="007D168C"/>
    <w:rsid w:val="007D219D"/>
    <w:rsid w:val="007D28D0"/>
    <w:rsid w:val="007D2F92"/>
    <w:rsid w:val="007D374D"/>
    <w:rsid w:val="007D3D18"/>
    <w:rsid w:val="007D3F55"/>
    <w:rsid w:val="007D4253"/>
    <w:rsid w:val="007D433F"/>
    <w:rsid w:val="007D435F"/>
    <w:rsid w:val="007D527A"/>
    <w:rsid w:val="007D5D8B"/>
    <w:rsid w:val="007D5FA6"/>
    <w:rsid w:val="007D64C9"/>
    <w:rsid w:val="007D6635"/>
    <w:rsid w:val="007D6BB1"/>
    <w:rsid w:val="007D755C"/>
    <w:rsid w:val="007D798F"/>
    <w:rsid w:val="007D7A20"/>
    <w:rsid w:val="007E0A04"/>
    <w:rsid w:val="007E0BEC"/>
    <w:rsid w:val="007E10E7"/>
    <w:rsid w:val="007E1738"/>
    <w:rsid w:val="007E1791"/>
    <w:rsid w:val="007E1833"/>
    <w:rsid w:val="007E2779"/>
    <w:rsid w:val="007E3073"/>
    <w:rsid w:val="007E35D9"/>
    <w:rsid w:val="007E3B19"/>
    <w:rsid w:val="007E4314"/>
    <w:rsid w:val="007E4572"/>
    <w:rsid w:val="007E4838"/>
    <w:rsid w:val="007E4BE9"/>
    <w:rsid w:val="007E4BF2"/>
    <w:rsid w:val="007E5038"/>
    <w:rsid w:val="007E57D2"/>
    <w:rsid w:val="007E58E3"/>
    <w:rsid w:val="007E5E5B"/>
    <w:rsid w:val="007E6407"/>
    <w:rsid w:val="007E6810"/>
    <w:rsid w:val="007E6F97"/>
    <w:rsid w:val="007E6F9F"/>
    <w:rsid w:val="007E7764"/>
    <w:rsid w:val="007E77D6"/>
    <w:rsid w:val="007E7C36"/>
    <w:rsid w:val="007E7D2A"/>
    <w:rsid w:val="007F0425"/>
    <w:rsid w:val="007F0944"/>
    <w:rsid w:val="007F0969"/>
    <w:rsid w:val="007F0C33"/>
    <w:rsid w:val="007F0C5F"/>
    <w:rsid w:val="007F0CEC"/>
    <w:rsid w:val="007F10E6"/>
    <w:rsid w:val="007F1174"/>
    <w:rsid w:val="007F11D7"/>
    <w:rsid w:val="007F1383"/>
    <w:rsid w:val="007F15BC"/>
    <w:rsid w:val="007F164B"/>
    <w:rsid w:val="007F1D12"/>
    <w:rsid w:val="007F1DA7"/>
    <w:rsid w:val="007F1F79"/>
    <w:rsid w:val="007F2313"/>
    <w:rsid w:val="007F24E2"/>
    <w:rsid w:val="007F2DDE"/>
    <w:rsid w:val="007F337D"/>
    <w:rsid w:val="007F3B1A"/>
    <w:rsid w:val="007F3BA1"/>
    <w:rsid w:val="007F41FD"/>
    <w:rsid w:val="007F44A9"/>
    <w:rsid w:val="007F4592"/>
    <w:rsid w:val="007F5071"/>
    <w:rsid w:val="007F50EE"/>
    <w:rsid w:val="007F53F1"/>
    <w:rsid w:val="007F5604"/>
    <w:rsid w:val="007F6192"/>
    <w:rsid w:val="007F6756"/>
    <w:rsid w:val="007F67A9"/>
    <w:rsid w:val="007F67C7"/>
    <w:rsid w:val="007F6A1A"/>
    <w:rsid w:val="007F6AFF"/>
    <w:rsid w:val="007F6F3A"/>
    <w:rsid w:val="007F7063"/>
    <w:rsid w:val="007F7E44"/>
    <w:rsid w:val="007F7FF8"/>
    <w:rsid w:val="00802665"/>
    <w:rsid w:val="00802A46"/>
    <w:rsid w:val="00803155"/>
    <w:rsid w:val="00803CFD"/>
    <w:rsid w:val="00803FBB"/>
    <w:rsid w:val="0080439F"/>
    <w:rsid w:val="008043A8"/>
    <w:rsid w:val="00805910"/>
    <w:rsid w:val="00805DD3"/>
    <w:rsid w:val="00805F54"/>
    <w:rsid w:val="00806AE6"/>
    <w:rsid w:val="00806C75"/>
    <w:rsid w:val="008078DE"/>
    <w:rsid w:val="00807AD3"/>
    <w:rsid w:val="008108AC"/>
    <w:rsid w:val="00810DCF"/>
    <w:rsid w:val="008115FD"/>
    <w:rsid w:val="0081195E"/>
    <w:rsid w:val="00811A99"/>
    <w:rsid w:val="00811B13"/>
    <w:rsid w:val="008137CC"/>
    <w:rsid w:val="0081430E"/>
    <w:rsid w:val="00814341"/>
    <w:rsid w:val="008149EF"/>
    <w:rsid w:val="008151EC"/>
    <w:rsid w:val="00815B9B"/>
    <w:rsid w:val="00816065"/>
    <w:rsid w:val="00817042"/>
    <w:rsid w:val="008174C3"/>
    <w:rsid w:val="00820441"/>
    <w:rsid w:val="008206CE"/>
    <w:rsid w:val="00820751"/>
    <w:rsid w:val="00820AD0"/>
    <w:rsid w:val="0082130B"/>
    <w:rsid w:val="00821BA2"/>
    <w:rsid w:val="008221C1"/>
    <w:rsid w:val="008227D4"/>
    <w:rsid w:val="00823232"/>
    <w:rsid w:val="00823A32"/>
    <w:rsid w:val="00823B4C"/>
    <w:rsid w:val="0082411F"/>
    <w:rsid w:val="00824D00"/>
    <w:rsid w:val="00825455"/>
    <w:rsid w:val="00825520"/>
    <w:rsid w:val="0082560D"/>
    <w:rsid w:val="0082568C"/>
    <w:rsid w:val="0082574D"/>
    <w:rsid w:val="00825D03"/>
    <w:rsid w:val="00825F7C"/>
    <w:rsid w:val="00826A26"/>
    <w:rsid w:val="00826A44"/>
    <w:rsid w:val="00826CF1"/>
    <w:rsid w:val="00826D36"/>
    <w:rsid w:val="00827192"/>
    <w:rsid w:val="00827EE7"/>
    <w:rsid w:val="00827FF4"/>
    <w:rsid w:val="00830159"/>
    <w:rsid w:val="00830178"/>
    <w:rsid w:val="00831025"/>
    <w:rsid w:val="00831752"/>
    <w:rsid w:val="00831918"/>
    <w:rsid w:val="00831B93"/>
    <w:rsid w:val="00831CDE"/>
    <w:rsid w:val="0083260B"/>
    <w:rsid w:val="008327A8"/>
    <w:rsid w:val="00832807"/>
    <w:rsid w:val="00832D0E"/>
    <w:rsid w:val="0083356C"/>
    <w:rsid w:val="00833727"/>
    <w:rsid w:val="0083390E"/>
    <w:rsid w:val="00833FDC"/>
    <w:rsid w:val="008345E5"/>
    <w:rsid w:val="0083466B"/>
    <w:rsid w:val="0083484B"/>
    <w:rsid w:val="00834A7C"/>
    <w:rsid w:val="00834FE5"/>
    <w:rsid w:val="0083500D"/>
    <w:rsid w:val="00835297"/>
    <w:rsid w:val="00835A6C"/>
    <w:rsid w:val="00835CCC"/>
    <w:rsid w:val="00835EAD"/>
    <w:rsid w:val="00835F30"/>
    <w:rsid w:val="00836687"/>
    <w:rsid w:val="008375EB"/>
    <w:rsid w:val="00837E94"/>
    <w:rsid w:val="0084082F"/>
    <w:rsid w:val="00840EF0"/>
    <w:rsid w:val="00841302"/>
    <w:rsid w:val="00841CCE"/>
    <w:rsid w:val="00842A43"/>
    <w:rsid w:val="008438DC"/>
    <w:rsid w:val="00843E0F"/>
    <w:rsid w:val="008446B4"/>
    <w:rsid w:val="00844ADE"/>
    <w:rsid w:val="00844FD2"/>
    <w:rsid w:val="00845096"/>
    <w:rsid w:val="00845242"/>
    <w:rsid w:val="0084539D"/>
    <w:rsid w:val="00845B9B"/>
    <w:rsid w:val="00845C0C"/>
    <w:rsid w:val="00846055"/>
    <w:rsid w:val="0084674B"/>
    <w:rsid w:val="008469C7"/>
    <w:rsid w:val="00846D41"/>
    <w:rsid w:val="00846E78"/>
    <w:rsid w:val="0084727C"/>
    <w:rsid w:val="0084736E"/>
    <w:rsid w:val="008474CD"/>
    <w:rsid w:val="00847776"/>
    <w:rsid w:val="00847916"/>
    <w:rsid w:val="00847C4D"/>
    <w:rsid w:val="008500C1"/>
    <w:rsid w:val="00850BB0"/>
    <w:rsid w:val="0085119E"/>
    <w:rsid w:val="00851CC5"/>
    <w:rsid w:val="00851D2C"/>
    <w:rsid w:val="00851F98"/>
    <w:rsid w:val="008521F9"/>
    <w:rsid w:val="00852263"/>
    <w:rsid w:val="00852D5E"/>
    <w:rsid w:val="0085317B"/>
    <w:rsid w:val="0085328E"/>
    <w:rsid w:val="00853F0A"/>
    <w:rsid w:val="0085462C"/>
    <w:rsid w:val="008546BE"/>
    <w:rsid w:val="0085496F"/>
    <w:rsid w:val="00854A7F"/>
    <w:rsid w:val="008555F3"/>
    <w:rsid w:val="00855879"/>
    <w:rsid w:val="0085627F"/>
    <w:rsid w:val="00856344"/>
    <w:rsid w:val="008567C0"/>
    <w:rsid w:val="00856A9E"/>
    <w:rsid w:val="00856B0E"/>
    <w:rsid w:val="00856BA3"/>
    <w:rsid w:val="00856C4E"/>
    <w:rsid w:val="00856DE7"/>
    <w:rsid w:val="008579DB"/>
    <w:rsid w:val="00857B7C"/>
    <w:rsid w:val="00857C39"/>
    <w:rsid w:val="00857E4F"/>
    <w:rsid w:val="00861035"/>
    <w:rsid w:val="008610A8"/>
    <w:rsid w:val="00861D31"/>
    <w:rsid w:val="00861FBA"/>
    <w:rsid w:val="00862001"/>
    <w:rsid w:val="00862019"/>
    <w:rsid w:val="0086206B"/>
    <w:rsid w:val="00862248"/>
    <w:rsid w:val="008626F6"/>
    <w:rsid w:val="00862AC4"/>
    <w:rsid w:val="00862B20"/>
    <w:rsid w:val="00862B39"/>
    <w:rsid w:val="00862DA1"/>
    <w:rsid w:val="008637F8"/>
    <w:rsid w:val="0086391F"/>
    <w:rsid w:val="008639A1"/>
    <w:rsid w:val="008644AD"/>
    <w:rsid w:val="008645AD"/>
    <w:rsid w:val="00864A46"/>
    <w:rsid w:val="00864D12"/>
    <w:rsid w:val="00864E23"/>
    <w:rsid w:val="00864F0F"/>
    <w:rsid w:val="008652F1"/>
    <w:rsid w:val="00865331"/>
    <w:rsid w:val="008657CA"/>
    <w:rsid w:val="00865DD5"/>
    <w:rsid w:val="0086649A"/>
    <w:rsid w:val="008667B9"/>
    <w:rsid w:val="00866B4D"/>
    <w:rsid w:val="00866DC4"/>
    <w:rsid w:val="008671C9"/>
    <w:rsid w:val="008676CB"/>
    <w:rsid w:val="00870121"/>
    <w:rsid w:val="0087093B"/>
    <w:rsid w:val="00870B5A"/>
    <w:rsid w:val="00870D14"/>
    <w:rsid w:val="0087115E"/>
    <w:rsid w:val="0087130D"/>
    <w:rsid w:val="008716CB"/>
    <w:rsid w:val="0087186A"/>
    <w:rsid w:val="008719C4"/>
    <w:rsid w:val="0087345D"/>
    <w:rsid w:val="00873713"/>
    <w:rsid w:val="00873973"/>
    <w:rsid w:val="00874387"/>
    <w:rsid w:val="0087456C"/>
    <w:rsid w:val="00875068"/>
    <w:rsid w:val="008751D3"/>
    <w:rsid w:val="008756B3"/>
    <w:rsid w:val="00876394"/>
    <w:rsid w:val="008765AB"/>
    <w:rsid w:val="00876657"/>
    <w:rsid w:val="00876B84"/>
    <w:rsid w:val="00876C35"/>
    <w:rsid w:val="00876D2A"/>
    <w:rsid w:val="00877012"/>
    <w:rsid w:val="00877614"/>
    <w:rsid w:val="00877D81"/>
    <w:rsid w:val="00880550"/>
    <w:rsid w:val="0088093A"/>
    <w:rsid w:val="00881450"/>
    <w:rsid w:val="008815F1"/>
    <w:rsid w:val="008816C1"/>
    <w:rsid w:val="00881D3B"/>
    <w:rsid w:val="008826C6"/>
    <w:rsid w:val="00883322"/>
    <w:rsid w:val="00883F13"/>
    <w:rsid w:val="008841EE"/>
    <w:rsid w:val="00884FD4"/>
    <w:rsid w:val="00885C35"/>
    <w:rsid w:val="00886A21"/>
    <w:rsid w:val="00886FCF"/>
    <w:rsid w:val="0088758A"/>
    <w:rsid w:val="008877E3"/>
    <w:rsid w:val="008878CC"/>
    <w:rsid w:val="00887C29"/>
    <w:rsid w:val="0089046C"/>
    <w:rsid w:val="00890AC9"/>
    <w:rsid w:val="0089112C"/>
    <w:rsid w:val="00891F3E"/>
    <w:rsid w:val="00892DD7"/>
    <w:rsid w:val="00892FF3"/>
    <w:rsid w:val="0089330B"/>
    <w:rsid w:val="00893497"/>
    <w:rsid w:val="00893F02"/>
    <w:rsid w:val="008942E7"/>
    <w:rsid w:val="00894709"/>
    <w:rsid w:val="00894F9B"/>
    <w:rsid w:val="00895550"/>
    <w:rsid w:val="00895AA2"/>
    <w:rsid w:val="00897094"/>
    <w:rsid w:val="00897286"/>
    <w:rsid w:val="00897563"/>
    <w:rsid w:val="00897815"/>
    <w:rsid w:val="008A0370"/>
    <w:rsid w:val="008A0549"/>
    <w:rsid w:val="008A0F62"/>
    <w:rsid w:val="008A2090"/>
    <w:rsid w:val="008A2300"/>
    <w:rsid w:val="008A2533"/>
    <w:rsid w:val="008A28C4"/>
    <w:rsid w:val="008A36B7"/>
    <w:rsid w:val="008A3934"/>
    <w:rsid w:val="008A3DC6"/>
    <w:rsid w:val="008A4E4A"/>
    <w:rsid w:val="008A4FB7"/>
    <w:rsid w:val="008A517B"/>
    <w:rsid w:val="008A5402"/>
    <w:rsid w:val="008A54C8"/>
    <w:rsid w:val="008A58FE"/>
    <w:rsid w:val="008A663E"/>
    <w:rsid w:val="008A6DCA"/>
    <w:rsid w:val="008A6FBA"/>
    <w:rsid w:val="008A73ED"/>
    <w:rsid w:val="008A791B"/>
    <w:rsid w:val="008A793F"/>
    <w:rsid w:val="008B00F3"/>
    <w:rsid w:val="008B048F"/>
    <w:rsid w:val="008B08DA"/>
    <w:rsid w:val="008B0C67"/>
    <w:rsid w:val="008B0DB0"/>
    <w:rsid w:val="008B1088"/>
    <w:rsid w:val="008B248E"/>
    <w:rsid w:val="008B2598"/>
    <w:rsid w:val="008B4009"/>
    <w:rsid w:val="008B4956"/>
    <w:rsid w:val="008B52D1"/>
    <w:rsid w:val="008B532F"/>
    <w:rsid w:val="008B600B"/>
    <w:rsid w:val="008B60AB"/>
    <w:rsid w:val="008B60E2"/>
    <w:rsid w:val="008B6511"/>
    <w:rsid w:val="008B7475"/>
    <w:rsid w:val="008B7787"/>
    <w:rsid w:val="008B7DF5"/>
    <w:rsid w:val="008C070D"/>
    <w:rsid w:val="008C0F61"/>
    <w:rsid w:val="008C26A6"/>
    <w:rsid w:val="008C34A2"/>
    <w:rsid w:val="008C3525"/>
    <w:rsid w:val="008C390F"/>
    <w:rsid w:val="008C436C"/>
    <w:rsid w:val="008C4579"/>
    <w:rsid w:val="008C49E3"/>
    <w:rsid w:val="008C4BD5"/>
    <w:rsid w:val="008C56EE"/>
    <w:rsid w:val="008C5922"/>
    <w:rsid w:val="008C5FD7"/>
    <w:rsid w:val="008C688A"/>
    <w:rsid w:val="008D012E"/>
    <w:rsid w:val="008D0823"/>
    <w:rsid w:val="008D09A7"/>
    <w:rsid w:val="008D0CC6"/>
    <w:rsid w:val="008D194B"/>
    <w:rsid w:val="008D1AC8"/>
    <w:rsid w:val="008D1F5C"/>
    <w:rsid w:val="008D23DF"/>
    <w:rsid w:val="008D24E3"/>
    <w:rsid w:val="008D2663"/>
    <w:rsid w:val="008D2829"/>
    <w:rsid w:val="008D3349"/>
    <w:rsid w:val="008D3482"/>
    <w:rsid w:val="008D3484"/>
    <w:rsid w:val="008D369E"/>
    <w:rsid w:val="008D3817"/>
    <w:rsid w:val="008D39CD"/>
    <w:rsid w:val="008D433F"/>
    <w:rsid w:val="008D49D7"/>
    <w:rsid w:val="008D4DFC"/>
    <w:rsid w:val="008D51A7"/>
    <w:rsid w:val="008D584B"/>
    <w:rsid w:val="008D5D5F"/>
    <w:rsid w:val="008D66A2"/>
    <w:rsid w:val="008D6AA4"/>
    <w:rsid w:val="008D794C"/>
    <w:rsid w:val="008E0D19"/>
    <w:rsid w:val="008E16F9"/>
    <w:rsid w:val="008E1C65"/>
    <w:rsid w:val="008E1C6D"/>
    <w:rsid w:val="008E2491"/>
    <w:rsid w:val="008E2621"/>
    <w:rsid w:val="008E31C4"/>
    <w:rsid w:val="008E3C06"/>
    <w:rsid w:val="008E3ECC"/>
    <w:rsid w:val="008E6410"/>
    <w:rsid w:val="008E64EB"/>
    <w:rsid w:val="008E6658"/>
    <w:rsid w:val="008E69AC"/>
    <w:rsid w:val="008E6F00"/>
    <w:rsid w:val="008E7AF3"/>
    <w:rsid w:val="008E7B87"/>
    <w:rsid w:val="008F0291"/>
    <w:rsid w:val="008F1F71"/>
    <w:rsid w:val="008F26D4"/>
    <w:rsid w:val="008F3F33"/>
    <w:rsid w:val="008F44BD"/>
    <w:rsid w:val="008F4B6F"/>
    <w:rsid w:val="008F4C82"/>
    <w:rsid w:val="008F4E37"/>
    <w:rsid w:val="008F4F89"/>
    <w:rsid w:val="008F540C"/>
    <w:rsid w:val="008F5415"/>
    <w:rsid w:val="008F56AC"/>
    <w:rsid w:val="008F5DB7"/>
    <w:rsid w:val="008F7306"/>
    <w:rsid w:val="00900744"/>
    <w:rsid w:val="009008F2"/>
    <w:rsid w:val="00900A11"/>
    <w:rsid w:val="009012D4"/>
    <w:rsid w:val="0090140E"/>
    <w:rsid w:val="009016E8"/>
    <w:rsid w:val="00901F75"/>
    <w:rsid w:val="00902308"/>
    <w:rsid w:val="009023AD"/>
    <w:rsid w:val="00902431"/>
    <w:rsid w:val="009026F3"/>
    <w:rsid w:val="009028CA"/>
    <w:rsid w:val="00902EAB"/>
    <w:rsid w:val="00903774"/>
    <w:rsid w:val="0090388A"/>
    <w:rsid w:val="0090412A"/>
    <w:rsid w:val="00904B27"/>
    <w:rsid w:val="00904E40"/>
    <w:rsid w:val="00905040"/>
    <w:rsid w:val="00905291"/>
    <w:rsid w:val="00906600"/>
    <w:rsid w:val="009068F2"/>
    <w:rsid w:val="00906D5F"/>
    <w:rsid w:val="00907A35"/>
    <w:rsid w:val="009100F6"/>
    <w:rsid w:val="00910446"/>
    <w:rsid w:val="009104FF"/>
    <w:rsid w:val="00910610"/>
    <w:rsid w:val="0091098C"/>
    <w:rsid w:val="00910E15"/>
    <w:rsid w:val="00911671"/>
    <w:rsid w:val="0091199B"/>
    <w:rsid w:val="00911AA1"/>
    <w:rsid w:val="00911C9C"/>
    <w:rsid w:val="00911F8E"/>
    <w:rsid w:val="009122B6"/>
    <w:rsid w:val="009134E5"/>
    <w:rsid w:val="00913A33"/>
    <w:rsid w:val="00914535"/>
    <w:rsid w:val="00915D46"/>
    <w:rsid w:val="00915FBE"/>
    <w:rsid w:val="00916835"/>
    <w:rsid w:val="00916E70"/>
    <w:rsid w:val="009170DE"/>
    <w:rsid w:val="009172F2"/>
    <w:rsid w:val="009176D0"/>
    <w:rsid w:val="00917E2C"/>
    <w:rsid w:val="00920AEA"/>
    <w:rsid w:val="00921789"/>
    <w:rsid w:val="009228C1"/>
    <w:rsid w:val="00923335"/>
    <w:rsid w:val="00923BD9"/>
    <w:rsid w:val="00923F2E"/>
    <w:rsid w:val="00924DCE"/>
    <w:rsid w:val="00925847"/>
    <w:rsid w:val="00925B2E"/>
    <w:rsid w:val="00925E33"/>
    <w:rsid w:val="00926328"/>
    <w:rsid w:val="00926A7F"/>
    <w:rsid w:val="00927B26"/>
    <w:rsid w:val="00927E4D"/>
    <w:rsid w:val="0093014E"/>
    <w:rsid w:val="00930263"/>
    <w:rsid w:val="00930BAA"/>
    <w:rsid w:val="009315A3"/>
    <w:rsid w:val="00931748"/>
    <w:rsid w:val="00931A25"/>
    <w:rsid w:val="0093332A"/>
    <w:rsid w:val="009333BB"/>
    <w:rsid w:val="0093381B"/>
    <w:rsid w:val="009339E4"/>
    <w:rsid w:val="009340E3"/>
    <w:rsid w:val="0093456C"/>
    <w:rsid w:val="009349AB"/>
    <w:rsid w:val="00934DC4"/>
    <w:rsid w:val="009353C7"/>
    <w:rsid w:val="0093562B"/>
    <w:rsid w:val="009356C1"/>
    <w:rsid w:val="00935B96"/>
    <w:rsid w:val="00935E2F"/>
    <w:rsid w:val="00936827"/>
    <w:rsid w:val="00936C53"/>
    <w:rsid w:val="00937A74"/>
    <w:rsid w:val="00937C4F"/>
    <w:rsid w:val="00937D82"/>
    <w:rsid w:val="009404D6"/>
    <w:rsid w:val="009408C2"/>
    <w:rsid w:val="009415EB"/>
    <w:rsid w:val="009418D8"/>
    <w:rsid w:val="00941BB7"/>
    <w:rsid w:val="0094300A"/>
    <w:rsid w:val="00943314"/>
    <w:rsid w:val="009437E9"/>
    <w:rsid w:val="00943A67"/>
    <w:rsid w:val="00943CE1"/>
    <w:rsid w:val="00943EFA"/>
    <w:rsid w:val="009447A3"/>
    <w:rsid w:val="00944B78"/>
    <w:rsid w:val="00944C45"/>
    <w:rsid w:val="00944E51"/>
    <w:rsid w:val="00944FB4"/>
    <w:rsid w:val="00945274"/>
    <w:rsid w:val="00945596"/>
    <w:rsid w:val="00945A25"/>
    <w:rsid w:val="00945B39"/>
    <w:rsid w:val="0094658B"/>
    <w:rsid w:val="00946982"/>
    <w:rsid w:val="0094735E"/>
    <w:rsid w:val="0094743F"/>
    <w:rsid w:val="00947C07"/>
    <w:rsid w:val="00950161"/>
    <w:rsid w:val="009511A5"/>
    <w:rsid w:val="00951443"/>
    <w:rsid w:val="0095159B"/>
    <w:rsid w:val="00951A0A"/>
    <w:rsid w:val="00951F6F"/>
    <w:rsid w:val="00952078"/>
    <w:rsid w:val="009520B1"/>
    <w:rsid w:val="00952244"/>
    <w:rsid w:val="00952282"/>
    <w:rsid w:val="009526B8"/>
    <w:rsid w:val="0095288C"/>
    <w:rsid w:val="00953081"/>
    <w:rsid w:val="0095471A"/>
    <w:rsid w:val="00954EDD"/>
    <w:rsid w:val="009550A6"/>
    <w:rsid w:val="0095537B"/>
    <w:rsid w:val="009553C6"/>
    <w:rsid w:val="00955FDB"/>
    <w:rsid w:val="0095611C"/>
    <w:rsid w:val="00956236"/>
    <w:rsid w:val="009567E3"/>
    <w:rsid w:val="009569B8"/>
    <w:rsid w:val="00956BFB"/>
    <w:rsid w:val="00956DB0"/>
    <w:rsid w:val="00956DFE"/>
    <w:rsid w:val="00956F82"/>
    <w:rsid w:val="0095745C"/>
    <w:rsid w:val="00957E03"/>
    <w:rsid w:val="00960F94"/>
    <w:rsid w:val="009611F2"/>
    <w:rsid w:val="009615EC"/>
    <w:rsid w:val="009616A9"/>
    <w:rsid w:val="00961E1B"/>
    <w:rsid w:val="009620B1"/>
    <w:rsid w:val="0096257C"/>
    <w:rsid w:val="00963870"/>
    <w:rsid w:val="00963E16"/>
    <w:rsid w:val="00964467"/>
    <w:rsid w:val="00964A72"/>
    <w:rsid w:val="00964AF5"/>
    <w:rsid w:val="00965B71"/>
    <w:rsid w:val="00965F4F"/>
    <w:rsid w:val="00966232"/>
    <w:rsid w:val="00966D22"/>
    <w:rsid w:val="00966ECC"/>
    <w:rsid w:val="00966ED1"/>
    <w:rsid w:val="00967488"/>
    <w:rsid w:val="009676BE"/>
    <w:rsid w:val="009702B6"/>
    <w:rsid w:val="009705DF"/>
    <w:rsid w:val="0097078D"/>
    <w:rsid w:val="0097089F"/>
    <w:rsid w:val="009709BF"/>
    <w:rsid w:val="0097168D"/>
    <w:rsid w:val="00972124"/>
    <w:rsid w:val="00972442"/>
    <w:rsid w:val="009725F4"/>
    <w:rsid w:val="00972967"/>
    <w:rsid w:val="00972BC8"/>
    <w:rsid w:val="0097308E"/>
    <w:rsid w:val="00973669"/>
    <w:rsid w:val="0097445D"/>
    <w:rsid w:val="00975876"/>
    <w:rsid w:val="00976DF1"/>
    <w:rsid w:val="00977C1B"/>
    <w:rsid w:val="00977D0D"/>
    <w:rsid w:val="0098003F"/>
    <w:rsid w:val="009821AF"/>
    <w:rsid w:val="00982A58"/>
    <w:rsid w:val="00983370"/>
    <w:rsid w:val="00983B46"/>
    <w:rsid w:val="00983FE2"/>
    <w:rsid w:val="00984301"/>
    <w:rsid w:val="009844B5"/>
    <w:rsid w:val="0098478C"/>
    <w:rsid w:val="00985234"/>
    <w:rsid w:val="00985987"/>
    <w:rsid w:val="00986037"/>
    <w:rsid w:val="00986244"/>
    <w:rsid w:val="0098729C"/>
    <w:rsid w:val="00987611"/>
    <w:rsid w:val="00987BD2"/>
    <w:rsid w:val="009901EF"/>
    <w:rsid w:val="009906FC"/>
    <w:rsid w:val="0099146F"/>
    <w:rsid w:val="00991685"/>
    <w:rsid w:val="009926E2"/>
    <w:rsid w:val="00992A44"/>
    <w:rsid w:val="00992ACE"/>
    <w:rsid w:val="009934CE"/>
    <w:rsid w:val="00993705"/>
    <w:rsid w:val="00993B32"/>
    <w:rsid w:val="00993DC2"/>
    <w:rsid w:val="0099447D"/>
    <w:rsid w:val="009945C3"/>
    <w:rsid w:val="0099500B"/>
    <w:rsid w:val="00995398"/>
    <w:rsid w:val="00995441"/>
    <w:rsid w:val="00995737"/>
    <w:rsid w:val="00995D3B"/>
    <w:rsid w:val="00995E40"/>
    <w:rsid w:val="00996297"/>
    <w:rsid w:val="00996DD5"/>
    <w:rsid w:val="009973AB"/>
    <w:rsid w:val="009976D0"/>
    <w:rsid w:val="00997807"/>
    <w:rsid w:val="00997B72"/>
    <w:rsid w:val="00997FCA"/>
    <w:rsid w:val="009A02AB"/>
    <w:rsid w:val="009A0A1A"/>
    <w:rsid w:val="009A1058"/>
    <w:rsid w:val="009A15FD"/>
    <w:rsid w:val="009A16E4"/>
    <w:rsid w:val="009A221D"/>
    <w:rsid w:val="009A2965"/>
    <w:rsid w:val="009A331A"/>
    <w:rsid w:val="009A378E"/>
    <w:rsid w:val="009A41A0"/>
    <w:rsid w:val="009A4BAC"/>
    <w:rsid w:val="009A5641"/>
    <w:rsid w:val="009A58F2"/>
    <w:rsid w:val="009A5E51"/>
    <w:rsid w:val="009A62A4"/>
    <w:rsid w:val="009A6BE8"/>
    <w:rsid w:val="009A70E0"/>
    <w:rsid w:val="009A755E"/>
    <w:rsid w:val="009A76B9"/>
    <w:rsid w:val="009A7A16"/>
    <w:rsid w:val="009A7C65"/>
    <w:rsid w:val="009B02BC"/>
    <w:rsid w:val="009B0761"/>
    <w:rsid w:val="009B0853"/>
    <w:rsid w:val="009B0B39"/>
    <w:rsid w:val="009B0EF0"/>
    <w:rsid w:val="009B122B"/>
    <w:rsid w:val="009B1384"/>
    <w:rsid w:val="009B1592"/>
    <w:rsid w:val="009B1F40"/>
    <w:rsid w:val="009B2617"/>
    <w:rsid w:val="009B2B72"/>
    <w:rsid w:val="009B3481"/>
    <w:rsid w:val="009B37A2"/>
    <w:rsid w:val="009B3D8D"/>
    <w:rsid w:val="009B4257"/>
    <w:rsid w:val="009B43F8"/>
    <w:rsid w:val="009B4FDA"/>
    <w:rsid w:val="009B5A0F"/>
    <w:rsid w:val="009B5D3A"/>
    <w:rsid w:val="009B5DEA"/>
    <w:rsid w:val="009B6143"/>
    <w:rsid w:val="009B6586"/>
    <w:rsid w:val="009B6C2A"/>
    <w:rsid w:val="009B739A"/>
    <w:rsid w:val="009B76C5"/>
    <w:rsid w:val="009B78C5"/>
    <w:rsid w:val="009B7EAA"/>
    <w:rsid w:val="009C0E2A"/>
    <w:rsid w:val="009C1AEB"/>
    <w:rsid w:val="009C2B83"/>
    <w:rsid w:val="009C394A"/>
    <w:rsid w:val="009C3CCF"/>
    <w:rsid w:val="009C4E7A"/>
    <w:rsid w:val="009C5632"/>
    <w:rsid w:val="009C5AE7"/>
    <w:rsid w:val="009C5D81"/>
    <w:rsid w:val="009C60CE"/>
    <w:rsid w:val="009C613A"/>
    <w:rsid w:val="009C6495"/>
    <w:rsid w:val="009C65E9"/>
    <w:rsid w:val="009C66EA"/>
    <w:rsid w:val="009C74BD"/>
    <w:rsid w:val="009C74D2"/>
    <w:rsid w:val="009C7F16"/>
    <w:rsid w:val="009D0D68"/>
    <w:rsid w:val="009D0E53"/>
    <w:rsid w:val="009D1412"/>
    <w:rsid w:val="009D2511"/>
    <w:rsid w:val="009D292D"/>
    <w:rsid w:val="009D2AD3"/>
    <w:rsid w:val="009D378C"/>
    <w:rsid w:val="009D3860"/>
    <w:rsid w:val="009D3AB7"/>
    <w:rsid w:val="009D3F56"/>
    <w:rsid w:val="009D4123"/>
    <w:rsid w:val="009D44B9"/>
    <w:rsid w:val="009D4E4C"/>
    <w:rsid w:val="009D5850"/>
    <w:rsid w:val="009D58C7"/>
    <w:rsid w:val="009D67BD"/>
    <w:rsid w:val="009D70F6"/>
    <w:rsid w:val="009D72C2"/>
    <w:rsid w:val="009D7F96"/>
    <w:rsid w:val="009D7F9E"/>
    <w:rsid w:val="009E026B"/>
    <w:rsid w:val="009E097D"/>
    <w:rsid w:val="009E147E"/>
    <w:rsid w:val="009E186D"/>
    <w:rsid w:val="009E2199"/>
    <w:rsid w:val="009E27F2"/>
    <w:rsid w:val="009E28A5"/>
    <w:rsid w:val="009E3512"/>
    <w:rsid w:val="009E385A"/>
    <w:rsid w:val="009E38AF"/>
    <w:rsid w:val="009E39EA"/>
    <w:rsid w:val="009E4023"/>
    <w:rsid w:val="009E40E1"/>
    <w:rsid w:val="009E470F"/>
    <w:rsid w:val="009E58E6"/>
    <w:rsid w:val="009E5C7A"/>
    <w:rsid w:val="009E693B"/>
    <w:rsid w:val="009E6C1A"/>
    <w:rsid w:val="009E7699"/>
    <w:rsid w:val="009F0D14"/>
    <w:rsid w:val="009F104E"/>
    <w:rsid w:val="009F2D7B"/>
    <w:rsid w:val="009F3208"/>
    <w:rsid w:val="009F53DD"/>
    <w:rsid w:val="009F5EEA"/>
    <w:rsid w:val="009F6292"/>
    <w:rsid w:val="009F6331"/>
    <w:rsid w:val="009F64D5"/>
    <w:rsid w:val="009F69E7"/>
    <w:rsid w:val="009F6B1E"/>
    <w:rsid w:val="009F6D6C"/>
    <w:rsid w:val="009F6E02"/>
    <w:rsid w:val="009F764E"/>
    <w:rsid w:val="009F79A2"/>
    <w:rsid w:val="00A003EF"/>
    <w:rsid w:val="00A006FE"/>
    <w:rsid w:val="00A00E1D"/>
    <w:rsid w:val="00A017B3"/>
    <w:rsid w:val="00A018D4"/>
    <w:rsid w:val="00A01C3F"/>
    <w:rsid w:val="00A02020"/>
    <w:rsid w:val="00A02FAD"/>
    <w:rsid w:val="00A032E1"/>
    <w:rsid w:val="00A03745"/>
    <w:rsid w:val="00A03EFA"/>
    <w:rsid w:val="00A05C13"/>
    <w:rsid w:val="00A06AB0"/>
    <w:rsid w:val="00A06EFB"/>
    <w:rsid w:val="00A07887"/>
    <w:rsid w:val="00A07910"/>
    <w:rsid w:val="00A10323"/>
    <w:rsid w:val="00A104F8"/>
    <w:rsid w:val="00A10548"/>
    <w:rsid w:val="00A11125"/>
    <w:rsid w:val="00A117F6"/>
    <w:rsid w:val="00A11932"/>
    <w:rsid w:val="00A11BD4"/>
    <w:rsid w:val="00A11CDC"/>
    <w:rsid w:val="00A12592"/>
    <w:rsid w:val="00A12797"/>
    <w:rsid w:val="00A12915"/>
    <w:rsid w:val="00A12923"/>
    <w:rsid w:val="00A12B68"/>
    <w:rsid w:val="00A12F48"/>
    <w:rsid w:val="00A134AA"/>
    <w:rsid w:val="00A13555"/>
    <w:rsid w:val="00A13E00"/>
    <w:rsid w:val="00A13F7C"/>
    <w:rsid w:val="00A148BB"/>
    <w:rsid w:val="00A14932"/>
    <w:rsid w:val="00A14AEA"/>
    <w:rsid w:val="00A14B5D"/>
    <w:rsid w:val="00A14DB4"/>
    <w:rsid w:val="00A15262"/>
    <w:rsid w:val="00A15C8A"/>
    <w:rsid w:val="00A15D41"/>
    <w:rsid w:val="00A16538"/>
    <w:rsid w:val="00A171A9"/>
    <w:rsid w:val="00A175F1"/>
    <w:rsid w:val="00A17ED1"/>
    <w:rsid w:val="00A20096"/>
    <w:rsid w:val="00A202E9"/>
    <w:rsid w:val="00A20411"/>
    <w:rsid w:val="00A20643"/>
    <w:rsid w:val="00A20CC3"/>
    <w:rsid w:val="00A224F8"/>
    <w:rsid w:val="00A225C5"/>
    <w:rsid w:val="00A22677"/>
    <w:rsid w:val="00A22761"/>
    <w:rsid w:val="00A23301"/>
    <w:rsid w:val="00A23384"/>
    <w:rsid w:val="00A237A4"/>
    <w:rsid w:val="00A251C4"/>
    <w:rsid w:val="00A256F6"/>
    <w:rsid w:val="00A25BE9"/>
    <w:rsid w:val="00A27325"/>
    <w:rsid w:val="00A2794A"/>
    <w:rsid w:val="00A27AD7"/>
    <w:rsid w:val="00A30602"/>
    <w:rsid w:val="00A30828"/>
    <w:rsid w:val="00A3100D"/>
    <w:rsid w:val="00A31711"/>
    <w:rsid w:val="00A31E8A"/>
    <w:rsid w:val="00A32437"/>
    <w:rsid w:val="00A326E1"/>
    <w:rsid w:val="00A328F2"/>
    <w:rsid w:val="00A32A5E"/>
    <w:rsid w:val="00A33464"/>
    <w:rsid w:val="00A33668"/>
    <w:rsid w:val="00A338F4"/>
    <w:rsid w:val="00A33C81"/>
    <w:rsid w:val="00A34633"/>
    <w:rsid w:val="00A34F69"/>
    <w:rsid w:val="00A3674D"/>
    <w:rsid w:val="00A37231"/>
    <w:rsid w:val="00A37AF1"/>
    <w:rsid w:val="00A40EE2"/>
    <w:rsid w:val="00A429E0"/>
    <w:rsid w:val="00A42BA4"/>
    <w:rsid w:val="00A430B5"/>
    <w:rsid w:val="00A432F3"/>
    <w:rsid w:val="00A434C8"/>
    <w:rsid w:val="00A4449C"/>
    <w:rsid w:val="00A44506"/>
    <w:rsid w:val="00A4463D"/>
    <w:rsid w:val="00A447E0"/>
    <w:rsid w:val="00A44B7A"/>
    <w:rsid w:val="00A44BD9"/>
    <w:rsid w:val="00A4503C"/>
    <w:rsid w:val="00A45E9F"/>
    <w:rsid w:val="00A46274"/>
    <w:rsid w:val="00A46BF2"/>
    <w:rsid w:val="00A46DE5"/>
    <w:rsid w:val="00A47064"/>
    <w:rsid w:val="00A47134"/>
    <w:rsid w:val="00A479A0"/>
    <w:rsid w:val="00A47C7A"/>
    <w:rsid w:val="00A5046C"/>
    <w:rsid w:val="00A51737"/>
    <w:rsid w:val="00A51AE0"/>
    <w:rsid w:val="00A51FF7"/>
    <w:rsid w:val="00A526BE"/>
    <w:rsid w:val="00A5296C"/>
    <w:rsid w:val="00A52ABB"/>
    <w:rsid w:val="00A52D97"/>
    <w:rsid w:val="00A533A0"/>
    <w:rsid w:val="00A540E9"/>
    <w:rsid w:val="00A5422F"/>
    <w:rsid w:val="00A54544"/>
    <w:rsid w:val="00A55DCE"/>
    <w:rsid w:val="00A5601C"/>
    <w:rsid w:val="00A561FA"/>
    <w:rsid w:val="00A5643E"/>
    <w:rsid w:val="00A564E2"/>
    <w:rsid w:val="00A56893"/>
    <w:rsid w:val="00A56991"/>
    <w:rsid w:val="00A56F73"/>
    <w:rsid w:val="00A5723B"/>
    <w:rsid w:val="00A57F1B"/>
    <w:rsid w:val="00A6034E"/>
    <w:rsid w:val="00A6073D"/>
    <w:rsid w:val="00A60743"/>
    <w:rsid w:val="00A60C3E"/>
    <w:rsid w:val="00A60DE4"/>
    <w:rsid w:val="00A619BE"/>
    <w:rsid w:val="00A6295C"/>
    <w:rsid w:val="00A62987"/>
    <w:rsid w:val="00A62D75"/>
    <w:rsid w:val="00A62E72"/>
    <w:rsid w:val="00A63347"/>
    <w:rsid w:val="00A63608"/>
    <w:rsid w:val="00A63636"/>
    <w:rsid w:val="00A63D66"/>
    <w:rsid w:val="00A6458D"/>
    <w:rsid w:val="00A64677"/>
    <w:rsid w:val="00A64749"/>
    <w:rsid w:val="00A651F2"/>
    <w:rsid w:val="00A6567C"/>
    <w:rsid w:val="00A658E3"/>
    <w:rsid w:val="00A65A94"/>
    <w:rsid w:val="00A65B1B"/>
    <w:rsid w:val="00A66715"/>
    <w:rsid w:val="00A66738"/>
    <w:rsid w:val="00A66ACC"/>
    <w:rsid w:val="00A66F53"/>
    <w:rsid w:val="00A6742B"/>
    <w:rsid w:val="00A67B64"/>
    <w:rsid w:val="00A70254"/>
    <w:rsid w:val="00A70277"/>
    <w:rsid w:val="00A70E62"/>
    <w:rsid w:val="00A7106F"/>
    <w:rsid w:val="00A7143A"/>
    <w:rsid w:val="00A71F5F"/>
    <w:rsid w:val="00A725EA"/>
    <w:rsid w:val="00A72CD9"/>
    <w:rsid w:val="00A73054"/>
    <w:rsid w:val="00A73454"/>
    <w:rsid w:val="00A7412C"/>
    <w:rsid w:val="00A741CC"/>
    <w:rsid w:val="00A74AAC"/>
    <w:rsid w:val="00A74CC1"/>
    <w:rsid w:val="00A7519F"/>
    <w:rsid w:val="00A76EDE"/>
    <w:rsid w:val="00A770C1"/>
    <w:rsid w:val="00A770F6"/>
    <w:rsid w:val="00A77AB3"/>
    <w:rsid w:val="00A77DF9"/>
    <w:rsid w:val="00A80FEB"/>
    <w:rsid w:val="00A81191"/>
    <w:rsid w:val="00A813AC"/>
    <w:rsid w:val="00A813DA"/>
    <w:rsid w:val="00A814DE"/>
    <w:rsid w:val="00A81C51"/>
    <w:rsid w:val="00A8257D"/>
    <w:rsid w:val="00A8311A"/>
    <w:rsid w:val="00A8322F"/>
    <w:rsid w:val="00A83C7C"/>
    <w:rsid w:val="00A843B7"/>
    <w:rsid w:val="00A84871"/>
    <w:rsid w:val="00A84FF8"/>
    <w:rsid w:val="00A850D2"/>
    <w:rsid w:val="00A85449"/>
    <w:rsid w:val="00A86055"/>
    <w:rsid w:val="00A862C3"/>
    <w:rsid w:val="00A86385"/>
    <w:rsid w:val="00A8656A"/>
    <w:rsid w:val="00A869E9"/>
    <w:rsid w:val="00A870D1"/>
    <w:rsid w:val="00A8716C"/>
    <w:rsid w:val="00A875D2"/>
    <w:rsid w:val="00A87820"/>
    <w:rsid w:val="00A87A9D"/>
    <w:rsid w:val="00A87B90"/>
    <w:rsid w:val="00A90581"/>
    <w:rsid w:val="00A90691"/>
    <w:rsid w:val="00A90921"/>
    <w:rsid w:val="00A90E71"/>
    <w:rsid w:val="00A911BE"/>
    <w:rsid w:val="00A91457"/>
    <w:rsid w:val="00A91AFF"/>
    <w:rsid w:val="00A92650"/>
    <w:rsid w:val="00A928D3"/>
    <w:rsid w:val="00A92AAD"/>
    <w:rsid w:val="00A92B80"/>
    <w:rsid w:val="00A93979"/>
    <w:rsid w:val="00A94276"/>
    <w:rsid w:val="00A947D9"/>
    <w:rsid w:val="00A94C55"/>
    <w:rsid w:val="00A95280"/>
    <w:rsid w:val="00A95316"/>
    <w:rsid w:val="00A95CF9"/>
    <w:rsid w:val="00A96962"/>
    <w:rsid w:val="00A96A21"/>
    <w:rsid w:val="00A97229"/>
    <w:rsid w:val="00A97899"/>
    <w:rsid w:val="00A97A84"/>
    <w:rsid w:val="00AA010F"/>
    <w:rsid w:val="00AA04BD"/>
    <w:rsid w:val="00AA0A55"/>
    <w:rsid w:val="00AA0D04"/>
    <w:rsid w:val="00AA0DB3"/>
    <w:rsid w:val="00AA1152"/>
    <w:rsid w:val="00AA1D7A"/>
    <w:rsid w:val="00AA23BD"/>
    <w:rsid w:val="00AA265C"/>
    <w:rsid w:val="00AA2BB8"/>
    <w:rsid w:val="00AA3109"/>
    <w:rsid w:val="00AA32F8"/>
    <w:rsid w:val="00AA3620"/>
    <w:rsid w:val="00AA3787"/>
    <w:rsid w:val="00AA378C"/>
    <w:rsid w:val="00AA3A28"/>
    <w:rsid w:val="00AA3A41"/>
    <w:rsid w:val="00AA46D2"/>
    <w:rsid w:val="00AA4DAF"/>
    <w:rsid w:val="00AA4F85"/>
    <w:rsid w:val="00AA52A3"/>
    <w:rsid w:val="00AA55EE"/>
    <w:rsid w:val="00AA588F"/>
    <w:rsid w:val="00AA66B9"/>
    <w:rsid w:val="00AA68A8"/>
    <w:rsid w:val="00AA6D22"/>
    <w:rsid w:val="00AA6D68"/>
    <w:rsid w:val="00AA76F1"/>
    <w:rsid w:val="00AB001D"/>
    <w:rsid w:val="00AB08B1"/>
    <w:rsid w:val="00AB0D6A"/>
    <w:rsid w:val="00AB11D3"/>
    <w:rsid w:val="00AB11F1"/>
    <w:rsid w:val="00AB200C"/>
    <w:rsid w:val="00AB20DA"/>
    <w:rsid w:val="00AB260E"/>
    <w:rsid w:val="00AB2A39"/>
    <w:rsid w:val="00AB38B4"/>
    <w:rsid w:val="00AB39FB"/>
    <w:rsid w:val="00AB3E77"/>
    <w:rsid w:val="00AB484C"/>
    <w:rsid w:val="00AB4BBB"/>
    <w:rsid w:val="00AB4C33"/>
    <w:rsid w:val="00AB4D3F"/>
    <w:rsid w:val="00AB4F35"/>
    <w:rsid w:val="00AB4FE1"/>
    <w:rsid w:val="00AB527A"/>
    <w:rsid w:val="00AB559A"/>
    <w:rsid w:val="00AB60CB"/>
    <w:rsid w:val="00AB61CB"/>
    <w:rsid w:val="00AB6240"/>
    <w:rsid w:val="00AB6873"/>
    <w:rsid w:val="00AB7284"/>
    <w:rsid w:val="00AB7E25"/>
    <w:rsid w:val="00AC0646"/>
    <w:rsid w:val="00AC08FB"/>
    <w:rsid w:val="00AC10EE"/>
    <w:rsid w:val="00AC1418"/>
    <w:rsid w:val="00AC161E"/>
    <w:rsid w:val="00AC165B"/>
    <w:rsid w:val="00AC185D"/>
    <w:rsid w:val="00AC2111"/>
    <w:rsid w:val="00AC23D5"/>
    <w:rsid w:val="00AC3342"/>
    <w:rsid w:val="00AC4C6C"/>
    <w:rsid w:val="00AC53A7"/>
    <w:rsid w:val="00AC5AA5"/>
    <w:rsid w:val="00AC64F8"/>
    <w:rsid w:val="00AC68F1"/>
    <w:rsid w:val="00AC79E3"/>
    <w:rsid w:val="00AC7BB6"/>
    <w:rsid w:val="00AC7DF9"/>
    <w:rsid w:val="00AD0017"/>
    <w:rsid w:val="00AD07C2"/>
    <w:rsid w:val="00AD0841"/>
    <w:rsid w:val="00AD0E97"/>
    <w:rsid w:val="00AD16DC"/>
    <w:rsid w:val="00AD1B29"/>
    <w:rsid w:val="00AD1F69"/>
    <w:rsid w:val="00AD2361"/>
    <w:rsid w:val="00AD282D"/>
    <w:rsid w:val="00AD2C8C"/>
    <w:rsid w:val="00AD2F85"/>
    <w:rsid w:val="00AD3ABC"/>
    <w:rsid w:val="00AD3C71"/>
    <w:rsid w:val="00AD4883"/>
    <w:rsid w:val="00AD5583"/>
    <w:rsid w:val="00AD631B"/>
    <w:rsid w:val="00AD6891"/>
    <w:rsid w:val="00AD6DA0"/>
    <w:rsid w:val="00AD7470"/>
    <w:rsid w:val="00AD75EE"/>
    <w:rsid w:val="00AE01D5"/>
    <w:rsid w:val="00AE0C10"/>
    <w:rsid w:val="00AE129E"/>
    <w:rsid w:val="00AE14D4"/>
    <w:rsid w:val="00AE1917"/>
    <w:rsid w:val="00AE1972"/>
    <w:rsid w:val="00AE1DB6"/>
    <w:rsid w:val="00AE232C"/>
    <w:rsid w:val="00AE237C"/>
    <w:rsid w:val="00AE25E2"/>
    <w:rsid w:val="00AE2880"/>
    <w:rsid w:val="00AE3220"/>
    <w:rsid w:val="00AE3B11"/>
    <w:rsid w:val="00AE46E7"/>
    <w:rsid w:val="00AE4964"/>
    <w:rsid w:val="00AE4DAB"/>
    <w:rsid w:val="00AE5A55"/>
    <w:rsid w:val="00AE621D"/>
    <w:rsid w:val="00AE6466"/>
    <w:rsid w:val="00AE64F4"/>
    <w:rsid w:val="00AE6A81"/>
    <w:rsid w:val="00AE6D30"/>
    <w:rsid w:val="00AE6D3B"/>
    <w:rsid w:val="00AE712C"/>
    <w:rsid w:val="00AE72CC"/>
    <w:rsid w:val="00AE77A9"/>
    <w:rsid w:val="00AE7F29"/>
    <w:rsid w:val="00AE7FC9"/>
    <w:rsid w:val="00AF101A"/>
    <w:rsid w:val="00AF12E4"/>
    <w:rsid w:val="00AF1BC7"/>
    <w:rsid w:val="00AF1C1C"/>
    <w:rsid w:val="00AF1F7D"/>
    <w:rsid w:val="00AF205E"/>
    <w:rsid w:val="00AF230A"/>
    <w:rsid w:val="00AF29CA"/>
    <w:rsid w:val="00AF2BDA"/>
    <w:rsid w:val="00AF30E8"/>
    <w:rsid w:val="00AF30F0"/>
    <w:rsid w:val="00AF3687"/>
    <w:rsid w:val="00AF385B"/>
    <w:rsid w:val="00AF550B"/>
    <w:rsid w:val="00AF5649"/>
    <w:rsid w:val="00AF574F"/>
    <w:rsid w:val="00AF5AFB"/>
    <w:rsid w:val="00AF6970"/>
    <w:rsid w:val="00AF7190"/>
    <w:rsid w:val="00AF7AD6"/>
    <w:rsid w:val="00B00A11"/>
    <w:rsid w:val="00B00ED0"/>
    <w:rsid w:val="00B0123F"/>
    <w:rsid w:val="00B01978"/>
    <w:rsid w:val="00B01B15"/>
    <w:rsid w:val="00B01BA4"/>
    <w:rsid w:val="00B02670"/>
    <w:rsid w:val="00B02904"/>
    <w:rsid w:val="00B02B95"/>
    <w:rsid w:val="00B02C5F"/>
    <w:rsid w:val="00B02FC5"/>
    <w:rsid w:val="00B032DE"/>
    <w:rsid w:val="00B03670"/>
    <w:rsid w:val="00B03F1D"/>
    <w:rsid w:val="00B042E6"/>
    <w:rsid w:val="00B049D2"/>
    <w:rsid w:val="00B062C6"/>
    <w:rsid w:val="00B06902"/>
    <w:rsid w:val="00B06A84"/>
    <w:rsid w:val="00B06C3E"/>
    <w:rsid w:val="00B07423"/>
    <w:rsid w:val="00B07427"/>
    <w:rsid w:val="00B0742B"/>
    <w:rsid w:val="00B07818"/>
    <w:rsid w:val="00B07CBA"/>
    <w:rsid w:val="00B07E06"/>
    <w:rsid w:val="00B10E2D"/>
    <w:rsid w:val="00B12152"/>
    <w:rsid w:val="00B1280F"/>
    <w:rsid w:val="00B128EE"/>
    <w:rsid w:val="00B139EE"/>
    <w:rsid w:val="00B14008"/>
    <w:rsid w:val="00B14519"/>
    <w:rsid w:val="00B14746"/>
    <w:rsid w:val="00B1488E"/>
    <w:rsid w:val="00B14E9C"/>
    <w:rsid w:val="00B14FA1"/>
    <w:rsid w:val="00B15367"/>
    <w:rsid w:val="00B15707"/>
    <w:rsid w:val="00B15FA1"/>
    <w:rsid w:val="00B16422"/>
    <w:rsid w:val="00B1652C"/>
    <w:rsid w:val="00B16562"/>
    <w:rsid w:val="00B16A26"/>
    <w:rsid w:val="00B17288"/>
    <w:rsid w:val="00B20541"/>
    <w:rsid w:val="00B20856"/>
    <w:rsid w:val="00B20988"/>
    <w:rsid w:val="00B20D5E"/>
    <w:rsid w:val="00B21404"/>
    <w:rsid w:val="00B21923"/>
    <w:rsid w:val="00B24034"/>
    <w:rsid w:val="00B2403F"/>
    <w:rsid w:val="00B240EA"/>
    <w:rsid w:val="00B2484B"/>
    <w:rsid w:val="00B2497F"/>
    <w:rsid w:val="00B2510D"/>
    <w:rsid w:val="00B25A9D"/>
    <w:rsid w:val="00B26417"/>
    <w:rsid w:val="00B271C0"/>
    <w:rsid w:val="00B27947"/>
    <w:rsid w:val="00B302AC"/>
    <w:rsid w:val="00B30403"/>
    <w:rsid w:val="00B3121C"/>
    <w:rsid w:val="00B315F0"/>
    <w:rsid w:val="00B32291"/>
    <w:rsid w:val="00B32CC7"/>
    <w:rsid w:val="00B336CD"/>
    <w:rsid w:val="00B33BA6"/>
    <w:rsid w:val="00B3462E"/>
    <w:rsid w:val="00B34CD5"/>
    <w:rsid w:val="00B34D52"/>
    <w:rsid w:val="00B34EE6"/>
    <w:rsid w:val="00B35FEC"/>
    <w:rsid w:val="00B37700"/>
    <w:rsid w:val="00B37C74"/>
    <w:rsid w:val="00B37FB3"/>
    <w:rsid w:val="00B408EE"/>
    <w:rsid w:val="00B40D82"/>
    <w:rsid w:val="00B40DE1"/>
    <w:rsid w:val="00B41EFC"/>
    <w:rsid w:val="00B42223"/>
    <w:rsid w:val="00B4298B"/>
    <w:rsid w:val="00B42C5F"/>
    <w:rsid w:val="00B42E51"/>
    <w:rsid w:val="00B43785"/>
    <w:rsid w:val="00B43D31"/>
    <w:rsid w:val="00B446FF"/>
    <w:rsid w:val="00B45315"/>
    <w:rsid w:val="00B45AFC"/>
    <w:rsid w:val="00B45B73"/>
    <w:rsid w:val="00B45F00"/>
    <w:rsid w:val="00B461E1"/>
    <w:rsid w:val="00B46259"/>
    <w:rsid w:val="00B46857"/>
    <w:rsid w:val="00B47068"/>
    <w:rsid w:val="00B476A3"/>
    <w:rsid w:val="00B47D91"/>
    <w:rsid w:val="00B5018E"/>
    <w:rsid w:val="00B50241"/>
    <w:rsid w:val="00B504A8"/>
    <w:rsid w:val="00B505CD"/>
    <w:rsid w:val="00B50C91"/>
    <w:rsid w:val="00B50F8A"/>
    <w:rsid w:val="00B51029"/>
    <w:rsid w:val="00B51C5C"/>
    <w:rsid w:val="00B51E62"/>
    <w:rsid w:val="00B5226C"/>
    <w:rsid w:val="00B5246B"/>
    <w:rsid w:val="00B5350E"/>
    <w:rsid w:val="00B5360D"/>
    <w:rsid w:val="00B54174"/>
    <w:rsid w:val="00B54491"/>
    <w:rsid w:val="00B54904"/>
    <w:rsid w:val="00B55C2D"/>
    <w:rsid w:val="00B56D0B"/>
    <w:rsid w:val="00B5712D"/>
    <w:rsid w:val="00B5766A"/>
    <w:rsid w:val="00B57976"/>
    <w:rsid w:val="00B57DC7"/>
    <w:rsid w:val="00B60990"/>
    <w:rsid w:val="00B61941"/>
    <w:rsid w:val="00B61DC4"/>
    <w:rsid w:val="00B632B8"/>
    <w:rsid w:val="00B63617"/>
    <w:rsid w:val="00B6413B"/>
    <w:rsid w:val="00B645B3"/>
    <w:rsid w:val="00B648A2"/>
    <w:rsid w:val="00B654C1"/>
    <w:rsid w:val="00B659D3"/>
    <w:rsid w:val="00B65C2C"/>
    <w:rsid w:val="00B67038"/>
    <w:rsid w:val="00B670C4"/>
    <w:rsid w:val="00B67F4C"/>
    <w:rsid w:val="00B67FCE"/>
    <w:rsid w:val="00B67FFE"/>
    <w:rsid w:val="00B7068F"/>
    <w:rsid w:val="00B70C7F"/>
    <w:rsid w:val="00B70F12"/>
    <w:rsid w:val="00B70FBF"/>
    <w:rsid w:val="00B71866"/>
    <w:rsid w:val="00B7206B"/>
    <w:rsid w:val="00B725C2"/>
    <w:rsid w:val="00B728FF"/>
    <w:rsid w:val="00B72A16"/>
    <w:rsid w:val="00B72CF0"/>
    <w:rsid w:val="00B7324D"/>
    <w:rsid w:val="00B73485"/>
    <w:rsid w:val="00B74D9F"/>
    <w:rsid w:val="00B75CC1"/>
    <w:rsid w:val="00B7653B"/>
    <w:rsid w:val="00B7679B"/>
    <w:rsid w:val="00B76E91"/>
    <w:rsid w:val="00B771D7"/>
    <w:rsid w:val="00B77661"/>
    <w:rsid w:val="00B801B2"/>
    <w:rsid w:val="00B8225C"/>
    <w:rsid w:val="00B8277D"/>
    <w:rsid w:val="00B82897"/>
    <w:rsid w:val="00B82D3F"/>
    <w:rsid w:val="00B831A9"/>
    <w:rsid w:val="00B83857"/>
    <w:rsid w:val="00B84348"/>
    <w:rsid w:val="00B847D9"/>
    <w:rsid w:val="00B84B06"/>
    <w:rsid w:val="00B85251"/>
    <w:rsid w:val="00B853CC"/>
    <w:rsid w:val="00B8653C"/>
    <w:rsid w:val="00B866EE"/>
    <w:rsid w:val="00B867BE"/>
    <w:rsid w:val="00B86E84"/>
    <w:rsid w:val="00B86E85"/>
    <w:rsid w:val="00B8751C"/>
    <w:rsid w:val="00B87F36"/>
    <w:rsid w:val="00B9048A"/>
    <w:rsid w:val="00B90835"/>
    <w:rsid w:val="00B912F2"/>
    <w:rsid w:val="00B91876"/>
    <w:rsid w:val="00B91C11"/>
    <w:rsid w:val="00B91D2A"/>
    <w:rsid w:val="00B92C38"/>
    <w:rsid w:val="00B930FA"/>
    <w:rsid w:val="00B94815"/>
    <w:rsid w:val="00B954DC"/>
    <w:rsid w:val="00B96476"/>
    <w:rsid w:val="00B9739D"/>
    <w:rsid w:val="00B97669"/>
    <w:rsid w:val="00BA0429"/>
    <w:rsid w:val="00BA04C0"/>
    <w:rsid w:val="00BA0A2B"/>
    <w:rsid w:val="00BA0C99"/>
    <w:rsid w:val="00BA0CEE"/>
    <w:rsid w:val="00BA0CFF"/>
    <w:rsid w:val="00BA1C32"/>
    <w:rsid w:val="00BA1C69"/>
    <w:rsid w:val="00BA2104"/>
    <w:rsid w:val="00BA25C6"/>
    <w:rsid w:val="00BA27B0"/>
    <w:rsid w:val="00BA2D86"/>
    <w:rsid w:val="00BA35E7"/>
    <w:rsid w:val="00BA3DBE"/>
    <w:rsid w:val="00BA4780"/>
    <w:rsid w:val="00BA480A"/>
    <w:rsid w:val="00BA4863"/>
    <w:rsid w:val="00BA5482"/>
    <w:rsid w:val="00BA55AE"/>
    <w:rsid w:val="00BA56C8"/>
    <w:rsid w:val="00BA576B"/>
    <w:rsid w:val="00BA57AA"/>
    <w:rsid w:val="00BA663F"/>
    <w:rsid w:val="00BA66ED"/>
    <w:rsid w:val="00BA687C"/>
    <w:rsid w:val="00BA709E"/>
    <w:rsid w:val="00BA70F9"/>
    <w:rsid w:val="00BB0038"/>
    <w:rsid w:val="00BB05C2"/>
    <w:rsid w:val="00BB06EF"/>
    <w:rsid w:val="00BB07A1"/>
    <w:rsid w:val="00BB08CD"/>
    <w:rsid w:val="00BB0D13"/>
    <w:rsid w:val="00BB2745"/>
    <w:rsid w:val="00BB32F3"/>
    <w:rsid w:val="00BB377B"/>
    <w:rsid w:val="00BB3D2D"/>
    <w:rsid w:val="00BB3E12"/>
    <w:rsid w:val="00BB48E9"/>
    <w:rsid w:val="00BB4BB2"/>
    <w:rsid w:val="00BB4FD7"/>
    <w:rsid w:val="00BB504D"/>
    <w:rsid w:val="00BB56EB"/>
    <w:rsid w:val="00BB57F4"/>
    <w:rsid w:val="00BB5945"/>
    <w:rsid w:val="00BB6859"/>
    <w:rsid w:val="00BB76D3"/>
    <w:rsid w:val="00BB79DA"/>
    <w:rsid w:val="00BB7BC9"/>
    <w:rsid w:val="00BB7FC0"/>
    <w:rsid w:val="00BC060A"/>
    <w:rsid w:val="00BC0656"/>
    <w:rsid w:val="00BC0C42"/>
    <w:rsid w:val="00BC110E"/>
    <w:rsid w:val="00BC114A"/>
    <w:rsid w:val="00BC1EF1"/>
    <w:rsid w:val="00BC2850"/>
    <w:rsid w:val="00BC4159"/>
    <w:rsid w:val="00BC4655"/>
    <w:rsid w:val="00BC469C"/>
    <w:rsid w:val="00BC545C"/>
    <w:rsid w:val="00BC56ED"/>
    <w:rsid w:val="00BC5CA0"/>
    <w:rsid w:val="00BC62E7"/>
    <w:rsid w:val="00BC65B2"/>
    <w:rsid w:val="00BC6811"/>
    <w:rsid w:val="00BC682D"/>
    <w:rsid w:val="00BC6FE3"/>
    <w:rsid w:val="00BC727A"/>
    <w:rsid w:val="00BC72AD"/>
    <w:rsid w:val="00BC7C04"/>
    <w:rsid w:val="00BD0303"/>
    <w:rsid w:val="00BD0401"/>
    <w:rsid w:val="00BD08ED"/>
    <w:rsid w:val="00BD181F"/>
    <w:rsid w:val="00BD18C1"/>
    <w:rsid w:val="00BD1E3E"/>
    <w:rsid w:val="00BD1F7F"/>
    <w:rsid w:val="00BD26DC"/>
    <w:rsid w:val="00BD2861"/>
    <w:rsid w:val="00BD2E91"/>
    <w:rsid w:val="00BD32FB"/>
    <w:rsid w:val="00BD3654"/>
    <w:rsid w:val="00BD399A"/>
    <w:rsid w:val="00BD39CA"/>
    <w:rsid w:val="00BD39E7"/>
    <w:rsid w:val="00BD3B5B"/>
    <w:rsid w:val="00BD4055"/>
    <w:rsid w:val="00BD516D"/>
    <w:rsid w:val="00BD528E"/>
    <w:rsid w:val="00BD5633"/>
    <w:rsid w:val="00BD6926"/>
    <w:rsid w:val="00BD7229"/>
    <w:rsid w:val="00BD7718"/>
    <w:rsid w:val="00BE002A"/>
    <w:rsid w:val="00BE00F4"/>
    <w:rsid w:val="00BE028C"/>
    <w:rsid w:val="00BE0EEF"/>
    <w:rsid w:val="00BE1439"/>
    <w:rsid w:val="00BE2255"/>
    <w:rsid w:val="00BE22A7"/>
    <w:rsid w:val="00BE23B1"/>
    <w:rsid w:val="00BE2F38"/>
    <w:rsid w:val="00BE3411"/>
    <w:rsid w:val="00BE38AA"/>
    <w:rsid w:val="00BE3901"/>
    <w:rsid w:val="00BE4067"/>
    <w:rsid w:val="00BE4D0D"/>
    <w:rsid w:val="00BE4D98"/>
    <w:rsid w:val="00BE57DD"/>
    <w:rsid w:val="00BE7103"/>
    <w:rsid w:val="00BE77D8"/>
    <w:rsid w:val="00BE7AF0"/>
    <w:rsid w:val="00BE7D2E"/>
    <w:rsid w:val="00BF006D"/>
    <w:rsid w:val="00BF04FB"/>
    <w:rsid w:val="00BF15D1"/>
    <w:rsid w:val="00BF1740"/>
    <w:rsid w:val="00BF1CCA"/>
    <w:rsid w:val="00BF232E"/>
    <w:rsid w:val="00BF2D9E"/>
    <w:rsid w:val="00BF2EE2"/>
    <w:rsid w:val="00BF313B"/>
    <w:rsid w:val="00BF340D"/>
    <w:rsid w:val="00BF3511"/>
    <w:rsid w:val="00BF3A2A"/>
    <w:rsid w:val="00BF3AC6"/>
    <w:rsid w:val="00BF45F7"/>
    <w:rsid w:val="00BF4690"/>
    <w:rsid w:val="00BF4699"/>
    <w:rsid w:val="00BF5D5E"/>
    <w:rsid w:val="00BF5EAB"/>
    <w:rsid w:val="00BF661F"/>
    <w:rsid w:val="00BF6CBD"/>
    <w:rsid w:val="00BF7575"/>
    <w:rsid w:val="00C0025D"/>
    <w:rsid w:val="00C00BAC"/>
    <w:rsid w:val="00C01339"/>
    <w:rsid w:val="00C0191E"/>
    <w:rsid w:val="00C01C38"/>
    <w:rsid w:val="00C01DEB"/>
    <w:rsid w:val="00C01F99"/>
    <w:rsid w:val="00C02480"/>
    <w:rsid w:val="00C02692"/>
    <w:rsid w:val="00C029A3"/>
    <w:rsid w:val="00C02FF5"/>
    <w:rsid w:val="00C0340C"/>
    <w:rsid w:val="00C03650"/>
    <w:rsid w:val="00C03CB4"/>
    <w:rsid w:val="00C04118"/>
    <w:rsid w:val="00C041AB"/>
    <w:rsid w:val="00C04582"/>
    <w:rsid w:val="00C05F06"/>
    <w:rsid w:val="00C05FF0"/>
    <w:rsid w:val="00C069CB"/>
    <w:rsid w:val="00C06B8F"/>
    <w:rsid w:val="00C06D5A"/>
    <w:rsid w:val="00C071A4"/>
    <w:rsid w:val="00C07414"/>
    <w:rsid w:val="00C0787E"/>
    <w:rsid w:val="00C07BAA"/>
    <w:rsid w:val="00C10675"/>
    <w:rsid w:val="00C10A6D"/>
    <w:rsid w:val="00C11944"/>
    <w:rsid w:val="00C11E87"/>
    <w:rsid w:val="00C12079"/>
    <w:rsid w:val="00C12403"/>
    <w:rsid w:val="00C1263A"/>
    <w:rsid w:val="00C12AD6"/>
    <w:rsid w:val="00C12B69"/>
    <w:rsid w:val="00C133FC"/>
    <w:rsid w:val="00C136D3"/>
    <w:rsid w:val="00C13A4D"/>
    <w:rsid w:val="00C13FB5"/>
    <w:rsid w:val="00C1411B"/>
    <w:rsid w:val="00C14200"/>
    <w:rsid w:val="00C144E3"/>
    <w:rsid w:val="00C146B3"/>
    <w:rsid w:val="00C149D9"/>
    <w:rsid w:val="00C14D48"/>
    <w:rsid w:val="00C15355"/>
    <w:rsid w:val="00C16040"/>
    <w:rsid w:val="00C163A8"/>
    <w:rsid w:val="00C1733F"/>
    <w:rsid w:val="00C17A08"/>
    <w:rsid w:val="00C17A3B"/>
    <w:rsid w:val="00C17DB1"/>
    <w:rsid w:val="00C203BC"/>
    <w:rsid w:val="00C20C52"/>
    <w:rsid w:val="00C20F76"/>
    <w:rsid w:val="00C21BFD"/>
    <w:rsid w:val="00C227BD"/>
    <w:rsid w:val="00C22B92"/>
    <w:rsid w:val="00C2395D"/>
    <w:rsid w:val="00C239D6"/>
    <w:rsid w:val="00C246CA"/>
    <w:rsid w:val="00C24A43"/>
    <w:rsid w:val="00C24E83"/>
    <w:rsid w:val="00C2539C"/>
    <w:rsid w:val="00C25623"/>
    <w:rsid w:val="00C259F9"/>
    <w:rsid w:val="00C25A87"/>
    <w:rsid w:val="00C25BF2"/>
    <w:rsid w:val="00C25D8B"/>
    <w:rsid w:val="00C25EE1"/>
    <w:rsid w:val="00C2635F"/>
    <w:rsid w:val="00C2729D"/>
    <w:rsid w:val="00C273B0"/>
    <w:rsid w:val="00C278DD"/>
    <w:rsid w:val="00C27EAE"/>
    <w:rsid w:val="00C27F80"/>
    <w:rsid w:val="00C300B2"/>
    <w:rsid w:val="00C317C5"/>
    <w:rsid w:val="00C3192D"/>
    <w:rsid w:val="00C31AE4"/>
    <w:rsid w:val="00C325A5"/>
    <w:rsid w:val="00C33434"/>
    <w:rsid w:val="00C33677"/>
    <w:rsid w:val="00C33ED6"/>
    <w:rsid w:val="00C3418C"/>
    <w:rsid w:val="00C346FC"/>
    <w:rsid w:val="00C34B5F"/>
    <w:rsid w:val="00C34C0E"/>
    <w:rsid w:val="00C34F6D"/>
    <w:rsid w:val="00C3520A"/>
    <w:rsid w:val="00C35527"/>
    <w:rsid w:val="00C35777"/>
    <w:rsid w:val="00C35EDD"/>
    <w:rsid w:val="00C36045"/>
    <w:rsid w:val="00C362C0"/>
    <w:rsid w:val="00C36523"/>
    <w:rsid w:val="00C36625"/>
    <w:rsid w:val="00C36C23"/>
    <w:rsid w:val="00C371F7"/>
    <w:rsid w:val="00C37CAE"/>
    <w:rsid w:val="00C408F8"/>
    <w:rsid w:val="00C40B77"/>
    <w:rsid w:val="00C40E4D"/>
    <w:rsid w:val="00C42020"/>
    <w:rsid w:val="00C426A6"/>
    <w:rsid w:val="00C42944"/>
    <w:rsid w:val="00C429D7"/>
    <w:rsid w:val="00C42ACB"/>
    <w:rsid w:val="00C43AB2"/>
    <w:rsid w:val="00C43AD8"/>
    <w:rsid w:val="00C43EA6"/>
    <w:rsid w:val="00C445F6"/>
    <w:rsid w:val="00C44A80"/>
    <w:rsid w:val="00C44DA9"/>
    <w:rsid w:val="00C460B8"/>
    <w:rsid w:val="00C469A5"/>
    <w:rsid w:val="00C470E8"/>
    <w:rsid w:val="00C47BD1"/>
    <w:rsid w:val="00C47E1D"/>
    <w:rsid w:val="00C50290"/>
    <w:rsid w:val="00C50978"/>
    <w:rsid w:val="00C516D2"/>
    <w:rsid w:val="00C519FB"/>
    <w:rsid w:val="00C51C7C"/>
    <w:rsid w:val="00C51F60"/>
    <w:rsid w:val="00C5316F"/>
    <w:rsid w:val="00C53BE5"/>
    <w:rsid w:val="00C5413F"/>
    <w:rsid w:val="00C55A80"/>
    <w:rsid w:val="00C55B98"/>
    <w:rsid w:val="00C56D79"/>
    <w:rsid w:val="00C56E77"/>
    <w:rsid w:val="00C56EE8"/>
    <w:rsid w:val="00C5703A"/>
    <w:rsid w:val="00C570AA"/>
    <w:rsid w:val="00C570D2"/>
    <w:rsid w:val="00C57490"/>
    <w:rsid w:val="00C5757B"/>
    <w:rsid w:val="00C57696"/>
    <w:rsid w:val="00C579FF"/>
    <w:rsid w:val="00C613F4"/>
    <w:rsid w:val="00C61B83"/>
    <w:rsid w:val="00C61C2E"/>
    <w:rsid w:val="00C62665"/>
    <w:rsid w:val="00C62A09"/>
    <w:rsid w:val="00C62E1E"/>
    <w:rsid w:val="00C63075"/>
    <w:rsid w:val="00C644F5"/>
    <w:rsid w:val="00C65D57"/>
    <w:rsid w:val="00C66181"/>
    <w:rsid w:val="00C663C3"/>
    <w:rsid w:val="00C7010E"/>
    <w:rsid w:val="00C70716"/>
    <w:rsid w:val="00C71446"/>
    <w:rsid w:val="00C71BD8"/>
    <w:rsid w:val="00C71F0B"/>
    <w:rsid w:val="00C72024"/>
    <w:rsid w:val="00C723F9"/>
    <w:rsid w:val="00C72C4A"/>
    <w:rsid w:val="00C73A67"/>
    <w:rsid w:val="00C73A6F"/>
    <w:rsid w:val="00C73AC1"/>
    <w:rsid w:val="00C74568"/>
    <w:rsid w:val="00C74691"/>
    <w:rsid w:val="00C748B0"/>
    <w:rsid w:val="00C74928"/>
    <w:rsid w:val="00C74ADE"/>
    <w:rsid w:val="00C74DA6"/>
    <w:rsid w:val="00C74E3D"/>
    <w:rsid w:val="00C74EEA"/>
    <w:rsid w:val="00C75449"/>
    <w:rsid w:val="00C75C3F"/>
    <w:rsid w:val="00C75DB4"/>
    <w:rsid w:val="00C766CC"/>
    <w:rsid w:val="00C76811"/>
    <w:rsid w:val="00C77356"/>
    <w:rsid w:val="00C773D6"/>
    <w:rsid w:val="00C773DB"/>
    <w:rsid w:val="00C7780C"/>
    <w:rsid w:val="00C77920"/>
    <w:rsid w:val="00C77D8E"/>
    <w:rsid w:val="00C80666"/>
    <w:rsid w:val="00C80869"/>
    <w:rsid w:val="00C80CA6"/>
    <w:rsid w:val="00C814C0"/>
    <w:rsid w:val="00C81DA9"/>
    <w:rsid w:val="00C81FBD"/>
    <w:rsid w:val="00C82076"/>
    <w:rsid w:val="00C823B4"/>
    <w:rsid w:val="00C82955"/>
    <w:rsid w:val="00C83443"/>
    <w:rsid w:val="00C836AB"/>
    <w:rsid w:val="00C83769"/>
    <w:rsid w:val="00C84957"/>
    <w:rsid w:val="00C84FBC"/>
    <w:rsid w:val="00C86149"/>
    <w:rsid w:val="00C86164"/>
    <w:rsid w:val="00C863C4"/>
    <w:rsid w:val="00C87801"/>
    <w:rsid w:val="00C87A1D"/>
    <w:rsid w:val="00C87B9E"/>
    <w:rsid w:val="00C90152"/>
    <w:rsid w:val="00C910BC"/>
    <w:rsid w:val="00C91B94"/>
    <w:rsid w:val="00C91C48"/>
    <w:rsid w:val="00C91F30"/>
    <w:rsid w:val="00C9207A"/>
    <w:rsid w:val="00C92B5B"/>
    <w:rsid w:val="00C92EE4"/>
    <w:rsid w:val="00C93BC7"/>
    <w:rsid w:val="00C94146"/>
    <w:rsid w:val="00C941CA"/>
    <w:rsid w:val="00C947E2"/>
    <w:rsid w:val="00C9488E"/>
    <w:rsid w:val="00C94EBD"/>
    <w:rsid w:val="00C94F56"/>
    <w:rsid w:val="00C95094"/>
    <w:rsid w:val="00C9549F"/>
    <w:rsid w:val="00C958EA"/>
    <w:rsid w:val="00C95C84"/>
    <w:rsid w:val="00C95D2E"/>
    <w:rsid w:val="00C960B4"/>
    <w:rsid w:val="00C96236"/>
    <w:rsid w:val="00C96339"/>
    <w:rsid w:val="00C96D4C"/>
    <w:rsid w:val="00C96D95"/>
    <w:rsid w:val="00C96E5D"/>
    <w:rsid w:val="00C96EFF"/>
    <w:rsid w:val="00C973D4"/>
    <w:rsid w:val="00CA0009"/>
    <w:rsid w:val="00CA0148"/>
    <w:rsid w:val="00CA0EFE"/>
    <w:rsid w:val="00CA1448"/>
    <w:rsid w:val="00CA14C2"/>
    <w:rsid w:val="00CA15B6"/>
    <w:rsid w:val="00CA1CD9"/>
    <w:rsid w:val="00CA1E5A"/>
    <w:rsid w:val="00CA26F4"/>
    <w:rsid w:val="00CA2834"/>
    <w:rsid w:val="00CA2A29"/>
    <w:rsid w:val="00CA32B2"/>
    <w:rsid w:val="00CA3B2F"/>
    <w:rsid w:val="00CA3C56"/>
    <w:rsid w:val="00CA41C7"/>
    <w:rsid w:val="00CA4E1D"/>
    <w:rsid w:val="00CA5009"/>
    <w:rsid w:val="00CA539F"/>
    <w:rsid w:val="00CA56C7"/>
    <w:rsid w:val="00CA5B28"/>
    <w:rsid w:val="00CA5CDB"/>
    <w:rsid w:val="00CA62E8"/>
    <w:rsid w:val="00CA64BC"/>
    <w:rsid w:val="00CA6970"/>
    <w:rsid w:val="00CA6B0F"/>
    <w:rsid w:val="00CA7F35"/>
    <w:rsid w:val="00CB0A72"/>
    <w:rsid w:val="00CB0E6B"/>
    <w:rsid w:val="00CB13C6"/>
    <w:rsid w:val="00CB1813"/>
    <w:rsid w:val="00CB1D10"/>
    <w:rsid w:val="00CB2050"/>
    <w:rsid w:val="00CB20E5"/>
    <w:rsid w:val="00CB252D"/>
    <w:rsid w:val="00CB3489"/>
    <w:rsid w:val="00CB348D"/>
    <w:rsid w:val="00CB34A2"/>
    <w:rsid w:val="00CB39E0"/>
    <w:rsid w:val="00CB3A6E"/>
    <w:rsid w:val="00CB3E88"/>
    <w:rsid w:val="00CB419D"/>
    <w:rsid w:val="00CB482B"/>
    <w:rsid w:val="00CB48A5"/>
    <w:rsid w:val="00CB505C"/>
    <w:rsid w:val="00CB50DD"/>
    <w:rsid w:val="00CB5840"/>
    <w:rsid w:val="00CB6049"/>
    <w:rsid w:val="00CB69D6"/>
    <w:rsid w:val="00CB6E4F"/>
    <w:rsid w:val="00CB6E91"/>
    <w:rsid w:val="00CB76BB"/>
    <w:rsid w:val="00CB7DBA"/>
    <w:rsid w:val="00CC003C"/>
    <w:rsid w:val="00CC0BE8"/>
    <w:rsid w:val="00CC1061"/>
    <w:rsid w:val="00CC1276"/>
    <w:rsid w:val="00CC15AB"/>
    <w:rsid w:val="00CC190A"/>
    <w:rsid w:val="00CC1FBF"/>
    <w:rsid w:val="00CC2002"/>
    <w:rsid w:val="00CC2244"/>
    <w:rsid w:val="00CC2356"/>
    <w:rsid w:val="00CC2963"/>
    <w:rsid w:val="00CC2BC9"/>
    <w:rsid w:val="00CC3094"/>
    <w:rsid w:val="00CC30ED"/>
    <w:rsid w:val="00CC3891"/>
    <w:rsid w:val="00CC38B2"/>
    <w:rsid w:val="00CC3A85"/>
    <w:rsid w:val="00CC3C4A"/>
    <w:rsid w:val="00CC3DFD"/>
    <w:rsid w:val="00CC3F24"/>
    <w:rsid w:val="00CC407C"/>
    <w:rsid w:val="00CC415E"/>
    <w:rsid w:val="00CC42A7"/>
    <w:rsid w:val="00CC489E"/>
    <w:rsid w:val="00CC4BE1"/>
    <w:rsid w:val="00CC5450"/>
    <w:rsid w:val="00CC6131"/>
    <w:rsid w:val="00CC625A"/>
    <w:rsid w:val="00CC634E"/>
    <w:rsid w:val="00CC640E"/>
    <w:rsid w:val="00CC6999"/>
    <w:rsid w:val="00CC6FD4"/>
    <w:rsid w:val="00CC7263"/>
    <w:rsid w:val="00CC7D57"/>
    <w:rsid w:val="00CD0295"/>
    <w:rsid w:val="00CD061F"/>
    <w:rsid w:val="00CD1B50"/>
    <w:rsid w:val="00CD2DF5"/>
    <w:rsid w:val="00CD44AE"/>
    <w:rsid w:val="00CD47F9"/>
    <w:rsid w:val="00CD49D9"/>
    <w:rsid w:val="00CD511E"/>
    <w:rsid w:val="00CD5C7D"/>
    <w:rsid w:val="00CD5D37"/>
    <w:rsid w:val="00CD73D9"/>
    <w:rsid w:val="00CE0C40"/>
    <w:rsid w:val="00CE0C68"/>
    <w:rsid w:val="00CE0E64"/>
    <w:rsid w:val="00CE10DF"/>
    <w:rsid w:val="00CE11E6"/>
    <w:rsid w:val="00CE1CE8"/>
    <w:rsid w:val="00CE230E"/>
    <w:rsid w:val="00CE23A6"/>
    <w:rsid w:val="00CE2572"/>
    <w:rsid w:val="00CE25F8"/>
    <w:rsid w:val="00CE2D39"/>
    <w:rsid w:val="00CE5122"/>
    <w:rsid w:val="00CE5723"/>
    <w:rsid w:val="00CE585C"/>
    <w:rsid w:val="00CE59CE"/>
    <w:rsid w:val="00CE5A76"/>
    <w:rsid w:val="00CE5AB0"/>
    <w:rsid w:val="00CE6132"/>
    <w:rsid w:val="00CE61F3"/>
    <w:rsid w:val="00CE6207"/>
    <w:rsid w:val="00CE625C"/>
    <w:rsid w:val="00CE6EB0"/>
    <w:rsid w:val="00CE6EF5"/>
    <w:rsid w:val="00CE7596"/>
    <w:rsid w:val="00CE7DAF"/>
    <w:rsid w:val="00CE7EB2"/>
    <w:rsid w:val="00CF090D"/>
    <w:rsid w:val="00CF0910"/>
    <w:rsid w:val="00CF0A73"/>
    <w:rsid w:val="00CF0A94"/>
    <w:rsid w:val="00CF0AF1"/>
    <w:rsid w:val="00CF103B"/>
    <w:rsid w:val="00CF24A4"/>
    <w:rsid w:val="00CF25EE"/>
    <w:rsid w:val="00CF2696"/>
    <w:rsid w:val="00CF26EB"/>
    <w:rsid w:val="00CF2823"/>
    <w:rsid w:val="00CF289A"/>
    <w:rsid w:val="00CF3BA8"/>
    <w:rsid w:val="00CF431A"/>
    <w:rsid w:val="00CF4807"/>
    <w:rsid w:val="00CF57A2"/>
    <w:rsid w:val="00CF6742"/>
    <w:rsid w:val="00CF723B"/>
    <w:rsid w:val="00CF7466"/>
    <w:rsid w:val="00CF78D5"/>
    <w:rsid w:val="00CF7D45"/>
    <w:rsid w:val="00D001D3"/>
    <w:rsid w:val="00D002E6"/>
    <w:rsid w:val="00D00430"/>
    <w:rsid w:val="00D00A45"/>
    <w:rsid w:val="00D0106A"/>
    <w:rsid w:val="00D01281"/>
    <w:rsid w:val="00D01C0F"/>
    <w:rsid w:val="00D020C1"/>
    <w:rsid w:val="00D021B8"/>
    <w:rsid w:val="00D03701"/>
    <w:rsid w:val="00D03A42"/>
    <w:rsid w:val="00D03ABE"/>
    <w:rsid w:val="00D03B1F"/>
    <w:rsid w:val="00D04044"/>
    <w:rsid w:val="00D04150"/>
    <w:rsid w:val="00D0432D"/>
    <w:rsid w:val="00D0481B"/>
    <w:rsid w:val="00D048BC"/>
    <w:rsid w:val="00D04B1F"/>
    <w:rsid w:val="00D05754"/>
    <w:rsid w:val="00D05925"/>
    <w:rsid w:val="00D05A64"/>
    <w:rsid w:val="00D06420"/>
    <w:rsid w:val="00D067E6"/>
    <w:rsid w:val="00D068BA"/>
    <w:rsid w:val="00D0701F"/>
    <w:rsid w:val="00D0754F"/>
    <w:rsid w:val="00D0796B"/>
    <w:rsid w:val="00D07A59"/>
    <w:rsid w:val="00D07B24"/>
    <w:rsid w:val="00D07E18"/>
    <w:rsid w:val="00D113C6"/>
    <w:rsid w:val="00D11478"/>
    <w:rsid w:val="00D11730"/>
    <w:rsid w:val="00D11A66"/>
    <w:rsid w:val="00D11AB4"/>
    <w:rsid w:val="00D124AA"/>
    <w:rsid w:val="00D12506"/>
    <w:rsid w:val="00D13592"/>
    <w:rsid w:val="00D1413B"/>
    <w:rsid w:val="00D147BB"/>
    <w:rsid w:val="00D14A03"/>
    <w:rsid w:val="00D14A1B"/>
    <w:rsid w:val="00D15531"/>
    <w:rsid w:val="00D1596B"/>
    <w:rsid w:val="00D159BF"/>
    <w:rsid w:val="00D15AA1"/>
    <w:rsid w:val="00D15CCA"/>
    <w:rsid w:val="00D15D44"/>
    <w:rsid w:val="00D1639C"/>
    <w:rsid w:val="00D16519"/>
    <w:rsid w:val="00D16730"/>
    <w:rsid w:val="00D20CBF"/>
    <w:rsid w:val="00D2159F"/>
    <w:rsid w:val="00D21EAA"/>
    <w:rsid w:val="00D22450"/>
    <w:rsid w:val="00D22496"/>
    <w:rsid w:val="00D224A3"/>
    <w:rsid w:val="00D22710"/>
    <w:rsid w:val="00D23128"/>
    <w:rsid w:val="00D2417D"/>
    <w:rsid w:val="00D244B8"/>
    <w:rsid w:val="00D259F9"/>
    <w:rsid w:val="00D25CBC"/>
    <w:rsid w:val="00D25D65"/>
    <w:rsid w:val="00D261D9"/>
    <w:rsid w:val="00D2643C"/>
    <w:rsid w:val="00D2679D"/>
    <w:rsid w:val="00D26AFC"/>
    <w:rsid w:val="00D27663"/>
    <w:rsid w:val="00D2768C"/>
    <w:rsid w:val="00D300B3"/>
    <w:rsid w:val="00D31507"/>
    <w:rsid w:val="00D318C8"/>
    <w:rsid w:val="00D31CB1"/>
    <w:rsid w:val="00D31E59"/>
    <w:rsid w:val="00D32975"/>
    <w:rsid w:val="00D33675"/>
    <w:rsid w:val="00D33B36"/>
    <w:rsid w:val="00D342B0"/>
    <w:rsid w:val="00D34C54"/>
    <w:rsid w:val="00D34C6B"/>
    <w:rsid w:val="00D35A49"/>
    <w:rsid w:val="00D35C1B"/>
    <w:rsid w:val="00D362C5"/>
    <w:rsid w:val="00D37503"/>
    <w:rsid w:val="00D37BF0"/>
    <w:rsid w:val="00D37CB4"/>
    <w:rsid w:val="00D40505"/>
    <w:rsid w:val="00D40767"/>
    <w:rsid w:val="00D40CCF"/>
    <w:rsid w:val="00D412A0"/>
    <w:rsid w:val="00D41665"/>
    <w:rsid w:val="00D42114"/>
    <w:rsid w:val="00D42148"/>
    <w:rsid w:val="00D427E8"/>
    <w:rsid w:val="00D43287"/>
    <w:rsid w:val="00D43659"/>
    <w:rsid w:val="00D43B22"/>
    <w:rsid w:val="00D43C4D"/>
    <w:rsid w:val="00D43D13"/>
    <w:rsid w:val="00D43DCF"/>
    <w:rsid w:val="00D44007"/>
    <w:rsid w:val="00D44A9B"/>
    <w:rsid w:val="00D44E98"/>
    <w:rsid w:val="00D4744F"/>
    <w:rsid w:val="00D475B5"/>
    <w:rsid w:val="00D47756"/>
    <w:rsid w:val="00D47EAB"/>
    <w:rsid w:val="00D5021D"/>
    <w:rsid w:val="00D5024B"/>
    <w:rsid w:val="00D505B7"/>
    <w:rsid w:val="00D50738"/>
    <w:rsid w:val="00D50AC2"/>
    <w:rsid w:val="00D50DBC"/>
    <w:rsid w:val="00D5103B"/>
    <w:rsid w:val="00D51519"/>
    <w:rsid w:val="00D5193F"/>
    <w:rsid w:val="00D52478"/>
    <w:rsid w:val="00D533A5"/>
    <w:rsid w:val="00D534B7"/>
    <w:rsid w:val="00D54096"/>
    <w:rsid w:val="00D558DA"/>
    <w:rsid w:val="00D5642C"/>
    <w:rsid w:val="00D56EC4"/>
    <w:rsid w:val="00D57811"/>
    <w:rsid w:val="00D57BA5"/>
    <w:rsid w:val="00D60294"/>
    <w:rsid w:val="00D60B20"/>
    <w:rsid w:val="00D60B5F"/>
    <w:rsid w:val="00D60C6A"/>
    <w:rsid w:val="00D60F2F"/>
    <w:rsid w:val="00D60FB3"/>
    <w:rsid w:val="00D61A9B"/>
    <w:rsid w:val="00D62058"/>
    <w:rsid w:val="00D632C7"/>
    <w:rsid w:val="00D63489"/>
    <w:rsid w:val="00D63BC8"/>
    <w:rsid w:val="00D6417A"/>
    <w:rsid w:val="00D64954"/>
    <w:rsid w:val="00D6512E"/>
    <w:rsid w:val="00D65D0A"/>
    <w:rsid w:val="00D6602F"/>
    <w:rsid w:val="00D6658E"/>
    <w:rsid w:val="00D66C6D"/>
    <w:rsid w:val="00D6748C"/>
    <w:rsid w:val="00D708DA"/>
    <w:rsid w:val="00D70BA4"/>
    <w:rsid w:val="00D718AE"/>
    <w:rsid w:val="00D719BF"/>
    <w:rsid w:val="00D72031"/>
    <w:rsid w:val="00D7220A"/>
    <w:rsid w:val="00D72986"/>
    <w:rsid w:val="00D733C3"/>
    <w:rsid w:val="00D74080"/>
    <w:rsid w:val="00D740F0"/>
    <w:rsid w:val="00D74CAD"/>
    <w:rsid w:val="00D751F6"/>
    <w:rsid w:val="00D752A3"/>
    <w:rsid w:val="00D75351"/>
    <w:rsid w:val="00D75CFE"/>
    <w:rsid w:val="00D76A05"/>
    <w:rsid w:val="00D76EC9"/>
    <w:rsid w:val="00D77305"/>
    <w:rsid w:val="00D775C5"/>
    <w:rsid w:val="00D77DD2"/>
    <w:rsid w:val="00D80AB4"/>
    <w:rsid w:val="00D81639"/>
    <w:rsid w:val="00D82204"/>
    <w:rsid w:val="00D825E5"/>
    <w:rsid w:val="00D827BA"/>
    <w:rsid w:val="00D82883"/>
    <w:rsid w:val="00D82CD4"/>
    <w:rsid w:val="00D82CF3"/>
    <w:rsid w:val="00D8338E"/>
    <w:rsid w:val="00D83829"/>
    <w:rsid w:val="00D8388A"/>
    <w:rsid w:val="00D83B2D"/>
    <w:rsid w:val="00D84540"/>
    <w:rsid w:val="00D84A0A"/>
    <w:rsid w:val="00D84F8A"/>
    <w:rsid w:val="00D853AE"/>
    <w:rsid w:val="00D85879"/>
    <w:rsid w:val="00D85F7F"/>
    <w:rsid w:val="00D8608C"/>
    <w:rsid w:val="00D867D0"/>
    <w:rsid w:val="00D86855"/>
    <w:rsid w:val="00D86ED8"/>
    <w:rsid w:val="00D8749C"/>
    <w:rsid w:val="00D87B4B"/>
    <w:rsid w:val="00D90562"/>
    <w:rsid w:val="00D90B7C"/>
    <w:rsid w:val="00D91F0C"/>
    <w:rsid w:val="00D92169"/>
    <w:rsid w:val="00D92237"/>
    <w:rsid w:val="00D92356"/>
    <w:rsid w:val="00D92399"/>
    <w:rsid w:val="00D93381"/>
    <w:rsid w:val="00D93415"/>
    <w:rsid w:val="00D9421D"/>
    <w:rsid w:val="00D9422C"/>
    <w:rsid w:val="00D95BF2"/>
    <w:rsid w:val="00D95C14"/>
    <w:rsid w:val="00D96393"/>
    <w:rsid w:val="00D96E31"/>
    <w:rsid w:val="00D97289"/>
    <w:rsid w:val="00D97A9A"/>
    <w:rsid w:val="00D97ACF"/>
    <w:rsid w:val="00D97DC1"/>
    <w:rsid w:val="00D97E60"/>
    <w:rsid w:val="00DA0126"/>
    <w:rsid w:val="00DA052D"/>
    <w:rsid w:val="00DA0B69"/>
    <w:rsid w:val="00DA0D8C"/>
    <w:rsid w:val="00DA173C"/>
    <w:rsid w:val="00DA1829"/>
    <w:rsid w:val="00DA2081"/>
    <w:rsid w:val="00DA2B33"/>
    <w:rsid w:val="00DA3157"/>
    <w:rsid w:val="00DA3835"/>
    <w:rsid w:val="00DA3C7A"/>
    <w:rsid w:val="00DA4C4C"/>
    <w:rsid w:val="00DA541B"/>
    <w:rsid w:val="00DA561D"/>
    <w:rsid w:val="00DA5BC6"/>
    <w:rsid w:val="00DA5E82"/>
    <w:rsid w:val="00DA65FF"/>
    <w:rsid w:val="00DA71BF"/>
    <w:rsid w:val="00DA79C9"/>
    <w:rsid w:val="00DA7FAE"/>
    <w:rsid w:val="00DB05D9"/>
    <w:rsid w:val="00DB0A73"/>
    <w:rsid w:val="00DB1150"/>
    <w:rsid w:val="00DB129D"/>
    <w:rsid w:val="00DB1363"/>
    <w:rsid w:val="00DB1776"/>
    <w:rsid w:val="00DB19F9"/>
    <w:rsid w:val="00DB20BC"/>
    <w:rsid w:val="00DB2393"/>
    <w:rsid w:val="00DB2B16"/>
    <w:rsid w:val="00DB2E4E"/>
    <w:rsid w:val="00DB3324"/>
    <w:rsid w:val="00DB3B9E"/>
    <w:rsid w:val="00DB3EC5"/>
    <w:rsid w:val="00DB457F"/>
    <w:rsid w:val="00DB497E"/>
    <w:rsid w:val="00DB4B81"/>
    <w:rsid w:val="00DB4C39"/>
    <w:rsid w:val="00DB5FF7"/>
    <w:rsid w:val="00DB62B8"/>
    <w:rsid w:val="00DB635A"/>
    <w:rsid w:val="00DB6F36"/>
    <w:rsid w:val="00DB7205"/>
    <w:rsid w:val="00DB7BA1"/>
    <w:rsid w:val="00DC09CA"/>
    <w:rsid w:val="00DC263A"/>
    <w:rsid w:val="00DC27BE"/>
    <w:rsid w:val="00DC2AF4"/>
    <w:rsid w:val="00DC2CB5"/>
    <w:rsid w:val="00DC4B6C"/>
    <w:rsid w:val="00DC4D0F"/>
    <w:rsid w:val="00DC52E1"/>
    <w:rsid w:val="00DC5500"/>
    <w:rsid w:val="00DC5AC2"/>
    <w:rsid w:val="00DC5C6F"/>
    <w:rsid w:val="00DC66BA"/>
    <w:rsid w:val="00DC67BC"/>
    <w:rsid w:val="00DC7262"/>
    <w:rsid w:val="00DC7E05"/>
    <w:rsid w:val="00DD051F"/>
    <w:rsid w:val="00DD0974"/>
    <w:rsid w:val="00DD0D7F"/>
    <w:rsid w:val="00DD0DB1"/>
    <w:rsid w:val="00DD108F"/>
    <w:rsid w:val="00DD1157"/>
    <w:rsid w:val="00DD1311"/>
    <w:rsid w:val="00DD1346"/>
    <w:rsid w:val="00DD1B01"/>
    <w:rsid w:val="00DD1D55"/>
    <w:rsid w:val="00DD2023"/>
    <w:rsid w:val="00DD20DA"/>
    <w:rsid w:val="00DD2119"/>
    <w:rsid w:val="00DD241E"/>
    <w:rsid w:val="00DD2761"/>
    <w:rsid w:val="00DD2A90"/>
    <w:rsid w:val="00DD2A9F"/>
    <w:rsid w:val="00DD32CC"/>
    <w:rsid w:val="00DD3719"/>
    <w:rsid w:val="00DD3830"/>
    <w:rsid w:val="00DD397E"/>
    <w:rsid w:val="00DD4294"/>
    <w:rsid w:val="00DD4E25"/>
    <w:rsid w:val="00DD5B7A"/>
    <w:rsid w:val="00DD5DC6"/>
    <w:rsid w:val="00DD6165"/>
    <w:rsid w:val="00DD62B9"/>
    <w:rsid w:val="00DD65BB"/>
    <w:rsid w:val="00DD6816"/>
    <w:rsid w:val="00DD6B4A"/>
    <w:rsid w:val="00DD6BA8"/>
    <w:rsid w:val="00DD6D47"/>
    <w:rsid w:val="00DD7917"/>
    <w:rsid w:val="00DD7CEF"/>
    <w:rsid w:val="00DE01CB"/>
    <w:rsid w:val="00DE0E25"/>
    <w:rsid w:val="00DE0FC6"/>
    <w:rsid w:val="00DE189A"/>
    <w:rsid w:val="00DE1E11"/>
    <w:rsid w:val="00DE26B3"/>
    <w:rsid w:val="00DE2E22"/>
    <w:rsid w:val="00DE39DE"/>
    <w:rsid w:val="00DE3B9C"/>
    <w:rsid w:val="00DE45A5"/>
    <w:rsid w:val="00DE45AB"/>
    <w:rsid w:val="00DE4615"/>
    <w:rsid w:val="00DE4B04"/>
    <w:rsid w:val="00DE5045"/>
    <w:rsid w:val="00DE50D6"/>
    <w:rsid w:val="00DE5141"/>
    <w:rsid w:val="00DE58A0"/>
    <w:rsid w:val="00DE58DB"/>
    <w:rsid w:val="00DE5B71"/>
    <w:rsid w:val="00DE6F62"/>
    <w:rsid w:val="00DE73FB"/>
    <w:rsid w:val="00DE7CB8"/>
    <w:rsid w:val="00DF14E7"/>
    <w:rsid w:val="00DF14F8"/>
    <w:rsid w:val="00DF1529"/>
    <w:rsid w:val="00DF2103"/>
    <w:rsid w:val="00DF232D"/>
    <w:rsid w:val="00DF29F7"/>
    <w:rsid w:val="00DF2D3A"/>
    <w:rsid w:val="00DF30F0"/>
    <w:rsid w:val="00DF34E4"/>
    <w:rsid w:val="00DF3F83"/>
    <w:rsid w:val="00DF4C35"/>
    <w:rsid w:val="00DF570E"/>
    <w:rsid w:val="00DF5951"/>
    <w:rsid w:val="00DF5DC9"/>
    <w:rsid w:val="00DF60AA"/>
    <w:rsid w:val="00DF6198"/>
    <w:rsid w:val="00DF63A7"/>
    <w:rsid w:val="00DF64AF"/>
    <w:rsid w:val="00DF64D2"/>
    <w:rsid w:val="00DF6698"/>
    <w:rsid w:val="00DF6A61"/>
    <w:rsid w:val="00DF6E30"/>
    <w:rsid w:val="00DF7022"/>
    <w:rsid w:val="00DF719B"/>
    <w:rsid w:val="00DF7992"/>
    <w:rsid w:val="00DF79E4"/>
    <w:rsid w:val="00E00A9A"/>
    <w:rsid w:val="00E0207A"/>
    <w:rsid w:val="00E023E6"/>
    <w:rsid w:val="00E02C35"/>
    <w:rsid w:val="00E02FFE"/>
    <w:rsid w:val="00E0321D"/>
    <w:rsid w:val="00E039A5"/>
    <w:rsid w:val="00E04958"/>
    <w:rsid w:val="00E049BD"/>
    <w:rsid w:val="00E06367"/>
    <w:rsid w:val="00E06991"/>
    <w:rsid w:val="00E06BC3"/>
    <w:rsid w:val="00E06D3C"/>
    <w:rsid w:val="00E075CA"/>
    <w:rsid w:val="00E101A7"/>
    <w:rsid w:val="00E104F3"/>
    <w:rsid w:val="00E10C16"/>
    <w:rsid w:val="00E1124C"/>
    <w:rsid w:val="00E119B0"/>
    <w:rsid w:val="00E11B8F"/>
    <w:rsid w:val="00E11BB1"/>
    <w:rsid w:val="00E122C9"/>
    <w:rsid w:val="00E1239A"/>
    <w:rsid w:val="00E1259A"/>
    <w:rsid w:val="00E13243"/>
    <w:rsid w:val="00E1330D"/>
    <w:rsid w:val="00E13B95"/>
    <w:rsid w:val="00E149FF"/>
    <w:rsid w:val="00E14CF0"/>
    <w:rsid w:val="00E14EEE"/>
    <w:rsid w:val="00E16198"/>
    <w:rsid w:val="00E16243"/>
    <w:rsid w:val="00E1624B"/>
    <w:rsid w:val="00E168EE"/>
    <w:rsid w:val="00E16C42"/>
    <w:rsid w:val="00E1723E"/>
    <w:rsid w:val="00E17503"/>
    <w:rsid w:val="00E17EA4"/>
    <w:rsid w:val="00E17F49"/>
    <w:rsid w:val="00E2006D"/>
    <w:rsid w:val="00E20418"/>
    <w:rsid w:val="00E2096F"/>
    <w:rsid w:val="00E20E93"/>
    <w:rsid w:val="00E21107"/>
    <w:rsid w:val="00E211BF"/>
    <w:rsid w:val="00E21412"/>
    <w:rsid w:val="00E21598"/>
    <w:rsid w:val="00E22104"/>
    <w:rsid w:val="00E22454"/>
    <w:rsid w:val="00E22486"/>
    <w:rsid w:val="00E22739"/>
    <w:rsid w:val="00E227F0"/>
    <w:rsid w:val="00E22993"/>
    <w:rsid w:val="00E229A0"/>
    <w:rsid w:val="00E230CB"/>
    <w:rsid w:val="00E236E4"/>
    <w:rsid w:val="00E23E25"/>
    <w:rsid w:val="00E23F69"/>
    <w:rsid w:val="00E244B9"/>
    <w:rsid w:val="00E2469C"/>
    <w:rsid w:val="00E24CF9"/>
    <w:rsid w:val="00E24FDD"/>
    <w:rsid w:val="00E25159"/>
    <w:rsid w:val="00E253F1"/>
    <w:rsid w:val="00E25577"/>
    <w:rsid w:val="00E2583D"/>
    <w:rsid w:val="00E258AA"/>
    <w:rsid w:val="00E25AC1"/>
    <w:rsid w:val="00E26040"/>
    <w:rsid w:val="00E26466"/>
    <w:rsid w:val="00E27116"/>
    <w:rsid w:val="00E27408"/>
    <w:rsid w:val="00E27FCF"/>
    <w:rsid w:val="00E3160B"/>
    <w:rsid w:val="00E31D6F"/>
    <w:rsid w:val="00E31E0B"/>
    <w:rsid w:val="00E31E29"/>
    <w:rsid w:val="00E32882"/>
    <w:rsid w:val="00E32B9B"/>
    <w:rsid w:val="00E3369B"/>
    <w:rsid w:val="00E34AB7"/>
    <w:rsid w:val="00E34CDC"/>
    <w:rsid w:val="00E361E1"/>
    <w:rsid w:val="00E366C8"/>
    <w:rsid w:val="00E368B4"/>
    <w:rsid w:val="00E36EAB"/>
    <w:rsid w:val="00E37144"/>
    <w:rsid w:val="00E37375"/>
    <w:rsid w:val="00E37592"/>
    <w:rsid w:val="00E37FDF"/>
    <w:rsid w:val="00E4039F"/>
    <w:rsid w:val="00E4112E"/>
    <w:rsid w:val="00E413BA"/>
    <w:rsid w:val="00E414DC"/>
    <w:rsid w:val="00E418E6"/>
    <w:rsid w:val="00E428BD"/>
    <w:rsid w:val="00E43292"/>
    <w:rsid w:val="00E4333D"/>
    <w:rsid w:val="00E4371F"/>
    <w:rsid w:val="00E444AA"/>
    <w:rsid w:val="00E44845"/>
    <w:rsid w:val="00E448E9"/>
    <w:rsid w:val="00E44FC4"/>
    <w:rsid w:val="00E461EE"/>
    <w:rsid w:val="00E46206"/>
    <w:rsid w:val="00E46F61"/>
    <w:rsid w:val="00E47413"/>
    <w:rsid w:val="00E47C30"/>
    <w:rsid w:val="00E50C0E"/>
    <w:rsid w:val="00E5168B"/>
    <w:rsid w:val="00E5212B"/>
    <w:rsid w:val="00E52466"/>
    <w:rsid w:val="00E52597"/>
    <w:rsid w:val="00E526FC"/>
    <w:rsid w:val="00E52CF6"/>
    <w:rsid w:val="00E53761"/>
    <w:rsid w:val="00E53870"/>
    <w:rsid w:val="00E538FF"/>
    <w:rsid w:val="00E539AB"/>
    <w:rsid w:val="00E54407"/>
    <w:rsid w:val="00E54DDA"/>
    <w:rsid w:val="00E54F53"/>
    <w:rsid w:val="00E55491"/>
    <w:rsid w:val="00E55A61"/>
    <w:rsid w:val="00E5628F"/>
    <w:rsid w:val="00E56DE3"/>
    <w:rsid w:val="00E57771"/>
    <w:rsid w:val="00E57C92"/>
    <w:rsid w:val="00E60622"/>
    <w:rsid w:val="00E6079D"/>
    <w:rsid w:val="00E614E8"/>
    <w:rsid w:val="00E6158C"/>
    <w:rsid w:val="00E619AC"/>
    <w:rsid w:val="00E626FE"/>
    <w:rsid w:val="00E63DBA"/>
    <w:rsid w:val="00E6417D"/>
    <w:rsid w:val="00E64BF3"/>
    <w:rsid w:val="00E65277"/>
    <w:rsid w:val="00E65E32"/>
    <w:rsid w:val="00E65E64"/>
    <w:rsid w:val="00E66E30"/>
    <w:rsid w:val="00E67387"/>
    <w:rsid w:val="00E67B35"/>
    <w:rsid w:val="00E700A7"/>
    <w:rsid w:val="00E70266"/>
    <w:rsid w:val="00E702C2"/>
    <w:rsid w:val="00E706BB"/>
    <w:rsid w:val="00E70AFA"/>
    <w:rsid w:val="00E7109D"/>
    <w:rsid w:val="00E718ED"/>
    <w:rsid w:val="00E71B5C"/>
    <w:rsid w:val="00E72044"/>
    <w:rsid w:val="00E722D0"/>
    <w:rsid w:val="00E726E2"/>
    <w:rsid w:val="00E7292D"/>
    <w:rsid w:val="00E73CA5"/>
    <w:rsid w:val="00E73FDD"/>
    <w:rsid w:val="00E743A4"/>
    <w:rsid w:val="00E74AAB"/>
    <w:rsid w:val="00E75248"/>
    <w:rsid w:val="00E759E6"/>
    <w:rsid w:val="00E75EC1"/>
    <w:rsid w:val="00E7608E"/>
    <w:rsid w:val="00E76192"/>
    <w:rsid w:val="00E76B1A"/>
    <w:rsid w:val="00E778FF"/>
    <w:rsid w:val="00E804F0"/>
    <w:rsid w:val="00E8090F"/>
    <w:rsid w:val="00E80C37"/>
    <w:rsid w:val="00E80C6A"/>
    <w:rsid w:val="00E81362"/>
    <w:rsid w:val="00E81485"/>
    <w:rsid w:val="00E8170D"/>
    <w:rsid w:val="00E81924"/>
    <w:rsid w:val="00E81A23"/>
    <w:rsid w:val="00E827E9"/>
    <w:rsid w:val="00E82857"/>
    <w:rsid w:val="00E82D58"/>
    <w:rsid w:val="00E8357D"/>
    <w:rsid w:val="00E84077"/>
    <w:rsid w:val="00E841F1"/>
    <w:rsid w:val="00E8430B"/>
    <w:rsid w:val="00E84BDF"/>
    <w:rsid w:val="00E8514E"/>
    <w:rsid w:val="00E86165"/>
    <w:rsid w:val="00E8627A"/>
    <w:rsid w:val="00E866D0"/>
    <w:rsid w:val="00E870F7"/>
    <w:rsid w:val="00E877AC"/>
    <w:rsid w:val="00E87854"/>
    <w:rsid w:val="00E878D3"/>
    <w:rsid w:val="00E87D62"/>
    <w:rsid w:val="00E90DE9"/>
    <w:rsid w:val="00E9110B"/>
    <w:rsid w:val="00E91363"/>
    <w:rsid w:val="00E91570"/>
    <w:rsid w:val="00E91F8B"/>
    <w:rsid w:val="00E928DD"/>
    <w:rsid w:val="00E92EFB"/>
    <w:rsid w:val="00E93DFE"/>
    <w:rsid w:val="00E946D9"/>
    <w:rsid w:val="00E956A8"/>
    <w:rsid w:val="00E959A2"/>
    <w:rsid w:val="00E95FA9"/>
    <w:rsid w:val="00E95FBF"/>
    <w:rsid w:val="00E97863"/>
    <w:rsid w:val="00E97CD6"/>
    <w:rsid w:val="00EA0264"/>
    <w:rsid w:val="00EA0390"/>
    <w:rsid w:val="00EA0E37"/>
    <w:rsid w:val="00EA1474"/>
    <w:rsid w:val="00EA2918"/>
    <w:rsid w:val="00EA2C74"/>
    <w:rsid w:val="00EA355A"/>
    <w:rsid w:val="00EA3E3C"/>
    <w:rsid w:val="00EA3E48"/>
    <w:rsid w:val="00EA41B8"/>
    <w:rsid w:val="00EA4406"/>
    <w:rsid w:val="00EA4DAA"/>
    <w:rsid w:val="00EA5A14"/>
    <w:rsid w:val="00EA5BA9"/>
    <w:rsid w:val="00EA5D59"/>
    <w:rsid w:val="00EA5D5C"/>
    <w:rsid w:val="00EA656F"/>
    <w:rsid w:val="00EA65BC"/>
    <w:rsid w:val="00EA66BB"/>
    <w:rsid w:val="00EA6A17"/>
    <w:rsid w:val="00EA71C0"/>
    <w:rsid w:val="00EA72EC"/>
    <w:rsid w:val="00EA78D0"/>
    <w:rsid w:val="00EB0146"/>
    <w:rsid w:val="00EB057F"/>
    <w:rsid w:val="00EB0885"/>
    <w:rsid w:val="00EB08BC"/>
    <w:rsid w:val="00EB12DE"/>
    <w:rsid w:val="00EB16F4"/>
    <w:rsid w:val="00EB1E77"/>
    <w:rsid w:val="00EB2405"/>
    <w:rsid w:val="00EB2BB1"/>
    <w:rsid w:val="00EB2CCE"/>
    <w:rsid w:val="00EB351D"/>
    <w:rsid w:val="00EB381C"/>
    <w:rsid w:val="00EB3A29"/>
    <w:rsid w:val="00EB3D43"/>
    <w:rsid w:val="00EB4DCB"/>
    <w:rsid w:val="00EB4EDA"/>
    <w:rsid w:val="00EB5120"/>
    <w:rsid w:val="00EB5483"/>
    <w:rsid w:val="00EB6900"/>
    <w:rsid w:val="00EB6BAA"/>
    <w:rsid w:val="00EB6C1F"/>
    <w:rsid w:val="00EB6D2B"/>
    <w:rsid w:val="00EB70E3"/>
    <w:rsid w:val="00EB73B5"/>
    <w:rsid w:val="00EB7555"/>
    <w:rsid w:val="00EB7CAF"/>
    <w:rsid w:val="00EC00A5"/>
    <w:rsid w:val="00EC0636"/>
    <w:rsid w:val="00EC083A"/>
    <w:rsid w:val="00EC0A63"/>
    <w:rsid w:val="00EC0BBB"/>
    <w:rsid w:val="00EC0EDB"/>
    <w:rsid w:val="00EC0F6D"/>
    <w:rsid w:val="00EC1064"/>
    <w:rsid w:val="00EC14BE"/>
    <w:rsid w:val="00EC1707"/>
    <w:rsid w:val="00EC174C"/>
    <w:rsid w:val="00EC1ED8"/>
    <w:rsid w:val="00EC2237"/>
    <w:rsid w:val="00EC2977"/>
    <w:rsid w:val="00EC3176"/>
    <w:rsid w:val="00EC3DD9"/>
    <w:rsid w:val="00EC46E4"/>
    <w:rsid w:val="00EC4AD3"/>
    <w:rsid w:val="00EC5281"/>
    <w:rsid w:val="00EC5920"/>
    <w:rsid w:val="00EC5A65"/>
    <w:rsid w:val="00EC5F63"/>
    <w:rsid w:val="00EC61AC"/>
    <w:rsid w:val="00EC63A2"/>
    <w:rsid w:val="00ED0065"/>
    <w:rsid w:val="00ED08F3"/>
    <w:rsid w:val="00ED0C6A"/>
    <w:rsid w:val="00ED0DDE"/>
    <w:rsid w:val="00ED152D"/>
    <w:rsid w:val="00ED1949"/>
    <w:rsid w:val="00ED197C"/>
    <w:rsid w:val="00ED1EF7"/>
    <w:rsid w:val="00ED2552"/>
    <w:rsid w:val="00ED272C"/>
    <w:rsid w:val="00ED2DDD"/>
    <w:rsid w:val="00ED485F"/>
    <w:rsid w:val="00ED4930"/>
    <w:rsid w:val="00ED4A3A"/>
    <w:rsid w:val="00ED4CBB"/>
    <w:rsid w:val="00ED5509"/>
    <w:rsid w:val="00ED55AA"/>
    <w:rsid w:val="00ED55B7"/>
    <w:rsid w:val="00ED5EBA"/>
    <w:rsid w:val="00ED5FCE"/>
    <w:rsid w:val="00ED6450"/>
    <w:rsid w:val="00ED64DE"/>
    <w:rsid w:val="00ED6638"/>
    <w:rsid w:val="00ED6E79"/>
    <w:rsid w:val="00ED6FF2"/>
    <w:rsid w:val="00ED712A"/>
    <w:rsid w:val="00ED71A6"/>
    <w:rsid w:val="00ED7F00"/>
    <w:rsid w:val="00EE0028"/>
    <w:rsid w:val="00EE0221"/>
    <w:rsid w:val="00EE03CC"/>
    <w:rsid w:val="00EE051F"/>
    <w:rsid w:val="00EE05B7"/>
    <w:rsid w:val="00EE0C65"/>
    <w:rsid w:val="00EE0EC5"/>
    <w:rsid w:val="00EE1282"/>
    <w:rsid w:val="00EE1817"/>
    <w:rsid w:val="00EE1BB8"/>
    <w:rsid w:val="00EE1DD1"/>
    <w:rsid w:val="00EE1FC9"/>
    <w:rsid w:val="00EE2245"/>
    <w:rsid w:val="00EE25F9"/>
    <w:rsid w:val="00EE29AF"/>
    <w:rsid w:val="00EE2E01"/>
    <w:rsid w:val="00EE3463"/>
    <w:rsid w:val="00EE37EE"/>
    <w:rsid w:val="00EE39A4"/>
    <w:rsid w:val="00EE4B59"/>
    <w:rsid w:val="00EE50A8"/>
    <w:rsid w:val="00EE53B9"/>
    <w:rsid w:val="00EE6372"/>
    <w:rsid w:val="00EE6889"/>
    <w:rsid w:val="00EE7829"/>
    <w:rsid w:val="00EF0279"/>
    <w:rsid w:val="00EF0629"/>
    <w:rsid w:val="00EF09DF"/>
    <w:rsid w:val="00EF0D49"/>
    <w:rsid w:val="00EF1594"/>
    <w:rsid w:val="00EF17F1"/>
    <w:rsid w:val="00EF1C23"/>
    <w:rsid w:val="00EF269C"/>
    <w:rsid w:val="00EF29C7"/>
    <w:rsid w:val="00EF332C"/>
    <w:rsid w:val="00EF3463"/>
    <w:rsid w:val="00EF36A1"/>
    <w:rsid w:val="00EF389F"/>
    <w:rsid w:val="00EF40A9"/>
    <w:rsid w:val="00EF4251"/>
    <w:rsid w:val="00EF4841"/>
    <w:rsid w:val="00EF4A6B"/>
    <w:rsid w:val="00EF4CAF"/>
    <w:rsid w:val="00EF4E00"/>
    <w:rsid w:val="00EF540A"/>
    <w:rsid w:val="00EF56AD"/>
    <w:rsid w:val="00EF6405"/>
    <w:rsid w:val="00EF719E"/>
    <w:rsid w:val="00EF76FE"/>
    <w:rsid w:val="00F0064D"/>
    <w:rsid w:val="00F006BC"/>
    <w:rsid w:val="00F0087F"/>
    <w:rsid w:val="00F00C37"/>
    <w:rsid w:val="00F00C86"/>
    <w:rsid w:val="00F01005"/>
    <w:rsid w:val="00F0119D"/>
    <w:rsid w:val="00F01A5B"/>
    <w:rsid w:val="00F020B0"/>
    <w:rsid w:val="00F02F41"/>
    <w:rsid w:val="00F03088"/>
    <w:rsid w:val="00F0433A"/>
    <w:rsid w:val="00F044BF"/>
    <w:rsid w:val="00F04643"/>
    <w:rsid w:val="00F047EF"/>
    <w:rsid w:val="00F04CE5"/>
    <w:rsid w:val="00F0577A"/>
    <w:rsid w:val="00F0619B"/>
    <w:rsid w:val="00F062E1"/>
    <w:rsid w:val="00F06B73"/>
    <w:rsid w:val="00F06EF8"/>
    <w:rsid w:val="00F07728"/>
    <w:rsid w:val="00F10A73"/>
    <w:rsid w:val="00F11145"/>
    <w:rsid w:val="00F11700"/>
    <w:rsid w:val="00F118CF"/>
    <w:rsid w:val="00F11F45"/>
    <w:rsid w:val="00F120EC"/>
    <w:rsid w:val="00F12496"/>
    <w:rsid w:val="00F12DC0"/>
    <w:rsid w:val="00F147FA"/>
    <w:rsid w:val="00F1486B"/>
    <w:rsid w:val="00F14D0B"/>
    <w:rsid w:val="00F14FC6"/>
    <w:rsid w:val="00F159F8"/>
    <w:rsid w:val="00F15AA8"/>
    <w:rsid w:val="00F15D77"/>
    <w:rsid w:val="00F17663"/>
    <w:rsid w:val="00F17D5E"/>
    <w:rsid w:val="00F20369"/>
    <w:rsid w:val="00F20899"/>
    <w:rsid w:val="00F20E57"/>
    <w:rsid w:val="00F21273"/>
    <w:rsid w:val="00F217F9"/>
    <w:rsid w:val="00F21D64"/>
    <w:rsid w:val="00F21EFC"/>
    <w:rsid w:val="00F2262B"/>
    <w:rsid w:val="00F22C4F"/>
    <w:rsid w:val="00F23BFE"/>
    <w:rsid w:val="00F2456C"/>
    <w:rsid w:val="00F24C95"/>
    <w:rsid w:val="00F25138"/>
    <w:rsid w:val="00F2548E"/>
    <w:rsid w:val="00F25965"/>
    <w:rsid w:val="00F25ABA"/>
    <w:rsid w:val="00F2704B"/>
    <w:rsid w:val="00F302A0"/>
    <w:rsid w:val="00F3080C"/>
    <w:rsid w:val="00F31AD8"/>
    <w:rsid w:val="00F32751"/>
    <w:rsid w:val="00F339CE"/>
    <w:rsid w:val="00F33E76"/>
    <w:rsid w:val="00F342F9"/>
    <w:rsid w:val="00F345C3"/>
    <w:rsid w:val="00F3469B"/>
    <w:rsid w:val="00F348B2"/>
    <w:rsid w:val="00F35094"/>
    <w:rsid w:val="00F35125"/>
    <w:rsid w:val="00F3516E"/>
    <w:rsid w:val="00F35FBD"/>
    <w:rsid w:val="00F366A6"/>
    <w:rsid w:val="00F37764"/>
    <w:rsid w:val="00F37F91"/>
    <w:rsid w:val="00F4021E"/>
    <w:rsid w:val="00F40692"/>
    <w:rsid w:val="00F4071F"/>
    <w:rsid w:val="00F40C9F"/>
    <w:rsid w:val="00F4118B"/>
    <w:rsid w:val="00F4192A"/>
    <w:rsid w:val="00F41DFF"/>
    <w:rsid w:val="00F42179"/>
    <w:rsid w:val="00F42995"/>
    <w:rsid w:val="00F42F4E"/>
    <w:rsid w:val="00F44379"/>
    <w:rsid w:val="00F44601"/>
    <w:rsid w:val="00F45348"/>
    <w:rsid w:val="00F45CB7"/>
    <w:rsid w:val="00F46B76"/>
    <w:rsid w:val="00F46CC4"/>
    <w:rsid w:val="00F46F21"/>
    <w:rsid w:val="00F47996"/>
    <w:rsid w:val="00F47E58"/>
    <w:rsid w:val="00F50527"/>
    <w:rsid w:val="00F507BE"/>
    <w:rsid w:val="00F50C82"/>
    <w:rsid w:val="00F50F62"/>
    <w:rsid w:val="00F51011"/>
    <w:rsid w:val="00F5126C"/>
    <w:rsid w:val="00F518E5"/>
    <w:rsid w:val="00F52ED5"/>
    <w:rsid w:val="00F5303D"/>
    <w:rsid w:val="00F5382A"/>
    <w:rsid w:val="00F5391D"/>
    <w:rsid w:val="00F5435D"/>
    <w:rsid w:val="00F54A50"/>
    <w:rsid w:val="00F54F47"/>
    <w:rsid w:val="00F54FAA"/>
    <w:rsid w:val="00F55079"/>
    <w:rsid w:val="00F55896"/>
    <w:rsid w:val="00F55CF9"/>
    <w:rsid w:val="00F56834"/>
    <w:rsid w:val="00F56A8F"/>
    <w:rsid w:val="00F56C00"/>
    <w:rsid w:val="00F571EB"/>
    <w:rsid w:val="00F579EC"/>
    <w:rsid w:val="00F617DC"/>
    <w:rsid w:val="00F61AAD"/>
    <w:rsid w:val="00F61BCF"/>
    <w:rsid w:val="00F621BD"/>
    <w:rsid w:val="00F627C0"/>
    <w:rsid w:val="00F6332E"/>
    <w:rsid w:val="00F6348D"/>
    <w:rsid w:val="00F63955"/>
    <w:rsid w:val="00F63A75"/>
    <w:rsid w:val="00F640BF"/>
    <w:rsid w:val="00F6415A"/>
    <w:rsid w:val="00F64753"/>
    <w:rsid w:val="00F64FB0"/>
    <w:rsid w:val="00F651BC"/>
    <w:rsid w:val="00F65586"/>
    <w:rsid w:val="00F67165"/>
    <w:rsid w:val="00F672DF"/>
    <w:rsid w:val="00F67894"/>
    <w:rsid w:val="00F67CCA"/>
    <w:rsid w:val="00F67FA4"/>
    <w:rsid w:val="00F7071C"/>
    <w:rsid w:val="00F70B2D"/>
    <w:rsid w:val="00F70B9C"/>
    <w:rsid w:val="00F719E6"/>
    <w:rsid w:val="00F72908"/>
    <w:rsid w:val="00F72E24"/>
    <w:rsid w:val="00F73E8E"/>
    <w:rsid w:val="00F74CF3"/>
    <w:rsid w:val="00F74E2A"/>
    <w:rsid w:val="00F7539A"/>
    <w:rsid w:val="00F754D5"/>
    <w:rsid w:val="00F75864"/>
    <w:rsid w:val="00F76251"/>
    <w:rsid w:val="00F7673F"/>
    <w:rsid w:val="00F76DDA"/>
    <w:rsid w:val="00F76FE8"/>
    <w:rsid w:val="00F8015F"/>
    <w:rsid w:val="00F80260"/>
    <w:rsid w:val="00F80505"/>
    <w:rsid w:val="00F807FB"/>
    <w:rsid w:val="00F80C71"/>
    <w:rsid w:val="00F812BA"/>
    <w:rsid w:val="00F82595"/>
    <w:rsid w:val="00F829C9"/>
    <w:rsid w:val="00F83228"/>
    <w:rsid w:val="00F833A2"/>
    <w:rsid w:val="00F834C1"/>
    <w:rsid w:val="00F83727"/>
    <w:rsid w:val="00F84A82"/>
    <w:rsid w:val="00F84DDE"/>
    <w:rsid w:val="00F85593"/>
    <w:rsid w:val="00F857BB"/>
    <w:rsid w:val="00F858FA"/>
    <w:rsid w:val="00F85F5C"/>
    <w:rsid w:val="00F8685E"/>
    <w:rsid w:val="00F86861"/>
    <w:rsid w:val="00F869D6"/>
    <w:rsid w:val="00F86C32"/>
    <w:rsid w:val="00F872DC"/>
    <w:rsid w:val="00F8799A"/>
    <w:rsid w:val="00F87EA4"/>
    <w:rsid w:val="00F9062E"/>
    <w:rsid w:val="00F90636"/>
    <w:rsid w:val="00F908BE"/>
    <w:rsid w:val="00F90DEE"/>
    <w:rsid w:val="00F914B4"/>
    <w:rsid w:val="00F91D32"/>
    <w:rsid w:val="00F92785"/>
    <w:rsid w:val="00F94783"/>
    <w:rsid w:val="00F94CAF"/>
    <w:rsid w:val="00F9524E"/>
    <w:rsid w:val="00F95AA3"/>
    <w:rsid w:val="00F95B43"/>
    <w:rsid w:val="00F95BD7"/>
    <w:rsid w:val="00F95FEA"/>
    <w:rsid w:val="00F960AD"/>
    <w:rsid w:val="00F96489"/>
    <w:rsid w:val="00F964E8"/>
    <w:rsid w:val="00F968CB"/>
    <w:rsid w:val="00F970BA"/>
    <w:rsid w:val="00F97124"/>
    <w:rsid w:val="00F9713C"/>
    <w:rsid w:val="00F97C17"/>
    <w:rsid w:val="00F97FAF"/>
    <w:rsid w:val="00FA002A"/>
    <w:rsid w:val="00FA1420"/>
    <w:rsid w:val="00FA2553"/>
    <w:rsid w:val="00FA318E"/>
    <w:rsid w:val="00FA3375"/>
    <w:rsid w:val="00FA33C9"/>
    <w:rsid w:val="00FA3AFB"/>
    <w:rsid w:val="00FA45A1"/>
    <w:rsid w:val="00FA4AAF"/>
    <w:rsid w:val="00FA5E02"/>
    <w:rsid w:val="00FA5F04"/>
    <w:rsid w:val="00FA62A2"/>
    <w:rsid w:val="00FA69B8"/>
    <w:rsid w:val="00FA6C7B"/>
    <w:rsid w:val="00FA6CA0"/>
    <w:rsid w:val="00FA72A0"/>
    <w:rsid w:val="00FA7580"/>
    <w:rsid w:val="00FB0D0A"/>
    <w:rsid w:val="00FB1048"/>
    <w:rsid w:val="00FB146D"/>
    <w:rsid w:val="00FB1F1C"/>
    <w:rsid w:val="00FB221D"/>
    <w:rsid w:val="00FB2D29"/>
    <w:rsid w:val="00FB30A1"/>
    <w:rsid w:val="00FB31DD"/>
    <w:rsid w:val="00FB32A4"/>
    <w:rsid w:val="00FB3CF2"/>
    <w:rsid w:val="00FB3F34"/>
    <w:rsid w:val="00FB4692"/>
    <w:rsid w:val="00FB47B4"/>
    <w:rsid w:val="00FB4B8E"/>
    <w:rsid w:val="00FB4E79"/>
    <w:rsid w:val="00FB51A3"/>
    <w:rsid w:val="00FB520B"/>
    <w:rsid w:val="00FB52E0"/>
    <w:rsid w:val="00FB5342"/>
    <w:rsid w:val="00FB6462"/>
    <w:rsid w:val="00FB6BFE"/>
    <w:rsid w:val="00FB6E80"/>
    <w:rsid w:val="00FB785D"/>
    <w:rsid w:val="00FC001D"/>
    <w:rsid w:val="00FC0108"/>
    <w:rsid w:val="00FC0549"/>
    <w:rsid w:val="00FC083E"/>
    <w:rsid w:val="00FC08A3"/>
    <w:rsid w:val="00FC0AC7"/>
    <w:rsid w:val="00FC11C1"/>
    <w:rsid w:val="00FC1251"/>
    <w:rsid w:val="00FC15D4"/>
    <w:rsid w:val="00FC1AA8"/>
    <w:rsid w:val="00FC1ADC"/>
    <w:rsid w:val="00FC1D83"/>
    <w:rsid w:val="00FC2B12"/>
    <w:rsid w:val="00FC35B5"/>
    <w:rsid w:val="00FC42B7"/>
    <w:rsid w:val="00FC4B93"/>
    <w:rsid w:val="00FC5451"/>
    <w:rsid w:val="00FC5650"/>
    <w:rsid w:val="00FC5979"/>
    <w:rsid w:val="00FC69E3"/>
    <w:rsid w:val="00FC74CA"/>
    <w:rsid w:val="00FC75A5"/>
    <w:rsid w:val="00FC769C"/>
    <w:rsid w:val="00FC7D76"/>
    <w:rsid w:val="00FC7E3A"/>
    <w:rsid w:val="00FD03DA"/>
    <w:rsid w:val="00FD059E"/>
    <w:rsid w:val="00FD0C40"/>
    <w:rsid w:val="00FD0CE4"/>
    <w:rsid w:val="00FD17E9"/>
    <w:rsid w:val="00FD2AC4"/>
    <w:rsid w:val="00FD46EE"/>
    <w:rsid w:val="00FD4802"/>
    <w:rsid w:val="00FD4A6F"/>
    <w:rsid w:val="00FD4B29"/>
    <w:rsid w:val="00FD4FDD"/>
    <w:rsid w:val="00FD5357"/>
    <w:rsid w:val="00FD5602"/>
    <w:rsid w:val="00FD5C75"/>
    <w:rsid w:val="00FD6C9B"/>
    <w:rsid w:val="00FD7A8D"/>
    <w:rsid w:val="00FD7DD8"/>
    <w:rsid w:val="00FD7F65"/>
    <w:rsid w:val="00FE02B2"/>
    <w:rsid w:val="00FE0565"/>
    <w:rsid w:val="00FE0F05"/>
    <w:rsid w:val="00FE1118"/>
    <w:rsid w:val="00FE122D"/>
    <w:rsid w:val="00FE1B3A"/>
    <w:rsid w:val="00FE2056"/>
    <w:rsid w:val="00FE2066"/>
    <w:rsid w:val="00FE27FA"/>
    <w:rsid w:val="00FE4015"/>
    <w:rsid w:val="00FE4661"/>
    <w:rsid w:val="00FE4AEB"/>
    <w:rsid w:val="00FE51E3"/>
    <w:rsid w:val="00FE5C1F"/>
    <w:rsid w:val="00FE6398"/>
    <w:rsid w:val="00FE661F"/>
    <w:rsid w:val="00FE68B6"/>
    <w:rsid w:val="00FE6F1B"/>
    <w:rsid w:val="00FE7611"/>
    <w:rsid w:val="00FE783A"/>
    <w:rsid w:val="00FE7D29"/>
    <w:rsid w:val="00FF026D"/>
    <w:rsid w:val="00FF0DB8"/>
    <w:rsid w:val="00FF10AB"/>
    <w:rsid w:val="00FF155B"/>
    <w:rsid w:val="00FF2166"/>
    <w:rsid w:val="00FF244B"/>
    <w:rsid w:val="00FF25CA"/>
    <w:rsid w:val="00FF260A"/>
    <w:rsid w:val="00FF3F3A"/>
    <w:rsid w:val="00FF46E3"/>
    <w:rsid w:val="00FF5474"/>
    <w:rsid w:val="00FF54D0"/>
    <w:rsid w:val="00FF5FFF"/>
    <w:rsid w:val="00FF6FF6"/>
    <w:rsid w:val="00FF7204"/>
    <w:rsid w:val="00FF7959"/>
    <w:rsid w:val="041B1F30"/>
    <w:rsid w:val="0BF92D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ecimalSymbol w:val="."/>
  <w:listSeparator w:val=","/>
  <w14:docId w14:val="29840278"/>
  <w15:docId w15:val="{4CA68009-A40C-47A8-97F1-3D6F071D6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65B2"/>
    <w:pPr>
      <w:spacing w:before="60" w:after="60" w:line="240" w:lineRule="auto"/>
    </w:pPr>
    <w:rPr>
      <w:rFonts w:ascii="Arial" w:hAnsi="Arial"/>
      <w:sz w:val="16"/>
    </w:rPr>
  </w:style>
  <w:style w:type="paragraph" w:styleId="Heading1">
    <w:name w:val="heading 1"/>
    <w:basedOn w:val="Normal"/>
    <w:next w:val="Normal"/>
    <w:link w:val="Heading1Char"/>
    <w:uiPriority w:val="9"/>
    <w:qFormat/>
    <w:rsid w:val="00D01281"/>
    <w:pPr>
      <w:keepNext/>
      <w:keepLines/>
      <w:spacing w:before="240" w:after="0"/>
      <w:outlineLvl w:val="0"/>
    </w:pPr>
    <w:rPr>
      <w:rFonts w:eastAsiaTheme="majorEastAsia" w:cstheme="majorBidi"/>
      <w:b/>
      <w:bCs/>
      <w:sz w:val="20"/>
      <w:szCs w:val="28"/>
    </w:rPr>
  </w:style>
  <w:style w:type="paragraph" w:styleId="Heading2">
    <w:name w:val="heading 2"/>
    <w:basedOn w:val="Normal"/>
    <w:next w:val="Normal"/>
    <w:link w:val="Heading2Char"/>
    <w:uiPriority w:val="9"/>
    <w:unhideWhenUsed/>
    <w:qFormat/>
    <w:rsid w:val="008645AD"/>
    <w:pPr>
      <w:keepNext/>
      <w:keepLines/>
      <w:spacing w:before="240" w:after="0"/>
      <w:outlineLvl w:val="1"/>
    </w:pPr>
    <w:rPr>
      <w:rFonts w:eastAsiaTheme="majorEastAsia" w:cstheme="majorBidi"/>
      <w:b/>
      <w:bCs/>
      <w:sz w:val="20"/>
      <w:szCs w:val="26"/>
    </w:rPr>
  </w:style>
  <w:style w:type="paragraph" w:styleId="Heading3">
    <w:name w:val="heading 3"/>
    <w:basedOn w:val="Normal"/>
    <w:next w:val="Normal"/>
    <w:link w:val="Heading3Char"/>
    <w:uiPriority w:val="9"/>
    <w:unhideWhenUsed/>
    <w:qFormat/>
    <w:rsid w:val="00371FAA"/>
    <w:pPr>
      <w:keepNext/>
      <w:keepLines/>
      <w:spacing w:before="240" w:after="0"/>
      <w:outlineLvl w:val="2"/>
    </w:pPr>
    <w:rPr>
      <w:rFonts w:eastAsiaTheme="majorEastAsia" w:cstheme="majorBidi"/>
      <w:b/>
      <w:bCs/>
      <w:sz w:val="20"/>
    </w:rPr>
  </w:style>
  <w:style w:type="paragraph" w:styleId="Heading4">
    <w:name w:val="heading 4"/>
    <w:basedOn w:val="Normal"/>
    <w:next w:val="Normal"/>
    <w:link w:val="Heading4Char"/>
    <w:uiPriority w:val="9"/>
    <w:unhideWhenUsed/>
    <w:qFormat/>
    <w:rsid w:val="00371FAA"/>
    <w:pPr>
      <w:keepNext/>
      <w:keepLines/>
      <w:spacing w:before="40" w:after="0"/>
      <w:outlineLvl w:val="3"/>
    </w:pPr>
    <w:rPr>
      <w:rFonts w:eastAsiaTheme="majorEastAsia" w:cstheme="majorBidi"/>
      <w:b/>
      <w:i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1281"/>
    <w:rPr>
      <w:rFonts w:ascii="Arial" w:eastAsiaTheme="majorEastAsia" w:hAnsi="Arial" w:cstheme="majorBidi"/>
      <w:b/>
      <w:bCs/>
      <w:sz w:val="20"/>
      <w:szCs w:val="28"/>
    </w:rPr>
  </w:style>
  <w:style w:type="character" w:customStyle="1" w:styleId="Heading2Char">
    <w:name w:val="Heading 2 Char"/>
    <w:basedOn w:val="DefaultParagraphFont"/>
    <w:link w:val="Heading2"/>
    <w:uiPriority w:val="9"/>
    <w:rsid w:val="008645AD"/>
    <w:rPr>
      <w:rFonts w:ascii="Arial" w:eastAsiaTheme="majorEastAsia" w:hAnsi="Arial" w:cstheme="majorBidi"/>
      <w:b/>
      <w:bCs/>
      <w:sz w:val="20"/>
      <w:szCs w:val="26"/>
    </w:rPr>
  </w:style>
  <w:style w:type="character" w:customStyle="1" w:styleId="Heading3Char">
    <w:name w:val="Heading 3 Char"/>
    <w:basedOn w:val="DefaultParagraphFont"/>
    <w:link w:val="Heading3"/>
    <w:uiPriority w:val="9"/>
    <w:rsid w:val="00371FAA"/>
    <w:rPr>
      <w:rFonts w:ascii="Arial" w:eastAsiaTheme="majorEastAsia" w:hAnsi="Arial" w:cstheme="majorBidi"/>
      <w:b/>
      <w:bCs/>
      <w:sz w:val="20"/>
    </w:rPr>
  </w:style>
  <w:style w:type="table" w:styleId="TableGrid">
    <w:name w:val="Table Grid"/>
    <w:basedOn w:val="TableNormal"/>
    <w:uiPriority w:val="59"/>
    <w:rsid w:val="00B976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97669"/>
    <w:pPr>
      <w:spacing w:after="0"/>
    </w:pPr>
    <w:rPr>
      <w:rFonts w:ascii="Tahoma" w:hAnsi="Tahoma" w:cs="Tahoma"/>
      <w:szCs w:val="16"/>
    </w:rPr>
  </w:style>
  <w:style w:type="character" w:customStyle="1" w:styleId="BalloonTextChar">
    <w:name w:val="Balloon Text Char"/>
    <w:basedOn w:val="DefaultParagraphFont"/>
    <w:link w:val="BalloonText"/>
    <w:uiPriority w:val="99"/>
    <w:semiHidden/>
    <w:rsid w:val="00B97669"/>
    <w:rPr>
      <w:rFonts w:ascii="Tahoma" w:hAnsi="Tahoma" w:cs="Tahoma"/>
      <w:sz w:val="16"/>
      <w:szCs w:val="16"/>
    </w:rPr>
  </w:style>
  <w:style w:type="paragraph" w:styleId="Header">
    <w:name w:val="header"/>
    <w:basedOn w:val="Normal"/>
    <w:link w:val="HeaderChar"/>
    <w:uiPriority w:val="99"/>
    <w:rsid w:val="00E02FFE"/>
    <w:pPr>
      <w:tabs>
        <w:tab w:val="center" w:pos="4320"/>
        <w:tab w:val="right" w:pos="8640"/>
      </w:tabs>
      <w:spacing w:after="0"/>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E02FFE"/>
    <w:rPr>
      <w:rFonts w:ascii="Times New Roman" w:eastAsia="Times New Roman" w:hAnsi="Times New Roman" w:cs="Times New Roman"/>
      <w:sz w:val="24"/>
      <w:szCs w:val="24"/>
    </w:rPr>
  </w:style>
  <w:style w:type="paragraph" w:customStyle="1" w:styleId="Default">
    <w:name w:val="Default"/>
    <w:rsid w:val="00E02FFE"/>
    <w:pPr>
      <w:autoSpaceDE w:val="0"/>
      <w:autoSpaceDN w:val="0"/>
      <w:adjustRightInd w:val="0"/>
      <w:spacing w:after="0" w:line="240" w:lineRule="auto"/>
    </w:pPr>
    <w:rPr>
      <w:rFonts w:ascii="Arial" w:eastAsia="Times New Roman" w:hAnsi="Arial" w:cs="Arial"/>
      <w:color w:val="000000"/>
      <w:sz w:val="24"/>
      <w:szCs w:val="24"/>
    </w:rPr>
  </w:style>
  <w:style w:type="paragraph" w:styleId="Title">
    <w:name w:val="Title"/>
    <w:basedOn w:val="Normal"/>
    <w:next w:val="Normal"/>
    <w:link w:val="TitleChar"/>
    <w:uiPriority w:val="10"/>
    <w:qFormat/>
    <w:rsid w:val="00690AC9"/>
    <w:pPr>
      <w:pBdr>
        <w:top w:val="single" w:sz="8" w:space="1" w:color="4F81BD" w:themeColor="accent1"/>
        <w:bottom w:val="single" w:sz="8" w:space="4" w:color="4F81BD" w:themeColor="accent1"/>
      </w:pBdr>
      <w:spacing w:before="360" w:after="120"/>
      <w:contextualSpacing/>
    </w:pPr>
    <w:rPr>
      <w:rFonts w:asciiTheme="majorHAnsi" w:eastAsiaTheme="majorEastAsia" w:hAnsiTheme="majorHAnsi" w:cstheme="majorBidi"/>
      <w:color w:val="17365D" w:themeColor="text2" w:themeShade="BF"/>
      <w:spacing w:val="5"/>
      <w:kern w:val="28"/>
      <w:sz w:val="32"/>
      <w:szCs w:val="52"/>
    </w:rPr>
  </w:style>
  <w:style w:type="character" w:customStyle="1" w:styleId="TitleChar">
    <w:name w:val="Title Char"/>
    <w:basedOn w:val="DefaultParagraphFont"/>
    <w:link w:val="Title"/>
    <w:uiPriority w:val="10"/>
    <w:rsid w:val="00690AC9"/>
    <w:rPr>
      <w:rFonts w:asciiTheme="majorHAnsi" w:eastAsiaTheme="majorEastAsia" w:hAnsiTheme="majorHAnsi" w:cstheme="majorBidi"/>
      <w:color w:val="17365D" w:themeColor="text2" w:themeShade="BF"/>
      <w:spacing w:val="5"/>
      <w:kern w:val="28"/>
      <w:sz w:val="32"/>
      <w:szCs w:val="52"/>
    </w:rPr>
  </w:style>
  <w:style w:type="paragraph" w:styleId="Subtitle">
    <w:name w:val="Subtitle"/>
    <w:basedOn w:val="Normal"/>
    <w:next w:val="Normal"/>
    <w:link w:val="SubtitleChar"/>
    <w:uiPriority w:val="11"/>
    <w:qFormat/>
    <w:rsid w:val="00E02FF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E02FFE"/>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41365C"/>
    <w:pPr>
      <w:ind w:left="720"/>
      <w:contextualSpacing/>
    </w:pPr>
  </w:style>
  <w:style w:type="paragraph" w:styleId="Footer">
    <w:name w:val="footer"/>
    <w:basedOn w:val="Normal"/>
    <w:link w:val="FooterChar"/>
    <w:uiPriority w:val="99"/>
    <w:unhideWhenUsed/>
    <w:rsid w:val="000802F7"/>
    <w:pPr>
      <w:tabs>
        <w:tab w:val="center" w:pos="4680"/>
        <w:tab w:val="right" w:pos="9360"/>
      </w:tabs>
      <w:spacing w:before="0" w:after="0"/>
    </w:pPr>
  </w:style>
  <w:style w:type="character" w:customStyle="1" w:styleId="FooterChar">
    <w:name w:val="Footer Char"/>
    <w:basedOn w:val="DefaultParagraphFont"/>
    <w:link w:val="Footer"/>
    <w:uiPriority w:val="99"/>
    <w:rsid w:val="000802F7"/>
  </w:style>
  <w:style w:type="character" w:styleId="CommentReference">
    <w:name w:val="annotation reference"/>
    <w:basedOn w:val="DefaultParagraphFont"/>
    <w:uiPriority w:val="99"/>
    <w:unhideWhenUsed/>
    <w:rsid w:val="001D7011"/>
    <w:rPr>
      <w:sz w:val="16"/>
      <w:szCs w:val="16"/>
    </w:rPr>
  </w:style>
  <w:style w:type="paragraph" w:styleId="CommentText">
    <w:name w:val="annotation text"/>
    <w:basedOn w:val="Normal"/>
    <w:link w:val="CommentTextChar"/>
    <w:uiPriority w:val="99"/>
    <w:unhideWhenUsed/>
    <w:rsid w:val="001D7011"/>
    <w:rPr>
      <w:sz w:val="20"/>
      <w:szCs w:val="20"/>
    </w:rPr>
  </w:style>
  <w:style w:type="character" w:customStyle="1" w:styleId="CommentTextChar">
    <w:name w:val="Comment Text Char"/>
    <w:basedOn w:val="DefaultParagraphFont"/>
    <w:link w:val="CommentText"/>
    <w:uiPriority w:val="99"/>
    <w:rsid w:val="001D7011"/>
    <w:rPr>
      <w:sz w:val="20"/>
      <w:szCs w:val="20"/>
    </w:rPr>
  </w:style>
  <w:style w:type="paragraph" w:styleId="CommentSubject">
    <w:name w:val="annotation subject"/>
    <w:basedOn w:val="CommentText"/>
    <w:next w:val="CommentText"/>
    <w:link w:val="CommentSubjectChar"/>
    <w:uiPriority w:val="99"/>
    <w:semiHidden/>
    <w:unhideWhenUsed/>
    <w:rsid w:val="001D7011"/>
    <w:rPr>
      <w:b/>
      <w:bCs/>
    </w:rPr>
  </w:style>
  <w:style w:type="character" w:customStyle="1" w:styleId="CommentSubjectChar">
    <w:name w:val="Comment Subject Char"/>
    <w:basedOn w:val="CommentTextChar"/>
    <w:link w:val="CommentSubject"/>
    <w:uiPriority w:val="99"/>
    <w:semiHidden/>
    <w:rsid w:val="001D7011"/>
    <w:rPr>
      <w:b/>
      <w:bCs/>
      <w:sz w:val="20"/>
      <w:szCs w:val="20"/>
    </w:rPr>
  </w:style>
  <w:style w:type="character" w:styleId="Hyperlink">
    <w:name w:val="Hyperlink"/>
    <w:basedOn w:val="DefaultParagraphFont"/>
    <w:uiPriority w:val="99"/>
    <w:unhideWhenUsed/>
    <w:rsid w:val="00CC2356"/>
    <w:rPr>
      <w:color w:val="0000FF" w:themeColor="hyperlink"/>
      <w:u w:val="single"/>
    </w:rPr>
  </w:style>
  <w:style w:type="paragraph" w:styleId="FootnoteText">
    <w:name w:val="footnote text"/>
    <w:basedOn w:val="Normal"/>
    <w:link w:val="FootnoteTextChar"/>
    <w:uiPriority w:val="99"/>
    <w:semiHidden/>
    <w:unhideWhenUsed/>
    <w:rsid w:val="006D5E8D"/>
    <w:pPr>
      <w:spacing w:before="0" w:after="0"/>
    </w:pPr>
    <w:rPr>
      <w:sz w:val="20"/>
      <w:szCs w:val="20"/>
    </w:rPr>
  </w:style>
  <w:style w:type="character" w:customStyle="1" w:styleId="FootnoteTextChar">
    <w:name w:val="Footnote Text Char"/>
    <w:basedOn w:val="DefaultParagraphFont"/>
    <w:link w:val="FootnoteText"/>
    <w:uiPriority w:val="99"/>
    <w:semiHidden/>
    <w:rsid w:val="006D5E8D"/>
    <w:rPr>
      <w:sz w:val="20"/>
      <w:szCs w:val="20"/>
    </w:rPr>
  </w:style>
  <w:style w:type="character" w:styleId="FootnoteReference">
    <w:name w:val="footnote reference"/>
    <w:basedOn w:val="DefaultParagraphFont"/>
    <w:uiPriority w:val="99"/>
    <w:semiHidden/>
    <w:unhideWhenUsed/>
    <w:rsid w:val="006D5E8D"/>
    <w:rPr>
      <w:vertAlign w:val="superscript"/>
    </w:rPr>
  </w:style>
  <w:style w:type="paragraph" w:styleId="TOCHeading">
    <w:name w:val="TOC Heading"/>
    <w:basedOn w:val="Heading1"/>
    <w:next w:val="Normal"/>
    <w:uiPriority w:val="39"/>
    <w:unhideWhenUsed/>
    <w:qFormat/>
    <w:rsid w:val="00D21EAA"/>
    <w:pPr>
      <w:spacing w:line="259" w:lineRule="auto"/>
      <w:outlineLvl w:val="9"/>
    </w:pPr>
    <w:rPr>
      <w:b w:val="0"/>
      <w:bCs w:val="0"/>
      <w:sz w:val="32"/>
      <w:szCs w:val="32"/>
    </w:rPr>
  </w:style>
  <w:style w:type="paragraph" w:styleId="TOC1">
    <w:name w:val="toc 1"/>
    <w:basedOn w:val="Normal"/>
    <w:next w:val="Normal"/>
    <w:autoRedefine/>
    <w:uiPriority w:val="39"/>
    <w:unhideWhenUsed/>
    <w:rsid w:val="006B7031"/>
    <w:pPr>
      <w:tabs>
        <w:tab w:val="right" w:leader="dot" w:pos="10790"/>
      </w:tabs>
      <w:spacing w:before="120" w:after="0"/>
    </w:pPr>
  </w:style>
  <w:style w:type="paragraph" w:styleId="TOC2">
    <w:name w:val="toc 2"/>
    <w:basedOn w:val="Normal"/>
    <w:next w:val="Normal"/>
    <w:autoRedefine/>
    <w:uiPriority w:val="39"/>
    <w:unhideWhenUsed/>
    <w:rsid w:val="006B7031"/>
    <w:pPr>
      <w:spacing w:before="0" w:after="0"/>
      <w:ind w:left="216"/>
    </w:pPr>
  </w:style>
  <w:style w:type="paragraph" w:customStyle="1" w:styleId="PropNorm">
    <w:name w:val="PropNorm"/>
    <w:link w:val="PropNormChar"/>
    <w:rsid w:val="00441FB4"/>
    <w:pPr>
      <w:spacing w:after="180" w:line="240" w:lineRule="auto"/>
    </w:pPr>
    <w:rPr>
      <w:rFonts w:ascii="Times New Roman" w:eastAsia="Times New Roman" w:hAnsi="Times New Roman" w:cs="Times New Roman"/>
      <w:sz w:val="24"/>
      <w:szCs w:val="20"/>
    </w:rPr>
  </w:style>
  <w:style w:type="character" w:customStyle="1" w:styleId="PropNormChar">
    <w:name w:val="PropNorm Char"/>
    <w:basedOn w:val="DefaultParagraphFont"/>
    <w:link w:val="PropNorm"/>
    <w:locked/>
    <w:rsid w:val="00441FB4"/>
    <w:rPr>
      <w:rFonts w:ascii="Times New Roman" w:eastAsia="Times New Roman" w:hAnsi="Times New Roman" w:cs="Times New Roman"/>
      <w:sz w:val="24"/>
      <w:szCs w:val="20"/>
    </w:rPr>
  </w:style>
  <w:style w:type="paragraph" w:styleId="TOAHeading">
    <w:name w:val="toa heading"/>
    <w:basedOn w:val="Normal"/>
    <w:next w:val="Normal"/>
    <w:semiHidden/>
    <w:rsid w:val="00441FB4"/>
    <w:pPr>
      <w:tabs>
        <w:tab w:val="right" w:pos="9360"/>
      </w:tabs>
      <w:suppressAutoHyphens/>
      <w:spacing w:after="240"/>
    </w:pPr>
    <w:rPr>
      <w:rFonts w:ascii="Times New Roman" w:eastAsia="Times New Roman" w:hAnsi="Times New Roman" w:cs="Times New Roman"/>
      <w:szCs w:val="20"/>
    </w:rPr>
  </w:style>
  <w:style w:type="paragraph" w:customStyle="1" w:styleId="Technical4">
    <w:name w:val="Technical 4"/>
    <w:rsid w:val="00441FB4"/>
    <w:pPr>
      <w:tabs>
        <w:tab w:val="left" w:pos="-720"/>
      </w:tabs>
      <w:suppressAutoHyphens/>
      <w:spacing w:after="0" w:line="240" w:lineRule="auto"/>
    </w:pPr>
    <w:rPr>
      <w:rFonts w:ascii="Times New Roman" w:eastAsia="Times New Roman" w:hAnsi="Times New Roman" w:cs="Times New Roman"/>
      <w:b/>
      <w:sz w:val="24"/>
      <w:szCs w:val="20"/>
    </w:rPr>
  </w:style>
  <w:style w:type="paragraph" w:customStyle="1" w:styleId="BRIRequirement">
    <w:name w:val="BRI Requirement"/>
    <w:basedOn w:val="Normal"/>
    <w:qFormat/>
    <w:rsid w:val="00441FB4"/>
    <w:pPr>
      <w:numPr>
        <w:numId w:val="1"/>
      </w:numPr>
      <w:contextualSpacing/>
    </w:pPr>
  </w:style>
  <w:style w:type="character" w:styleId="PlaceholderText">
    <w:name w:val="Placeholder Text"/>
    <w:basedOn w:val="DefaultParagraphFont"/>
    <w:uiPriority w:val="99"/>
    <w:semiHidden/>
    <w:rsid w:val="00F0619B"/>
    <w:rPr>
      <w:color w:val="808080"/>
    </w:rPr>
  </w:style>
  <w:style w:type="paragraph" w:customStyle="1" w:styleId="CRIRequirement">
    <w:name w:val="CRI Requirement"/>
    <w:basedOn w:val="Normal"/>
    <w:qFormat/>
    <w:rsid w:val="000923A7"/>
    <w:pPr>
      <w:ind w:left="720" w:hanging="720"/>
      <w:contextualSpacing/>
    </w:pPr>
  </w:style>
  <w:style w:type="paragraph" w:customStyle="1" w:styleId="BCIRequirement">
    <w:name w:val="BCI Requirement"/>
    <w:basedOn w:val="Normal"/>
    <w:qFormat/>
    <w:rsid w:val="00D03701"/>
    <w:pPr>
      <w:ind w:left="720" w:hanging="720"/>
      <w:contextualSpacing/>
    </w:pPr>
  </w:style>
  <w:style w:type="paragraph" w:customStyle="1" w:styleId="RadioButtonBullet">
    <w:name w:val="Radio Button Bullet"/>
    <w:basedOn w:val="ListParagraph"/>
    <w:qFormat/>
    <w:rsid w:val="00D03701"/>
    <w:pPr>
      <w:numPr>
        <w:numId w:val="2"/>
      </w:numPr>
    </w:pPr>
  </w:style>
  <w:style w:type="paragraph" w:customStyle="1" w:styleId="Title-notfirst">
    <w:name w:val="Title - not first"/>
    <w:basedOn w:val="Title"/>
    <w:qFormat/>
    <w:rsid w:val="00D03701"/>
    <w:pPr>
      <w:spacing w:before="60"/>
    </w:pPr>
  </w:style>
  <w:style w:type="paragraph" w:customStyle="1" w:styleId="IndNoteBullet">
    <w:name w:val="Ind Note Bullet"/>
    <w:basedOn w:val="Default"/>
    <w:qFormat/>
    <w:rsid w:val="00D03701"/>
    <w:pPr>
      <w:numPr>
        <w:numId w:val="3"/>
      </w:numPr>
      <w:ind w:left="360"/>
    </w:pPr>
    <w:rPr>
      <w:rFonts w:asciiTheme="minorHAnsi" w:hAnsiTheme="minorHAnsi"/>
      <w:color w:val="auto"/>
      <w:sz w:val="20"/>
      <w:szCs w:val="20"/>
    </w:rPr>
  </w:style>
  <w:style w:type="paragraph" w:customStyle="1" w:styleId="Figure">
    <w:name w:val="Figure"/>
    <w:basedOn w:val="Normal"/>
    <w:next w:val="Normal"/>
    <w:qFormat/>
    <w:rsid w:val="00D03701"/>
    <w:pPr>
      <w:spacing w:before="0" w:after="0"/>
      <w:jc w:val="center"/>
    </w:pPr>
    <w:rPr>
      <w:noProof/>
    </w:rPr>
  </w:style>
  <w:style w:type="paragraph" w:customStyle="1" w:styleId="FigureCaption">
    <w:name w:val="Figure Caption"/>
    <w:basedOn w:val="Figure"/>
    <w:next w:val="Normal"/>
    <w:qFormat/>
    <w:rsid w:val="00D03701"/>
    <w:pPr>
      <w:numPr>
        <w:numId w:val="4"/>
      </w:numPr>
      <w:spacing w:after="240"/>
      <w:ind w:left="360"/>
    </w:pPr>
    <w:rPr>
      <w:b/>
      <w:i/>
      <w:sz w:val="20"/>
    </w:rPr>
  </w:style>
  <w:style w:type="paragraph" w:customStyle="1" w:styleId="SysNote">
    <w:name w:val="SysNote"/>
    <w:basedOn w:val="Normal"/>
    <w:link w:val="SysNoteChar"/>
    <w:qFormat/>
    <w:rsid w:val="009D3860"/>
    <w:rPr>
      <w:i/>
    </w:rPr>
  </w:style>
  <w:style w:type="character" w:customStyle="1" w:styleId="SysNoteChar">
    <w:name w:val="SysNote Char"/>
    <w:basedOn w:val="DefaultParagraphFont"/>
    <w:link w:val="SysNote"/>
    <w:rsid w:val="009D3860"/>
    <w:rPr>
      <w:i/>
    </w:rPr>
  </w:style>
  <w:style w:type="paragraph" w:customStyle="1" w:styleId="Explanation">
    <w:name w:val="Explanation"/>
    <w:basedOn w:val="Normal"/>
    <w:qFormat/>
    <w:rsid w:val="004502CD"/>
    <w:rPr>
      <w:i/>
      <w:color w:val="5F497A" w:themeColor="accent4" w:themeShade="BF"/>
    </w:rPr>
  </w:style>
  <w:style w:type="paragraph" w:styleId="NormalWeb">
    <w:name w:val="Normal (Web)"/>
    <w:basedOn w:val="Normal"/>
    <w:uiPriority w:val="99"/>
    <w:unhideWhenUsed/>
    <w:rsid w:val="005F5514"/>
    <w:pPr>
      <w:spacing w:before="100" w:beforeAutospacing="1" w:after="100" w:afterAutospacing="1"/>
    </w:pPr>
    <w:rPr>
      <w:rFonts w:ascii="Times New Roman" w:eastAsia="Times New Roman" w:hAnsi="Times New Roman" w:cs="Times New Roman"/>
      <w:sz w:val="24"/>
      <w:szCs w:val="24"/>
    </w:rPr>
  </w:style>
  <w:style w:type="paragraph" w:customStyle="1" w:styleId="panel-header">
    <w:name w:val="panel-header"/>
    <w:basedOn w:val="Normal"/>
    <w:rsid w:val="00553544"/>
    <w:pPr>
      <w:spacing w:before="100" w:beforeAutospacing="1" w:after="100" w:afterAutospacing="1"/>
    </w:pPr>
    <w:rPr>
      <w:rFonts w:ascii="Times New Roman" w:eastAsia="Times New Roman" w:hAnsi="Times New Roman" w:cs="Times New Roman"/>
      <w:sz w:val="24"/>
      <w:szCs w:val="24"/>
    </w:rPr>
  </w:style>
  <w:style w:type="character" w:customStyle="1" w:styleId="panel-sub">
    <w:name w:val="panel-sub"/>
    <w:basedOn w:val="DefaultParagraphFont"/>
    <w:rsid w:val="008751D3"/>
  </w:style>
  <w:style w:type="paragraph" w:customStyle="1" w:styleId="panel-sub1">
    <w:name w:val="panel-sub1"/>
    <w:basedOn w:val="Normal"/>
    <w:rsid w:val="008751D3"/>
    <w:pPr>
      <w:spacing w:before="100" w:beforeAutospacing="1" w:after="100" w:afterAutospacing="1"/>
    </w:pPr>
    <w:rPr>
      <w:rFonts w:ascii="Times New Roman" w:eastAsia="Times New Roman" w:hAnsi="Times New Roman" w:cs="Times New Roman"/>
      <w:sz w:val="24"/>
      <w:szCs w:val="24"/>
    </w:rPr>
  </w:style>
  <w:style w:type="paragraph" w:customStyle="1" w:styleId="panel-paragraph">
    <w:name w:val="panel-paragraph"/>
    <w:basedOn w:val="Normal"/>
    <w:rsid w:val="00B67038"/>
    <w:pPr>
      <w:spacing w:before="100" w:beforeAutospacing="1" w:after="100" w:afterAutospacing="1"/>
    </w:pPr>
    <w:rPr>
      <w:rFonts w:ascii="Times New Roman" w:eastAsia="Times New Roman" w:hAnsi="Times New Roman" w:cs="Times New Roman"/>
      <w:sz w:val="24"/>
      <w:szCs w:val="24"/>
    </w:rPr>
  </w:style>
  <w:style w:type="paragraph" w:customStyle="1" w:styleId="instruction-heading">
    <w:name w:val="instruction-heading"/>
    <w:basedOn w:val="Normal"/>
    <w:rsid w:val="00A7519F"/>
    <w:pPr>
      <w:spacing w:before="100" w:beforeAutospacing="1" w:after="100" w:afterAutospacing="1"/>
    </w:pPr>
    <w:rPr>
      <w:rFonts w:ascii="Times New Roman" w:eastAsia="Times New Roman" w:hAnsi="Times New Roman" w:cs="Times New Roman"/>
      <w:sz w:val="24"/>
      <w:szCs w:val="24"/>
    </w:rPr>
  </w:style>
  <w:style w:type="paragraph" w:customStyle="1" w:styleId="Bold">
    <w:name w:val="Bold"/>
    <w:basedOn w:val="Normal"/>
    <w:qFormat/>
    <w:rsid w:val="00A20411"/>
    <w:pPr>
      <w:keepNext/>
      <w:spacing w:after="0"/>
    </w:pPr>
    <w:rPr>
      <w:b/>
    </w:rPr>
  </w:style>
  <w:style w:type="paragraph" w:customStyle="1" w:styleId="Italic">
    <w:name w:val="Italic"/>
    <w:basedOn w:val="Normal"/>
    <w:next w:val="Normal"/>
    <w:qFormat/>
    <w:rsid w:val="007D435F"/>
    <w:pPr>
      <w:keepNext/>
    </w:pPr>
    <w:rPr>
      <w:i/>
    </w:rPr>
  </w:style>
  <w:style w:type="paragraph" w:customStyle="1" w:styleId="indicator-section-title">
    <w:name w:val="indicator-section-title"/>
    <w:basedOn w:val="Normal"/>
    <w:rsid w:val="00C960B4"/>
    <w:pPr>
      <w:spacing w:before="100" w:beforeAutospacing="1" w:after="100" w:afterAutospacing="1"/>
    </w:pPr>
    <w:rPr>
      <w:rFonts w:ascii="Times New Roman" w:eastAsia="Times New Roman" w:hAnsi="Times New Roman" w:cs="Times New Roman"/>
      <w:sz w:val="24"/>
      <w:szCs w:val="24"/>
    </w:rPr>
  </w:style>
  <w:style w:type="paragraph" w:styleId="Revision">
    <w:name w:val="Revision"/>
    <w:hidden/>
    <w:uiPriority w:val="99"/>
    <w:semiHidden/>
    <w:rsid w:val="000C24C2"/>
    <w:pPr>
      <w:spacing w:after="0" w:line="240" w:lineRule="auto"/>
    </w:pPr>
  </w:style>
  <w:style w:type="character" w:customStyle="1" w:styleId="Heading4Char">
    <w:name w:val="Heading 4 Char"/>
    <w:basedOn w:val="DefaultParagraphFont"/>
    <w:link w:val="Heading4"/>
    <w:uiPriority w:val="9"/>
    <w:rsid w:val="00371FAA"/>
    <w:rPr>
      <w:rFonts w:ascii="Arial" w:eastAsiaTheme="majorEastAsia" w:hAnsi="Arial" w:cstheme="majorBidi"/>
      <w:b/>
      <w:iCs/>
      <w:sz w:val="20"/>
    </w:rPr>
  </w:style>
  <w:style w:type="paragraph" w:customStyle="1" w:styleId="Subhed">
    <w:name w:val="Subhed"/>
    <w:basedOn w:val="Bold"/>
    <w:qFormat/>
    <w:rsid w:val="00120808"/>
    <w:rPr>
      <w:rFonts w:cs="Arial"/>
      <w:szCs w:val="16"/>
    </w:rPr>
  </w:style>
  <w:style w:type="character" w:styleId="Strong">
    <w:name w:val="Strong"/>
    <w:basedOn w:val="DefaultParagraphFont"/>
    <w:uiPriority w:val="22"/>
    <w:qFormat/>
    <w:rsid w:val="00B8653C"/>
    <w:rPr>
      <w:b/>
      <w:bCs/>
    </w:rPr>
  </w:style>
  <w:style w:type="paragraph" w:styleId="NoSpacing">
    <w:name w:val="No Spacing"/>
    <w:uiPriority w:val="1"/>
    <w:qFormat/>
    <w:rsid w:val="00EE0028"/>
    <w:pPr>
      <w:spacing w:after="0" w:line="240" w:lineRule="auto"/>
    </w:pPr>
  </w:style>
  <w:style w:type="paragraph" w:customStyle="1" w:styleId="TableHead">
    <w:name w:val="Table Head"/>
    <w:basedOn w:val="Normal"/>
    <w:qFormat/>
    <w:rsid w:val="009569B8"/>
    <w:pPr>
      <w:jc w:val="center"/>
    </w:pPr>
    <w:rPr>
      <w:rFonts w:cs="Arial"/>
      <w:b/>
      <w:szCs w:val="16"/>
    </w:rPr>
  </w:style>
  <w:style w:type="paragraph" w:customStyle="1" w:styleId="Numbering">
    <w:name w:val="Numbering"/>
    <w:basedOn w:val="Normal"/>
    <w:qFormat/>
    <w:rsid w:val="0093562B"/>
    <w:pPr>
      <w:spacing w:before="0" w:after="0"/>
    </w:pPr>
    <w:rPr>
      <w:rFonts w:eastAsia="Times New Roman" w:cs="Arial"/>
      <w:color w:val="222222"/>
      <w:szCs w:val="16"/>
    </w:rPr>
  </w:style>
  <w:style w:type="table" w:customStyle="1" w:styleId="TableGrid1">
    <w:name w:val="Table Grid1"/>
    <w:basedOn w:val="TableNormal"/>
    <w:next w:val="TableGrid"/>
    <w:uiPriority w:val="59"/>
    <w:rsid w:val="000B28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BE0EEF"/>
    <w:rPr>
      <w:i/>
      <w:iCs/>
    </w:rPr>
  </w:style>
  <w:style w:type="paragraph" w:customStyle="1" w:styleId="msonormal0">
    <w:name w:val="msonormal"/>
    <w:basedOn w:val="Normal"/>
    <w:rsid w:val="00BE0EEF"/>
    <w:pPr>
      <w:spacing w:before="100" w:beforeAutospacing="1" w:after="100" w:afterAutospacing="1"/>
    </w:pPr>
    <w:rPr>
      <w:rFonts w:ascii="Times New Roman" w:eastAsia="Times New Roman" w:hAnsi="Times New Roman" w:cs="Times New Roman"/>
      <w:sz w:val="24"/>
      <w:szCs w:val="24"/>
    </w:rPr>
  </w:style>
  <w:style w:type="paragraph" w:styleId="BodyText">
    <w:name w:val="Body Text"/>
    <w:basedOn w:val="Normal"/>
    <w:link w:val="BodyTextChar"/>
    <w:uiPriority w:val="1"/>
    <w:unhideWhenUsed/>
    <w:qFormat/>
    <w:rsid w:val="00BE0EEF"/>
    <w:pPr>
      <w:widowControl w:val="0"/>
      <w:autoSpaceDE w:val="0"/>
      <w:autoSpaceDN w:val="0"/>
      <w:spacing w:before="0" w:after="0"/>
    </w:pPr>
    <w:rPr>
      <w:rFonts w:ascii="Carlito" w:eastAsia="Carlito" w:hAnsi="Carlito" w:cs="Carlito"/>
      <w:sz w:val="22"/>
    </w:rPr>
  </w:style>
  <w:style w:type="character" w:customStyle="1" w:styleId="BodyTextChar">
    <w:name w:val="Body Text Char"/>
    <w:basedOn w:val="DefaultParagraphFont"/>
    <w:link w:val="BodyText"/>
    <w:uiPriority w:val="1"/>
    <w:rsid w:val="00BE0EEF"/>
    <w:rPr>
      <w:rFonts w:ascii="Carlito" w:eastAsia="Carlito" w:hAnsi="Carlito" w:cs="Carlito"/>
    </w:rPr>
  </w:style>
  <w:style w:type="paragraph" w:customStyle="1" w:styleId="TableParagraph">
    <w:name w:val="Table Paragraph"/>
    <w:basedOn w:val="Normal"/>
    <w:uiPriority w:val="1"/>
    <w:qFormat/>
    <w:rsid w:val="00BE0EEF"/>
    <w:pPr>
      <w:widowControl w:val="0"/>
      <w:autoSpaceDE w:val="0"/>
      <w:autoSpaceDN w:val="0"/>
      <w:spacing w:before="29" w:after="0"/>
      <w:ind w:left="101" w:right="100"/>
      <w:jc w:val="center"/>
    </w:pPr>
    <w:rPr>
      <w:rFonts w:ascii="Carlito" w:eastAsia="Carlito" w:hAnsi="Carlito" w:cs="Carlito"/>
      <w:sz w:val="22"/>
    </w:rPr>
  </w:style>
  <w:style w:type="character" w:styleId="FollowedHyperlink">
    <w:name w:val="FollowedHyperlink"/>
    <w:basedOn w:val="DefaultParagraphFont"/>
    <w:uiPriority w:val="99"/>
    <w:semiHidden/>
    <w:unhideWhenUsed/>
    <w:rsid w:val="00BE0EEF"/>
    <w:rPr>
      <w:color w:val="800080"/>
      <w:u w:val="single"/>
    </w:rPr>
  </w:style>
  <w:style w:type="table" w:styleId="LightGrid-Accent1">
    <w:name w:val="Light Grid Accent 1"/>
    <w:basedOn w:val="TableNormal"/>
    <w:uiPriority w:val="62"/>
    <w:rsid w:val="00BE0EE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stTable2">
    <w:name w:val="List Table 2"/>
    <w:basedOn w:val="TableNormal"/>
    <w:uiPriority w:val="47"/>
    <w:rsid w:val="00BE0EEF"/>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1">
    <w:name w:val="Plain Table 1"/>
    <w:basedOn w:val="TableNormal"/>
    <w:uiPriority w:val="41"/>
    <w:rsid w:val="00BE0EEF"/>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3-Accent5">
    <w:name w:val="Grid Table 3 Accent 5"/>
    <w:basedOn w:val="TableNormal"/>
    <w:uiPriority w:val="48"/>
    <w:rsid w:val="00480A1F"/>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paragraph" w:styleId="EndnoteText">
    <w:name w:val="endnote text"/>
    <w:basedOn w:val="Normal"/>
    <w:link w:val="EndnoteTextChar"/>
    <w:uiPriority w:val="99"/>
    <w:semiHidden/>
    <w:unhideWhenUsed/>
    <w:rsid w:val="00A47134"/>
    <w:pPr>
      <w:spacing w:before="0" w:after="0"/>
    </w:pPr>
    <w:rPr>
      <w:sz w:val="20"/>
      <w:szCs w:val="20"/>
    </w:rPr>
  </w:style>
  <w:style w:type="character" w:customStyle="1" w:styleId="EndnoteTextChar">
    <w:name w:val="Endnote Text Char"/>
    <w:basedOn w:val="DefaultParagraphFont"/>
    <w:link w:val="EndnoteText"/>
    <w:uiPriority w:val="99"/>
    <w:semiHidden/>
    <w:rsid w:val="00A47134"/>
    <w:rPr>
      <w:rFonts w:ascii="Arial" w:hAnsi="Arial"/>
      <w:sz w:val="20"/>
      <w:szCs w:val="20"/>
    </w:rPr>
  </w:style>
  <w:style w:type="character" w:styleId="EndnoteReference">
    <w:name w:val="endnote reference"/>
    <w:basedOn w:val="DefaultParagraphFont"/>
    <w:uiPriority w:val="99"/>
    <w:semiHidden/>
    <w:unhideWhenUsed/>
    <w:rsid w:val="00A47134"/>
    <w:rPr>
      <w:vertAlign w:val="superscript"/>
    </w:rPr>
  </w:style>
  <w:style w:type="character" w:styleId="UnresolvedMention">
    <w:name w:val="Unresolved Mention"/>
    <w:basedOn w:val="DefaultParagraphFont"/>
    <w:uiPriority w:val="99"/>
    <w:semiHidden/>
    <w:unhideWhenUsed/>
    <w:rsid w:val="00501909"/>
    <w:rPr>
      <w:color w:val="605E5C"/>
      <w:shd w:val="clear" w:color="auto" w:fill="E1DFDD"/>
    </w:rPr>
  </w:style>
  <w:style w:type="character" w:customStyle="1" w:styleId="ui-provider">
    <w:name w:val="ui-provider"/>
    <w:basedOn w:val="DefaultParagraphFont"/>
    <w:rsid w:val="006F0B24"/>
  </w:style>
  <w:style w:type="character" w:customStyle="1" w:styleId="normaltextrun">
    <w:name w:val="normaltextrun"/>
    <w:basedOn w:val="DefaultParagraphFont"/>
    <w:rsid w:val="003749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98878">
      <w:bodyDiv w:val="1"/>
      <w:marLeft w:val="0"/>
      <w:marRight w:val="0"/>
      <w:marTop w:val="0"/>
      <w:marBottom w:val="0"/>
      <w:divBdr>
        <w:top w:val="none" w:sz="0" w:space="0" w:color="auto"/>
        <w:left w:val="none" w:sz="0" w:space="0" w:color="auto"/>
        <w:bottom w:val="none" w:sz="0" w:space="0" w:color="auto"/>
        <w:right w:val="none" w:sz="0" w:space="0" w:color="auto"/>
      </w:divBdr>
    </w:div>
    <w:div w:id="33582676">
      <w:bodyDiv w:val="1"/>
      <w:marLeft w:val="0"/>
      <w:marRight w:val="0"/>
      <w:marTop w:val="0"/>
      <w:marBottom w:val="0"/>
      <w:divBdr>
        <w:top w:val="none" w:sz="0" w:space="0" w:color="auto"/>
        <w:left w:val="none" w:sz="0" w:space="0" w:color="auto"/>
        <w:bottom w:val="none" w:sz="0" w:space="0" w:color="auto"/>
        <w:right w:val="none" w:sz="0" w:space="0" w:color="auto"/>
      </w:divBdr>
    </w:div>
    <w:div w:id="66614295">
      <w:bodyDiv w:val="1"/>
      <w:marLeft w:val="0"/>
      <w:marRight w:val="0"/>
      <w:marTop w:val="0"/>
      <w:marBottom w:val="0"/>
      <w:divBdr>
        <w:top w:val="none" w:sz="0" w:space="0" w:color="auto"/>
        <w:left w:val="none" w:sz="0" w:space="0" w:color="auto"/>
        <w:bottom w:val="none" w:sz="0" w:space="0" w:color="auto"/>
        <w:right w:val="none" w:sz="0" w:space="0" w:color="auto"/>
      </w:divBdr>
      <w:divsChild>
        <w:div w:id="1664039907">
          <w:marLeft w:val="0"/>
          <w:marRight w:val="0"/>
          <w:marTop w:val="0"/>
          <w:marBottom w:val="0"/>
          <w:divBdr>
            <w:top w:val="none" w:sz="0" w:space="0" w:color="auto"/>
            <w:left w:val="none" w:sz="0" w:space="0" w:color="auto"/>
            <w:bottom w:val="none" w:sz="0" w:space="0" w:color="auto"/>
            <w:right w:val="none" w:sz="0" w:space="0" w:color="auto"/>
          </w:divBdr>
        </w:div>
      </w:divsChild>
    </w:div>
    <w:div w:id="73865556">
      <w:bodyDiv w:val="1"/>
      <w:marLeft w:val="0"/>
      <w:marRight w:val="0"/>
      <w:marTop w:val="0"/>
      <w:marBottom w:val="0"/>
      <w:divBdr>
        <w:top w:val="none" w:sz="0" w:space="0" w:color="auto"/>
        <w:left w:val="none" w:sz="0" w:space="0" w:color="auto"/>
        <w:bottom w:val="none" w:sz="0" w:space="0" w:color="auto"/>
        <w:right w:val="none" w:sz="0" w:space="0" w:color="auto"/>
      </w:divBdr>
    </w:div>
    <w:div w:id="183831830">
      <w:bodyDiv w:val="1"/>
      <w:marLeft w:val="0"/>
      <w:marRight w:val="0"/>
      <w:marTop w:val="0"/>
      <w:marBottom w:val="0"/>
      <w:divBdr>
        <w:top w:val="none" w:sz="0" w:space="0" w:color="auto"/>
        <w:left w:val="none" w:sz="0" w:space="0" w:color="auto"/>
        <w:bottom w:val="none" w:sz="0" w:space="0" w:color="auto"/>
        <w:right w:val="none" w:sz="0" w:space="0" w:color="auto"/>
      </w:divBdr>
    </w:div>
    <w:div w:id="187917847">
      <w:bodyDiv w:val="1"/>
      <w:marLeft w:val="0"/>
      <w:marRight w:val="0"/>
      <w:marTop w:val="0"/>
      <w:marBottom w:val="0"/>
      <w:divBdr>
        <w:top w:val="none" w:sz="0" w:space="0" w:color="auto"/>
        <w:left w:val="none" w:sz="0" w:space="0" w:color="auto"/>
        <w:bottom w:val="none" w:sz="0" w:space="0" w:color="auto"/>
        <w:right w:val="none" w:sz="0" w:space="0" w:color="auto"/>
      </w:divBdr>
    </w:div>
    <w:div w:id="220336243">
      <w:bodyDiv w:val="1"/>
      <w:marLeft w:val="0"/>
      <w:marRight w:val="0"/>
      <w:marTop w:val="0"/>
      <w:marBottom w:val="0"/>
      <w:divBdr>
        <w:top w:val="none" w:sz="0" w:space="0" w:color="auto"/>
        <w:left w:val="none" w:sz="0" w:space="0" w:color="auto"/>
        <w:bottom w:val="none" w:sz="0" w:space="0" w:color="auto"/>
        <w:right w:val="none" w:sz="0" w:space="0" w:color="auto"/>
      </w:divBdr>
    </w:div>
    <w:div w:id="227694473">
      <w:bodyDiv w:val="1"/>
      <w:marLeft w:val="0"/>
      <w:marRight w:val="0"/>
      <w:marTop w:val="0"/>
      <w:marBottom w:val="0"/>
      <w:divBdr>
        <w:top w:val="none" w:sz="0" w:space="0" w:color="auto"/>
        <w:left w:val="none" w:sz="0" w:space="0" w:color="auto"/>
        <w:bottom w:val="none" w:sz="0" w:space="0" w:color="auto"/>
        <w:right w:val="none" w:sz="0" w:space="0" w:color="auto"/>
      </w:divBdr>
    </w:div>
    <w:div w:id="246109840">
      <w:bodyDiv w:val="1"/>
      <w:marLeft w:val="0"/>
      <w:marRight w:val="0"/>
      <w:marTop w:val="0"/>
      <w:marBottom w:val="0"/>
      <w:divBdr>
        <w:top w:val="none" w:sz="0" w:space="0" w:color="auto"/>
        <w:left w:val="none" w:sz="0" w:space="0" w:color="auto"/>
        <w:bottom w:val="none" w:sz="0" w:space="0" w:color="auto"/>
        <w:right w:val="none" w:sz="0" w:space="0" w:color="auto"/>
      </w:divBdr>
    </w:div>
    <w:div w:id="257836862">
      <w:bodyDiv w:val="1"/>
      <w:marLeft w:val="0"/>
      <w:marRight w:val="0"/>
      <w:marTop w:val="0"/>
      <w:marBottom w:val="0"/>
      <w:divBdr>
        <w:top w:val="none" w:sz="0" w:space="0" w:color="auto"/>
        <w:left w:val="none" w:sz="0" w:space="0" w:color="auto"/>
        <w:bottom w:val="none" w:sz="0" w:space="0" w:color="auto"/>
        <w:right w:val="none" w:sz="0" w:space="0" w:color="auto"/>
      </w:divBdr>
    </w:div>
    <w:div w:id="264505258">
      <w:bodyDiv w:val="1"/>
      <w:marLeft w:val="0"/>
      <w:marRight w:val="0"/>
      <w:marTop w:val="0"/>
      <w:marBottom w:val="0"/>
      <w:divBdr>
        <w:top w:val="none" w:sz="0" w:space="0" w:color="auto"/>
        <w:left w:val="none" w:sz="0" w:space="0" w:color="auto"/>
        <w:bottom w:val="none" w:sz="0" w:space="0" w:color="auto"/>
        <w:right w:val="none" w:sz="0" w:space="0" w:color="auto"/>
      </w:divBdr>
      <w:divsChild>
        <w:div w:id="1898078886">
          <w:marLeft w:val="0"/>
          <w:marRight w:val="0"/>
          <w:marTop w:val="0"/>
          <w:marBottom w:val="150"/>
          <w:divBdr>
            <w:top w:val="none" w:sz="0" w:space="0" w:color="auto"/>
            <w:left w:val="none" w:sz="0" w:space="0" w:color="auto"/>
            <w:bottom w:val="none" w:sz="0" w:space="0" w:color="auto"/>
            <w:right w:val="none" w:sz="0" w:space="0" w:color="auto"/>
          </w:divBdr>
        </w:div>
        <w:div w:id="2020041191">
          <w:marLeft w:val="0"/>
          <w:marRight w:val="0"/>
          <w:marTop w:val="0"/>
          <w:marBottom w:val="150"/>
          <w:divBdr>
            <w:top w:val="none" w:sz="0" w:space="0" w:color="auto"/>
            <w:left w:val="none" w:sz="0" w:space="0" w:color="auto"/>
            <w:bottom w:val="none" w:sz="0" w:space="0" w:color="auto"/>
            <w:right w:val="none" w:sz="0" w:space="0" w:color="auto"/>
          </w:divBdr>
        </w:div>
      </w:divsChild>
    </w:div>
    <w:div w:id="269122146">
      <w:bodyDiv w:val="1"/>
      <w:marLeft w:val="0"/>
      <w:marRight w:val="0"/>
      <w:marTop w:val="0"/>
      <w:marBottom w:val="0"/>
      <w:divBdr>
        <w:top w:val="none" w:sz="0" w:space="0" w:color="auto"/>
        <w:left w:val="none" w:sz="0" w:space="0" w:color="auto"/>
        <w:bottom w:val="none" w:sz="0" w:space="0" w:color="auto"/>
        <w:right w:val="none" w:sz="0" w:space="0" w:color="auto"/>
      </w:divBdr>
    </w:div>
    <w:div w:id="288322446">
      <w:bodyDiv w:val="1"/>
      <w:marLeft w:val="0"/>
      <w:marRight w:val="0"/>
      <w:marTop w:val="0"/>
      <w:marBottom w:val="0"/>
      <w:divBdr>
        <w:top w:val="none" w:sz="0" w:space="0" w:color="auto"/>
        <w:left w:val="none" w:sz="0" w:space="0" w:color="auto"/>
        <w:bottom w:val="none" w:sz="0" w:space="0" w:color="auto"/>
        <w:right w:val="none" w:sz="0" w:space="0" w:color="auto"/>
      </w:divBdr>
    </w:div>
    <w:div w:id="331032465">
      <w:bodyDiv w:val="1"/>
      <w:marLeft w:val="0"/>
      <w:marRight w:val="0"/>
      <w:marTop w:val="0"/>
      <w:marBottom w:val="0"/>
      <w:divBdr>
        <w:top w:val="none" w:sz="0" w:space="0" w:color="auto"/>
        <w:left w:val="none" w:sz="0" w:space="0" w:color="auto"/>
        <w:bottom w:val="none" w:sz="0" w:space="0" w:color="auto"/>
        <w:right w:val="none" w:sz="0" w:space="0" w:color="auto"/>
      </w:divBdr>
    </w:div>
    <w:div w:id="343824430">
      <w:bodyDiv w:val="1"/>
      <w:marLeft w:val="0"/>
      <w:marRight w:val="0"/>
      <w:marTop w:val="0"/>
      <w:marBottom w:val="0"/>
      <w:divBdr>
        <w:top w:val="none" w:sz="0" w:space="0" w:color="auto"/>
        <w:left w:val="none" w:sz="0" w:space="0" w:color="auto"/>
        <w:bottom w:val="none" w:sz="0" w:space="0" w:color="auto"/>
        <w:right w:val="none" w:sz="0" w:space="0" w:color="auto"/>
      </w:divBdr>
      <w:divsChild>
        <w:div w:id="289673781">
          <w:marLeft w:val="0"/>
          <w:marRight w:val="0"/>
          <w:marTop w:val="0"/>
          <w:marBottom w:val="210"/>
          <w:divBdr>
            <w:top w:val="none" w:sz="0" w:space="0" w:color="auto"/>
            <w:left w:val="none" w:sz="0" w:space="0" w:color="auto"/>
            <w:bottom w:val="none" w:sz="0" w:space="0" w:color="auto"/>
            <w:right w:val="none" w:sz="0" w:space="0" w:color="auto"/>
          </w:divBdr>
        </w:div>
        <w:div w:id="296957980">
          <w:marLeft w:val="0"/>
          <w:marRight w:val="0"/>
          <w:marTop w:val="0"/>
          <w:marBottom w:val="210"/>
          <w:divBdr>
            <w:top w:val="none" w:sz="0" w:space="0" w:color="auto"/>
            <w:left w:val="none" w:sz="0" w:space="0" w:color="auto"/>
            <w:bottom w:val="none" w:sz="0" w:space="0" w:color="auto"/>
            <w:right w:val="none" w:sz="0" w:space="0" w:color="auto"/>
          </w:divBdr>
        </w:div>
        <w:div w:id="308442762">
          <w:marLeft w:val="0"/>
          <w:marRight w:val="0"/>
          <w:marTop w:val="0"/>
          <w:marBottom w:val="210"/>
          <w:divBdr>
            <w:top w:val="none" w:sz="0" w:space="0" w:color="auto"/>
            <w:left w:val="none" w:sz="0" w:space="0" w:color="auto"/>
            <w:bottom w:val="none" w:sz="0" w:space="0" w:color="auto"/>
            <w:right w:val="none" w:sz="0" w:space="0" w:color="auto"/>
          </w:divBdr>
        </w:div>
        <w:div w:id="1092167359">
          <w:marLeft w:val="0"/>
          <w:marRight w:val="0"/>
          <w:marTop w:val="0"/>
          <w:marBottom w:val="210"/>
          <w:divBdr>
            <w:top w:val="none" w:sz="0" w:space="0" w:color="auto"/>
            <w:left w:val="none" w:sz="0" w:space="0" w:color="auto"/>
            <w:bottom w:val="none" w:sz="0" w:space="0" w:color="auto"/>
            <w:right w:val="none" w:sz="0" w:space="0" w:color="auto"/>
          </w:divBdr>
        </w:div>
      </w:divsChild>
    </w:div>
    <w:div w:id="353579608">
      <w:bodyDiv w:val="1"/>
      <w:marLeft w:val="0"/>
      <w:marRight w:val="0"/>
      <w:marTop w:val="0"/>
      <w:marBottom w:val="0"/>
      <w:divBdr>
        <w:top w:val="none" w:sz="0" w:space="0" w:color="auto"/>
        <w:left w:val="none" w:sz="0" w:space="0" w:color="auto"/>
        <w:bottom w:val="none" w:sz="0" w:space="0" w:color="auto"/>
        <w:right w:val="none" w:sz="0" w:space="0" w:color="auto"/>
      </w:divBdr>
    </w:div>
    <w:div w:id="380713603">
      <w:bodyDiv w:val="1"/>
      <w:marLeft w:val="0"/>
      <w:marRight w:val="0"/>
      <w:marTop w:val="0"/>
      <w:marBottom w:val="0"/>
      <w:divBdr>
        <w:top w:val="none" w:sz="0" w:space="0" w:color="auto"/>
        <w:left w:val="none" w:sz="0" w:space="0" w:color="auto"/>
        <w:bottom w:val="none" w:sz="0" w:space="0" w:color="auto"/>
        <w:right w:val="none" w:sz="0" w:space="0" w:color="auto"/>
      </w:divBdr>
    </w:div>
    <w:div w:id="393163176">
      <w:bodyDiv w:val="1"/>
      <w:marLeft w:val="0"/>
      <w:marRight w:val="0"/>
      <w:marTop w:val="0"/>
      <w:marBottom w:val="0"/>
      <w:divBdr>
        <w:top w:val="none" w:sz="0" w:space="0" w:color="auto"/>
        <w:left w:val="none" w:sz="0" w:space="0" w:color="auto"/>
        <w:bottom w:val="none" w:sz="0" w:space="0" w:color="auto"/>
        <w:right w:val="none" w:sz="0" w:space="0" w:color="auto"/>
      </w:divBdr>
    </w:div>
    <w:div w:id="407192773">
      <w:bodyDiv w:val="1"/>
      <w:marLeft w:val="0"/>
      <w:marRight w:val="0"/>
      <w:marTop w:val="0"/>
      <w:marBottom w:val="0"/>
      <w:divBdr>
        <w:top w:val="none" w:sz="0" w:space="0" w:color="auto"/>
        <w:left w:val="none" w:sz="0" w:space="0" w:color="auto"/>
        <w:bottom w:val="none" w:sz="0" w:space="0" w:color="auto"/>
        <w:right w:val="none" w:sz="0" w:space="0" w:color="auto"/>
      </w:divBdr>
    </w:div>
    <w:div w:id="413747464">
      <w:bodyDiv w:val="1"/>
      <w:marLeft w:val="0"/>
      <w:marRight w:val="0"/>
      <w:marTop w:val="0"/>
      <w:marBottom w:val="0"/>
      <w:divBdr>
        <w:top w:val="none" w:sz="0" w:space="0" w:color="auto"/>
        <w:left w:val="none" w:sz="0" w:space="0" w:color="auto"/>
        <w:bottom w:val="none" w:sz="0" w:space="0" w:color="auto"/>
        <w:right w:val="none" w:sz="0" w:space="0" w:color="auto"/>
      </w:divBdr>
    </w:div>
    <w:div w:id="428965040">
      <w:bodyDiv w:val="1"/>
      <w:marLeft w:val="0"/>
      <w:marRight w:val="0"/>
      <w:marTop w:val="0"/>
      <w:marBottom w:val="0"/>
      <w:divBdr>
        <w:top w:val="none" w:sz="0" w:space="0" w:color="auto"/>
        <w:left w:val="none" w:sz="0" w:space="0" w:color="auto"/>
        <w:bottom w:val="none" w:sz="0" w:space="0" w:color="auto"/>
        <w:right w:val="none" w:sz="0" w:space="0" w:color="auto"/>
      </w:divBdr>
      <w:divsChild>
        <w:div w:id="28116490">
          <w:marLeft w:val="0"/>
          <w:marRight w:val="0"/>
          <w:marTop w:val="0"/>
          <w:marBottom w:val="150"/>
          <w:divBdr>
            <w:top w:val="none" w:sz="0" w:space="0" w:color="auto"/>
            <w:left w:val="none" w:sz="0" w:space="0" w:color="auto"/>
            <w:bottom w:val="none" w:sz="0" w:space="0" w:color="auto"/>
            <w:right w:val="none" w:sz="0" w:space="0" w:color="auto"/>
          </w:divBdr>
        </w:div>
        <w:div w:id="774641537">
          <w:marLeft w:val="0"/>
          <w:marRight w:val="0"/>
          <w:marTop w:val="0"/>
          <w:marBottom w:val="150"/>
          <w:divBdr>
            <w:top w:val="none" w:sz="0" w:space="0" w:color="auto"/>
            <w:left w:val="none" w:sz="0" w:space="0" w:color="auto"/>
            <w:bottom w:val="none" w:sz="0" w:space="0" w:color="auto"/>
            <w:right w:val="none" w:sz="0" w:space="0" w:color="auto"/>
          </w:divBdr>
        </w:div>
        <w:div w:id="817460730">
          <w:marLeft w:val="0"/>
          <w:marRight w:val="0"/>
          <w:marTop w:val="0"/>
          <w:marBottom w:val="600"/>
          <w:divBdr>
            <w:top w:val="none" w:sz="0" w:space="0" w:color="auto"/>
            <w:left w:val="none" w:sz="0" w:space="0" w:color="auto"/>
            <w:bottom w:val="none" w:sz="0" w:space="0" w:color="auto"/>
            <w:right w:val="none" w:sz="0" w:space="0" w:color="auto"/>
          </w:divBdr>
        </w:div>
      </w:divsChild>
    </w:div>
    <w:div w:id="452943263">
      <w:bodyDiv w:val="1"/>
      <w:marLeft w:val="0"/>
      <w:marRight w:val="0"/>
      <w:marTop w:val="0"/>
      <w:marBottom w:val="0"/>
      <w:divBdr>
        <w:top w:val="none" w:sz="0" w:space="0" w:color="auto"/>
        <w:left w:val="none" w:sz="0" w:space="0" w:color="auto"/>
        <w:bottom w:val="none" w:sz="0" w:space="0" w:color="auto"/>
        <w:right w:val="none" w:sz="0" w:space="0" w:color="auto"/>
      </w:divBdr>
    </w:div>
    <w:div w:id="462816014">
      <w:bodyDiv w:val="1"/>
      <w:marLeft w:val="0"/>
      <w:marRight w:val="0"/>
      <w:marTop w:val="0"/>
      <w:marBottom w:val="0"/>
      <w:divBdr>
        <w:top w:val="none" w:sz="0" w:space="0" w:color="auto"/>
        <w:left w:val="none" w:sz="0" w:space="0" w:color="auto"/>
        <w:bottom w:val="none" w:sz="0" w:space="0" w:color="auto"/>
        <w:right w:val="none" w:sz="0" w:space="0" w:color="auto"/>
      </w:divBdr>
    </w:div>
    <w:div w:id="471408565">
      <w:bodyDiv w:val="1"/>
      <w:marLeft w:val="0"/>
      <w:marRight w:val="0"/>
      <w:marTop w:val="0"/>
      <w:marBottom w:val="0"/>
      <w:divBdr>
        <w:top w:val="none" w:sz="0" w:space="0" w:color="auto"/>
        <w:left w:val="none" w:sz="0" w:space="0" w:color="auto"/>
        <w:bottom w:val="none" w:sz="0" w:space="0" w:color="auto"/>
        <w:right w:val="none" w:sz="0" w:space="0" w:color="auto"/>
      </w:divBdr>
    </w:div>
    <w:div w:id="490412300">
      <w:bodyDiv w:val="1"/>
      <w:marLeft w:val="0"/>
      <w:marRight w:val="0"/>
      <w:marTop w:val="0"/>
      <w:marBottom w:val="0"/>
      <w:divBdr>
        <w:top w:val="none" w:sz="0" w:space="0" w:color="auto"/>
        <w:left w:val="none" w:sz="0" w:space="0" w:color="auto"/>
        <w:bottom w:val="none" w:sz="0" w:space="0" w:color="auto"/>
        <w:right w:val="none" w:sz="0" w:space="0" w:color="auto"/>
      </w:divBdr>
    </w:div>
    <w:div w:id="500513603">
      <w:bodyDiv w:val="1"/>
      <w:marLeft w:val="0"/>
      <w:marRight w:val="0"/>
      <w:marTop w:val="0"/>
      <w:marBottom w:val="0"/>
      <w:divBdr>
        <w:top w:val="none" w:sz="0" w:space="0" w:color="auto"/>
        <w:left w:val="none" w:sz="0" w:space="0" w:color="auto"/>
        <w:bottom w:val="none" w:sz="0" w:space="0" w:color="auto"/>
        <w:right w:val="none" w:sz="0" w:space="0" w:color="auto"/>
      </w:divBdr>
    </w:div>
    <w:div w:id="516042901">
      <w:bodyDiv w:val="1"/>
      <w:marLeft w:val="0"/>
      <w:marRight w:val="0"/>
      <w:marTop w:val="0"/>
      <w:marBottom w:val="0"/>
      <w:divBdr>
        <w:top w:val="none" w:sz="0" w:space="0" w:color="auto"/>
        <w:left w:val="none" w:sz="0" w:space="0" w:color="auto"/>
        <w:bottom w:val="none" w:sz="0" w:space="0" w:color="auto"/>
        <w:right w:val="none" w:sz="0" w:space="0" w:color="auto"/>
      </w:divBdr>
    </w:div>
    <w:div w:id="544684300">
      <w:bodyDiv w:val="1"/>
      <w:marLeft w:val="0"/>
      <w:marRight w:val="0"/>
      <w:marTop w:val="0"/>
      <w:marBottom w:val="0"/>
      <w:divBdr>
        <w:top w:val="none" w:sz="0" w:space="0" w:color="auto"/>
        <w:left w:val="none" w:sz="0" w:space="0" w:color="auto"/>
        <w:bottom w:val="none" w:sz="0" w:space="0" w:color="auto"/>
        <w:right w:val="none" w:sz="0" w:space="0" w:color="auto"/>
      </w:divBdr>
    </w:div>
    <w:div w:id="546917993">
      <w:bodyDiv w:val="1"/>
      <w:marLeft w:val="0"/>
      <w:marRight w:val="0"/>
      <w:marTop w:val="0"/>
      <w:marBottom w:val="0"/>
      <w:divBdr>
        <w:top w:val="none" w:sz="0" w:space="0" w:color="auto"/>
        <w:left w:val="none" w:sz="0" w:space="0" w:color="auto"/>
        <w:bottom w:val="none" w:sz="0" w:space="0" w:color="auto"/>
        <w:right w:val="none" w:sz="0" w:space="0" w:color="auto"/>
      </w:divBdr>
      <w:divsChild>
        <w:div w:id="138767312">
          <w:marLeft w:val="0"/>
          <w:marRight w:val="0"/>
          <w:marTop w:val="0"/>
          <w:marBottom w:val="150"/>
          <w:divBdr>
            <w:top w:val="none" w:sz="0" w:space="0" w:color="auto"/>
            <w:left w:val="none" w:sz="0" w:space="0" w:color="auto"/>
            <w:bottom w:val="none" w:sz="0" w:space="0" w:color="auto"/>
            <w:right w:val="none" w:sz="0" w:space="0" w:color="auto"/>
          </w:divBdr>
        </w:div>
        <w:div w:id="809245715">
          <w:marLeft w:val="0"/>
          <w:marRight w:val="0"/>
          <w:marTop w:val="0"/>
          <w:marBottom w:val="150"/>
          <w:divBdr>
            <w:top w:val="none" w:sz="0" w:space="0" w:color="auto"/>
            <w:left w:val="none" w:sz="0" w:space="0" w:color="auto"/>
            <w:bottom w:val="none" w:sz="0" w:space="0" w:color="auto"/>
            <w:right w:val="none" w:sz="0" w:space="0" w:color="auto"/>
          </w:divBdr>
        </w:div>
      </w:divsChild>
    </w:div>
    <w:div w:id="585847008">
      <w:bodyDiv w:val="1"/>
      <w:marLeft w:val="0"/>
      <w:marRight w:val="0"/>
      <w:marTop w:val="0"/>
      <w:marBottom w:val="0"/>
      <w:divBdr>
        <w:top w:val="none" w:sz="0" w:space="0" w:color="auto"/>
        <w:left w:val="none" w:sz="0" w:space="0" w:color="auto"/>
        <w:bottom w:val="none" w:sz="0" w:space="0" w:color="auto"/>
        <w:right w:val="none" w:sz="0" w:space="0" w:color="auto"/>
      </w:divBdr>
    </w:div>
    <w:div w:id="589579102">
      <w:bodyDiv w:val="1"/>
      <w:marLeft w:val="0"/>
      <w:marRight w:val="0"/>
      <w:marTop w:val="0"/>
      <w:marBottom w:val="0"/>
      <w:divBdr>
        <w:top w:val="none" w:sz="0" w:space="0" w:color="auto"/>
        <w:left w:val="none" w:sz="0" w:space="0" w:color="auto"/>
        <w:bottom w:val="none" w:sz="0" w:space="0" w:color="auto"/>
        <w:right w:val="none" w:sz="0" w:space="0" w:color="auto"/>
      </w:divBdr>
    </w:div>
    <w:div w:id="599142207">
      <w:bodyDiv w:val="1"/>
      <w:marLeft w:val="0"/>
      <w:marRight w:val="0"/>
      <w:marTop w:val="0"/>
      <w:marBottom w:val="0"/>
      <w:divBdr>
        <w:top w:val="none" w:sz="0" w:space="0" w:color="auto"/>
        <w:left w:val="none" w:sz="0" w:space="0" w:color="auto"/>
        <w:bottom w:val="none" w:sz="0" w:space="0" w:color="auto"/>
        <w:right w:val="none" w:sz="0" w:space="0" w:color="auto"/>
      </w:divBdr>
    </w:div>
    <w:div w:id="601256913">
      <w:bodyDiv w:val="1"/>
      <w:marLeft w:val="0"/>
      <w:marRight w:val="0"/>
      <w:marTop w:val="0"/>
      <w:marBottom w:val="0"/>
      <w:divBdr>
        <w:top w:val="none" w:sz="0" w:space="0" w:color="auto"/>
        <w:left w:val="none" w:sz="0" w:space="0" w:color="auto"/>
        <w:bottom w:val="none" w:sz="0" w:space="0" w:color="auto"/>
        <w:right w:val="none" w:sz="0" w:space="0" w:color="auto"/>
      </w:divBdr>
    </w:div>
    <w:div w:id="625159589">
      <w:bodyDiv w:val="1"/>
      <w:marLeft w:val="0"/>
      <w:marRight w:val="0"/>
      <w:marTop w:val="0"/>
      <w:marBottom w:val="0"/>
      <w:divBdr>
        <w:top w:val="none" w:sz="0" w:space="0" w:color="auto"/>
        <w:left w:val="none" w:sz="0" w:space="0" w:color="auto"/>
        <w:bottom w:val="none" w:sz="0" w:space="0" w:color="auto"/>
        <w:right w:val="none" w:sz="0" w:space="0" w:color="auto"/>
      </w:divBdr>
    </w:div>
    <w:div w:id="642584735">
      <w:bodyDiv w:val="1"/>
      <w:marLeft w:val="0"/>
      <w:marRight w:val="0"/>
      <w:marTop w:val="0"/>
      <w:marBottom w:val="0"/>
      <w:divBdr>
        <w:top w:val="none" w:sz="0" w:space="0" w:color="auto"/>
        <w:left w:val="none" w:sz="0" w:space="0" w:color="auto"/>
        <w:bottom w:val="none" w:sz="0" w:space="0" w:color="auto"/>
        <w:right w:val="none" w:sz="0" w:space="0" w:color="auto"/>
      </w:divBdr>
    </w:div>
    <w:div w:id="720909749">
      <w:bodyDiv w:val="1"/>
      <w:marLeft w:val="0"/>
      <w:marRight w:val="0"/>
      <w:marTop w:val="0"/>
      <w:marBottom w:val="0"/>
      <w:divBdr>
        <w:top w:val="none" w:sz="0" w:space="0" w:color="auto"/>
        <w:left w:val="none" w:sz="0" w:space="0" w:color="auto"/>
        <w:bottom w:val="none" w:sz="0" w:space="0" w:color="auto"/>
        <w:right w:val="none" w:sz="0" w:space="0" w:color="auto"/>
      </w:divBdr>
    </w:div>
    <w:div w:id="754941418">
      <w:bodyDiv w:val="1"/>
      <w:marLeft w:val="0"/>
      <w:marRight w:val="0"/>
      <w:marTop w:val="0"/>
      <w:marBottom w:val="0"/>
      <w:divBdr>
        <w:top w:val="none" w:sz="0" w:space="0" w:color="auto"/>
        <w:left w:val="none" w:sz="0" w:space="0" w:color="auto"/>
        <w:bottom w:val="none" w:sz="0" w:space="0" w:color="auto"/>
        <w:right w:val="none" w:sz="0" w:space="0" w:color="auto"/>
      </w:divBdr>
    </w:div>
    <w:div w:id="770859703">
      <w:bodyDiv w:val="1"/>
      <w:marLeft w:val="0"/>
      <w:marRight w:val="0"/>
      <w:marTop w:val="0"/>
      <w:marBottom w:val="0"/>
      <w:divBdr>
        <w:top w:val="none" w:sz="0" w:space="0" w:color="auto"/>
        <w:left w:val="none" w:sz="0" w:space="0" w:color="auto"/>
        <w:bottom w:val="none" w:sz="0" w:space="0" w:color="auto"/>
        <w:right w:val="none" w:sz="0" w:space="0" w:color="auto"/>
      </w:divBdr>
    </w:div>
    <w:div w:id="871263046">
      <w:bodyDiv w:val="1"/>
      <w:marLeft w:val="0"/>
      <w:marRight w:val="0"/>
      <w:marTop w:val="0"/>
      <w:marBottom w:val="0"/>
      <w:divBdr>
        <w:top w:val="none" w:sz="0" w:space="0" w:color="auto"/>
        <w:left w:val="none" w:sz="0" w:space="0" w:color="auto"/>
        <w:bottom w:val="none" w:sz="0" w:space="0" w:color="auto"/>
        <w:right w:val="none" w:sz="0" w:space="0" w:color="auto"/>
      </w:divBdr>
    </w:div>
    <w:div w:id="875460430">
      <w:bodyDiv w:val="1"/>
      <w:marLeft w:val="0"/>
      <w:marRight w:val="0"/>
      <w:marTop w:val="0"/>
      <w:marBottom w:val="0"/>
      <w:divBdr>
        <w:top w:val="none" w:sz="0" w:space="0" w:color="auto"/>
        <w:left w:val="none" w:sz="0" w:space="0" w:color="auto"/>
        <w:bottom w:val="none" w:sz="0" w:space="0" w:color="auto"/>
        <w:right w:val="none" w:sz="0" w:space="0" w:color="auto"/>
      </w:divBdr>
    </w:div>
    <w:div w:id="886331777">
      <w:bodyDiv w:val="1"/>
      <w:marLeft w:val="0"/>
      <w:marRight w:val="0"/>
      <w:marTop w:val="0"/>
      <w:marBottom w:val="0"/>
      <w:divBdr>
        <w:top w:val="none" w:sz="0" w:space="0" w:color="auto"/>
        <w:left w:val="none" w:sz="0" w:space="0" w:color="auto"/>
        <w:bottom w:val="none" w:sz="0" w:space="0" w:color="auto"/>
        <w:right w:val="none" w:sz="0" w:space="0" w:color="auto"/>
      </w:divBdr>
    </w:div>
    <w:div w:id="919487728">
      <w:bodyDiv w:val="1"/>
      <w:marLeft w:val="0"/>
      <w:marRight w:val="0"/>
      <w:marTop w:val="0"/>
      <w:marBottom w:val="0"/>
      <w:divBdr>
        <w:top w:val="none" w:sz="0" w:space="0" w:color="auto"/>
        <w:left w:val="none" w:sz="0" w:space="0" w:color="auto"/>
        <w:bottom w:val="none" w:sz="0" w:space="0" w:color="auto"/>
        <w:right w:val="none" w:sz="0" w:space="0" w:color="auto"/>
      </w:divBdr>
    </w:div>
    <w:div w:id="922296269">
      <w:bodyDiv w:val="1"/>
      <w:marLeft w:val="0"/>
      <w:marRight w:val="0"/>
      <w:marTop w:val="0"/>
      <w:marBottom w:val="0"/>
      <w:divBdr>
        <w:top w:val="none" w:sz="0" w:space="0" w:color="auto"/>
        <w:left w:val="none" w:sz="0" w:space="0" w:color="auto"/>
        <w:bottom w:val="none" w:sz="0" w:space="0" w:color="auto"/>
        <w:right w:val="none" w:sz="0" w:space="0" w:color="auto"/>
      </w:divBdr>
    </w:div>
    <w:div w:id="948194938">
      <w:bodyDiv w:val="1"/>
      <w:marLeft w:val="0"/>
      <w:marRight w:val="0"/>
      <w:marTop w:val="0"/>
      <w:marBottom w:val="0"/>
      <w:divBdr>
        <w:top w:val="none" w:sz="0" w:space="0" w:color="auto"/>
        <w:left w:val="none" w:sz="0" w:space="0" w:color="auto"/>
        <w:bottom w:val="none" w:sz="0" w:space="0" w:color="auto"/>
        <w:right w:val="none" w:sz="0" w:space="0" w:color="auto"/>
      </w:divBdr>
    </w:div>
    <w:div w:id="982778362">
      <w:bodyDiv w:val="1"/>
      <w:marLeft w:val="0"/>
      <w:marRight w:val="0"/>
      <w:marTop w:val="0"/>
      <w:marBottom w:val="0"/>
      <w:divBdr>
        <w:top w:val="none" w:sz="0" w:space="0" w:color="auto"/>
        <w:left w:val="none" w:sz="0" w:space="0" w:color="auto"/>
        <w:bottom w:val="none" w:sz="0" w:space="0" w:color="auto"/>
        <w:right w:val="none" w:sz="0" w:space="0" w:color="auto"/>
      </w:divBdr>
      <w:divsChild>
        <w:div w:id="676611782">
          <w:marLeft w:val="0"/>
          <w:marRight w:val="0"/>
          <w:marTop w:val="0"/>
          <w:marBottom w:val="210"/>
          <w:divBdr>
            <w:top w:val="none" w:sz="0" w:space="0" w:color="auto"/>
            <w:left w:val="none" w:sz="0" w:space="0" w:color="auto"/>
            <w:bottom w:val="none" w:sz="0" w:space="0" w:color="auto"/>
            <w:right w:val="none" w:sz="0" w:space="0" w:color="auto"/>
          </w:divBdr>
        </w:div>
        <w:div w:id="805707046">
          <w:marLeft w:val="0"/>
          <w:marRight w:val="0"/>
          <w:marTop w:val="0"/>
          <w:marBottom w:val="210"/>
          <w:divBdr>
            <w:top w:val="none" w:sz="0" w:space="0" w:color="auto"/>
            <w:left w:val="none" w:sz="0" w:space="0" w:color="auto"/>
            <w:bottom w:val="none" w:sz="0" w:space="0" w:color="auto"/>
            <w:right w:val="none" w:sz="0" w:space="0" w:color="auto"/>
          </w:divBdr>
        </w:div>
        <w:div w:id="1207450279">
          <w:marLeft w:val="0"/>
          <w:marRight w:val="0"/>
          <w:marTop w:val="0"/>
          <w:marBottom w:val="210"/>
          <w:divBdr>
            <w:top w:val="none" w:sz="0" w:space="0" w:color="auto"/>
            <w:left w:val="none" w:sz="0" w:space="0" w:color="auto"/>
            <w:bottom w:val="none" w:sz="0" w:space="0" w:color="auto"/>
            <w:right w:val="none" w:sz="0" w:space="0" w:color="auto"/>
          </w:divBdr>
        </w:div>
      </w:divsChild>
    </w:div>
    <w:div w:id="986087305">
      <w:bodyDiv w:val="1"/>
      <w:marLeft w:val="0"/>
      <w:marRight w:val="0"/>
      <w:marTop w:val="0"/>
      <w:marBottom w:val="0"/>
      <w:divBdr>
        <w:top w:val="none" w:sz="0" w:space="0" w:color="auto"/>
        <w:left w:val="none" w:sz="0" w:space="0" w:color="auto"/>
        <w:bottom w:val="none" w:sz="0" w:space="0" w:color="auto"/>
        <w:right w:val="none" w:sz="0" w:space="0" w:color="auto"/>
      </w:divBdr>
      <w:divsChild>
        <w:div w:id="185751529">
          <w:marLeft w:val="0"/>
          <w:marRight w:val="0"/>
          <w:marTop w:val="75"/>
          <w:marBottom w:val="225"/>
          <w:divBdr>
            <w:top w:val="none" w:sz="0" w:space="0" w:color="auto"/>
            <w:left w:val="none" w:sz="0" w:space="0" w:color="auto"/>
            <w:bottom w:val="none" w:sz="0" w:space="0" w:color="auto"/>
            <w:right w:val="none" w:sz="0" w:space="0" w:color="auto"/>
          </w:divBdr>
        </w:div>
        <w:div w:id="751465934">
          <w:marLeft w:val="0"/>
          <w:marRight w:val="0"/>
          <w:marTop w:val="75"/>
          <w:marBottom w:val="75"/>
          <w:divBdr>
            <w:top w:val="none" w:sz="0" w:space="0" w:color="auto"/>
            <w:left w:val="none" w:sz="0" w:space="0" w:color="auto"/>
            <w:bottom w:val="none" w:sz="0" w:space="0" w:color="auto"/>
            <w:right w:val="none" w:sz="0" w:space="0" w:color="auto"/>
          </w:divBdr>
        </w:div>
      </w:divsChild>
    </w:div>
    <w:div w:id="990327768">
      <w:bodyDiv w:val="1"/>
      <w:marLeft w:val="0"/>
      <w:marRight w:val="0"/>
      <w:marTop w:val="0"/>
      <w:marBottom w:val="0"/>
      <w:divBdr>
        <w:top w:val="none" w:sz="0" w:space="0" w:color="auto"/>
        <w:left w:val="none" w:sz="0" w:space="0" w:color="auto"/>
        <w:bottom w:val="none" w:sz="0" w:space="0" w:color="auto"/>
        <w:right w:val="none" w:sz="0" w:space="0" w:color="auto"/>
      </w:divBdr>
    </w:div>
    <w:div w:id="1003824234">
      <w:bodyDiv w:val="1"/>
      <w:marLeft w:val="0"/>
      <w:marRight w:val="0"/>
      <w:marTop w:val="0"/>
      <w:marBottom w:val="0"/>
      <w:divBdr>
        <w:top w:val="none" w:sz="0" w:space="0" w:color="auto"/>
        <w:left w:val="none" w:sz="0" w:space="0" w:color="auto"/>
        <w:bottom w:val="none" w:sz="0" w:space="0" w:color="auto"/>
        <w:right w:val="none" w:sz="0" w:space="0" w:color="auto"/>
      </w:divBdr>
    </w:div>
    <w:div w:id="1012027449">
      <w:bodyDiv w:val="1"/>
      <w:marLeft w:val="0"/>
      <w:marRight w:val="0"/>
      <w:marTop w:val="0"/>
      <w:marBottom w:val="0"/>
      <w:divBdr>
        <w:top w:val="none" w:sz="0" w:space="0" w:color="auto"/>
        <w:left w:val="none" w:sz="0" w:space="0" w:color="auto"/>
        <w:bottom w:val="none" w:sz="0" w:space="0" w:color="auto"/>
        <w:right w:val="none" w:sz="0" w:space="0" w:color="auto"/>
      </w:divBdr>
      <w:divsChild>
        <w:div w:id="94712170">
          <w:marLeft w:val="0"/>
          <w:marRight w:val="0"/>
          <w:marTop w:val="0"/>
          <w:marBottom w:val="150"/>
          <w:divBdr>
            <w:top w:val="none" w:sz="0" w:space="0" w:color="auto"/>
            <w:left w:val="none" w:sz="0" w:space="0" w:color="auto"/>
            <w:bottom w:val="none" w:sz="0" w:space="0" w:color="auto"/>
            <w:right w:val="none" w:sz="0" w:space="0" w:color="auto"/>
          </w:divBdr>
        </w:div>
        <w:div w:id="1955480511">
          <w:marLeft w:val="0"/>
          <w:marRight w:val="0"/>
          <w:marTop w:val="0"/>
          <w:marBottom w:val="150"/>
          <w:divBdr>
            <w:top w:val="none" w:sz="0" w:space="0" w:color="auto"/>
            <w:left w:val="none" w:sz="0" w:space="0" w:color="auto"/>
            <w:bottom w:val="none" w:sz="0" w:space="0" w:color="auto"/>
            <w:right w:val="none" w:sz="0" w:space="0" w:color="auto"/>
          </w:divBdr>
        </w:div>
      </w:divsChild>
    </w:div>
    <w:div w:id="1076242646">
      <w:bodyDiv w:val="1"/>
      <w:marLeft w:val="0"/>
      <w:marRight w:val="0"/>
      <w:marTop w:val="0"/>
      <w:marBottom w:val="0"/>
      <w:divBdr>
        <w:top w:val="none" w:sz="0" w:space="0" w:color="auto"/>
        <w:left w:val="none" w:sz="0" w:space="0" w:color="auto"/>
        <w:bottom w:val="none" w:sz="0" w:space="0" w:color="auto"/>
        <w:right w:val="none" w:sz="0" w:space="0" w:color="auto"/>
      </w:divBdr>
    </w:div>
    <w:div w:id="1089742121">
      <w:bodyDiv w:val="1"/>
      <w:marLeft w:val="0"/>
      <w:marRight w:val="0"/>
      <w:marTop w:val="0"/>
      <w:marBottom w:val="0"/>
      <w:divBdr>
        <w:top w:val="none" w:sz="0" w:space="0" w:color="auto"/>
        <w:left w:val="none" w:sz="0" w:space="0" w:color="auto"/>
        <w:bottom w:val="none" w:sz="0" w:space="0" w:color="auto"/>
        <w:right w:val="none" w:sz="0" w:space="0" w:color="auto"/>
      </w:divBdr>
    </w:div>
    <w:div w:id="1104957471">
      <w:bodyDiv w:val="1"/>
      <w:marLeft w:val="0"/>
      <w:marRight w:val="0"/>
      <w:marTop w:val="0"/>
      <w:marBottom w:val="0"/>
      <w:divBdr>
        <w:top w:val="none" w:sz="0" w:space="0" w:color="auto"/>
        <w:left w:val="none" w:sz="0" w:space="0" w:color="auto"/>
        <w:bottom w:val="none" w:sz="0" w:space="0" w:color="auto"/>
        <w:right w:val="none" w:sz="0" w:space="0" w:color="auto"/>
      </w:divBdr>
      <w:divsChild>
        <w:div w:id="362757015">
          <w:marLeft w:val="0"/>
          <w:marRight w:val="0"/>
          <w:marTop w:val="0"/>
          <w:marBottom w:val="150"/>
          <w:divBdr>
            <w:top w:val="none" w:sz="0" w:space="0" w:color="auto"/>
            <w:left w:val="none" w:sz="0" w:space="0" w:color="auto"/>
            <w:bottom w:val="none" w:sz="0" w:space="0" w:color="auto"/>
            <w:right w:val="none" w:sz="0" w:space="0" w:color="auto"/>
          </w:divBdr>
        </w:div>
        <w:div w:id="843126751">
          <w:marLeft w:val="0"/>
          <w:marRight w:val="0"/>
          <w:marTop w:val="0"/>
          <w:marBottom w:val="150"/>
          <w:divBdr>
            <w:top w:val="none" w:sz="0" w:space="0" w:color="auto"/>
            <w:left w:val="none" w:sz="0" w:space="0" w:color="auto"/>
            <w:bottom w:val="none" w:sz="0" w:space="0" w:color="auto"/>
            <w:right w:val="none" w:sz="0" w:space="0" w:color="auto"/>
          </w:divBdr>
        </w:div>
      </w:divsChild>
    </w:div>
    <w:div w:id="1105730462">
      <w:bodyDiv w:val="1"/>
      <w:marLeft w:val="0"/>
      <w:marRight w:val="0"/>
      <w:marTop w:val="0"/>
      <w:marBottom w:val="0"/>
      <w:divBdr>
        <w:top w:val="none" w:sz="0" w:space="0" w:color="auto"/>
        <w:left w:val="none" w:sz="0" w:space="0" w:color="auto"/>
        <w:bottom w:val="none" w:sz="0" w:space="0" w:color="auto"/>
        <w:right w:val="none" w:sz="0" w:space="0" w:color="auto"/>
      </w:divBdr>
    </w:div>
    <w:div w:id="1111977471">
      <w:bodyDiv w:val="1"/>
      <w:marLeft w:val="0"/>
      <w:marRight w:val="0"/>
      <w:marTop w:val="0"/>
      <w:marBottom w:val="0"/>
      <w:divBdr>
        <w:top w:val="none" w:sz="0" w:space="0" w:color="auto"/>
        <w:left w:val="none" w:sz="0" w:space="0" w:color="auto"/>
        <w:bottom w:val="none" w:sz="0" w:space="0" w:color="auto"/>
        <w:right w:val="none" w:sz="0" w:space="0" w:color="auto"/>
      </w:divBdr>
    </w:div>
    <w:div w:id="1127624638">
      <w:bodyDiv w:val="1"/>
      <w:marLeft w:val="0"/>
      <w:marRight w:val="0"/>
      <w:marTop w:val="0"/>
      <w:marBottom w:val="0"/>
      <w:divBdr>
        <w:top w:val="none" w:sz="0" w:space="0" w:color="auto"/>
        <w:left w:val="none" w:sz="0" w:space="0" w:color="auto"/>
        <w:bottom w:val="none" w:sz="0" w:space="0" w:color="auto"/>
        <w:right w:val="none" w:sz="0" w:space="0" w:color="auto"/>
      </w:divBdr>
    </w:div>
    <w:div w:id="1155343312">
      <w:bodyDiv w:val="1"/>
      <w:marLeft w:val="0"/>
      <w:marRight w:val="0"/>
      <w:marTop w:val="0"/>
      <w:marBottom w:val="0"/>
      <w:divBdr>
        <w:top w:val="none" w:sz="0" w:space="0" w:color="auto"/>
        <w:left w:val="none" w:sz="0" w:space="0" w:color="auto"/>
        <w:bottom w:val="none" w:sz="0" w:space="0" w:color="auto"/>
        <w:right w:val="none" w:sz="0" w:space="0" w:color="auto"/>
      </w:divBdr>
    </w:div>
    <w:div w:id="1169979268">
      <w:bodyDiv w:val="1"/>
      <w:marLeft w:val="0"/>
      <w:marRight w:val="0"/>
      <w:marTop w:val="0"/>
      <w:marBottom w:val="0"/>
      <w:divBdr>
        <w:top w:val="none" w:sz="0" w:space="0" w:color="auto"/>
        <w:left w:val="none" w:sz="0" w:space="0" w:color="auto"/>
        <w:bottom w:val="none" w:sz="0" w:space="0" w:color="auto"/>
        <w:right w:val="none" w:sz="0" w:space="0" w:color="auto"/>
      </w:divBdr>
    </w:div>
    <w:div w:id="1218905054">
      <w:bodyDiv w:val="1"/>
      <w:marLeft w:val="0"/>
      <w:marRight w:val="0"/>
      <w:marTop w:val="0"/>
      <w:marBottom w:val="0"/>
      <w:divBdr>
        <w:top w:val="none" w:sz="0" w:space="0" w:color="auto"/>
        <w:left w:val="none" w:sz="0" w:space="0" w:color="auto"/>
        <w:bottom w:val="none" w:sz="0" w:space="0" w:color="auto"/>
        <w:right w:val="none" w:sz="0" w:space="0" w:color="auto"/>
      </w:divBdr>
    </w:div>
    <w:div w:id="1226722209">
      <w:bodyDiv w:val="1"/>
      <w:marLeft w:val="0"/>
      <w:marRight w:val="0"/>
      <w:marTop w:val="0"/>
      <w:marBottom w:val="0"/>
      <w:divBdr>
        <w:top w:val="none" w:sz="0" w:space="0" w:color="auto"/>
        <w:left w:val="none" w:sz="0" w:space="0" w:color="auto"/>
        <w:bottom w:val="none" w:sz="0" w:space="0" w:color="auto"/>
        <w:right w:val="none" w:sz="0" w:space="0" w:color="auto"/>
      </w:divBdr>
    </w:div>
    <w:div w:id="1233541336">
      <w:bodyDiv w:val="1"/>
      <w:marLeft w:val="0"/>
      <w:marRight w:val="0"/>
      <w:marTop w:val="0"/>
      <w:marBottom w:val="0"/>
      <w:divBdr>
        <w:top w:val="none" w:sz="0" w:space="0" w:color="auto"/>
        <w:left w:val="none" w:sz="0" w:space="0" w:color="auto"/>
        <w:bottom w:val="none" w:sz="0" w:space="0" w:color="auto"/>
        <w:right w:val="none" w:sz="0" w:space="0" w:color="auto"/>
      </w:divBdr>
      <w:divsChild>
        <w:div w:id="42338744">
          <w:marLeft w:val="0"/>
          <w:marRight w:val="0"/>
          <w:marTop w:val="0"/>
          <w:marBottom w:val="150"/>
          <w:divBdr>
            <w:top w:val="none" w:sz="0" w:space="0" w:color="auto"/>
            <w:left w:val="none" w:sz="0" w:space="0" w:color="auto"/>
            <w:bottom w:val="none" w:sz="0" w:space="0" w:color="auto"/>
            <w:right w:val="none" w:sz="0" w:space="0" w:color="auto"/>
          </w:divBdr>
        </w:div>
        <w:div w:id="1351757042">
          <w:marLeft w:val="0"/>
          <w:marRight w:val="0"/>
          <w:marTop w:val="0"/>
          <w:marBottom w:val="150"/>
          <w:divBdr>
            <w:top w:val="none" w:sz="0" w:space="0" w:color="auto"/>
            <w:left w:val="none" w:sz="0" w:space="0" w:color="auto"/>
            <w:bottom w:val="none" w:sz="0" w:space="0" w:color="auto"/>
            <w:right w:val="none" w:sz="0" w:space="0" w:color="auto"/>
          </w:divBdr>
        </w:div>
      </w:divsChild>
    </w:div>
    <w:div w:id="1238173735">
      <w:bodyDiv w:val="1"/>
      <w:marLeft w:val="0"/>
      <w:marRight w:val="0"/>
      <w:marTop w:val="0"/>
      <w:marBottom w:val="0"/>
      <w:divBdr>
        <w:top w:val="none" w:sz="0" w:space="0" w:color="auto"/>
        <w:left w:val="none" w:sz="0" w:space="0" w:color="auto"/>
        <w:bottom w:val="none" w:sz="0" w:space="0" w:color="auto"/>
        <w:right w:val="none" w:sz="0" w:space="0" w:color="auto"/>
      </w:divBdr>
    </w:div>
    <w:div w:id="1259414140">
      <w:bodyDiv w:val="1"/>
      <w:marLeft w:val="0"/>
      <w:marRight w:val="0"/>
      <w:marTop w:val="0"/>
      <w:marBottom w:val="0"/>
      <w:divBdr>
        <w:top w:val="none" w:sz="0" w:space="0" w:color="auto"/>
        <w:left w:val="none" w:sz="0" w:space="0" w:color="auto"/>
        <w:bottom w:val="none" w:sz="0" w:space="0" w:color="auto"/>
        <w:right w:val="none" w:sz="0" w:space="0" w:color="auto"/>
      </w:divBdr>
    </w:div>
    <w:div w:id="1281301325">
      <w:bodyDiv w:val="1"/>
      <w:marLeft w:val="0"/>
      <w:marRight w:val="0"/>
      <w:marTop w:val="0"/>
      <w:marBottom w:val="0"/>
      <w:divBdr>
        <w:top w:val="none" w:sz="0" w:space="0" w:color="auto"/>
        <w:left w:val="none" w:sz="0" w:space="0" w:color="auto"/>
        <w:bottom w:val="none" w:sz="0" w:space="0" w:color="auto"/>
        <w:right w:val="none" w:sz="0" w:space="0" w:color="auto"/>
      </w:divBdr>
      <w:divsChild>
        <w:div w:id="1879319867">
          <w:marLeft w:val="0"/>
          <w:marRight w:val="0"/>
          <w:marTop w:val="0"/>
          <w:marBottom w:val="0"/>
          <w:divBdr>
            <w:top w:val="none" w:sz="0" w:space="0" w:color="auto"/>
            <w:left w:val="none" w:sz="0" w:space="0" w:color="auto"/>
            <w:bottom w:val="none" w:sz="0" w:space="0" w:color="auto"/>
            <w:right w:val="none" w:sz="0" w:space="0" w:color="auto"/>
          </w:divBdr>
        </w:div>
      </w:divsChild>
    </w:div>
    <w:div w:id="1281302524">
      <w:bodyDiv w:val="1"/>
      <w:marLeft w:val="0"/>
      <w:marRight w:val="0"/>
      <w:marTop w:val="0"/>
      <w:marBottom w:val="0"/>
      <w:divBdr>
        <w:top w:val="none" w:sz="0" w:space="0" w:color="auto"/>
        <w:left w:val="none" w:sz="0" w:space="0" w:color="auto"/>
        <w:bottom w:val="none" w:sz="0" w:space="0" w:color="auto"/>
        <w:right w:val="none" w:sz="0" w:space="0" w:color="auto"/>
      </w:divBdr>
    </w:div>
    <w:div w:id="1309869885">
      <w:bodyDiv w:val="1"/>
      <w:marLeft w:val="0"/>
      <w:marRight w:val="0"/>
      <w:marTop w:val="0"/>
      <w:marBottom w:val="0"/>
      <w:divBdr>
        <w:top w:val="none" w:sz="0" w:space="0" w:color="auto"/>
        <w:left w:val="none" w:sz="0" w:space="0" w:color="auto"/>
        <w:bottom w:val="none" w:sz="0" w:space="0" w:color="auto"/>
        <w:right w:val="none" w:sz="0" w:space="0" w:color="auto"/>
      </w:divBdr>
    </w:div>
    <w:div w:id="1321539046">
      <w:bodyDiv w:val="1"/>
      <w:marLeft w:val="0"/>
      <w:marRight w:val="0"/>
      <w:marTop w:val="0"/>
      <w:marBottom w:val="0"/>
      <w:divBdr>
        <w:top w:val="none" w:sz="0" w:space="0" w:color="auto"/>
        <w:left w:val="none" w:sz="0" w:space="0" w:color="auto"/>
        <w:bottom w:val="none" w:sz="0" w:space="0" w:color="auto"/>
        <w:right w:val="none" w:sz="0" w:space="0" w:color="auto"/>
      </w:divBdr>
      <w:divsChild>
        <w:div w:id="969017410">
          <w:marLeft w:val="0"/>
          <w:marRight w:val="0"/>
          <w:marTop w:val="0"/>
          <w:marBottom w:val="150"/>
          <w:divBdr>
            <w:top w:val="none" w:sz="0" w:space="0" w:color="auto"/>
            <w:left w:val="none" w:sz="0" w:space="0" w:color="auto"/>
            <w:bottom w:val="none" w:sz="0" w:space="0" w:color="auto"/>
            <w:right w:val="none" w:sz="0" w:space="0" w:color="auto"/>
          </w:divBdr>
        </w:div>
        <w:div w:id="2121759734">
          <w:marLeft w:val="0"/>
          <w:marRight w:val="0"/>
          <w:marTop w:val="0"/>
          <w:marBottom w:val="150"/>
          <w:divBdr>
            <w:top w:val="none" w:sz="0" w:space="0" w:color="auto"/>
            <w:left w:val="none" w:sz="0" w:space="0" w:color="auto"/>
            <w:bottom w:val="none" w:sz="0" w:space="0" w:color="auto"/>
            <w:right w:val="none" w:sz="0" w:space="0" w:color="auto"/>
          </w:divBdr>
        </w:div>
      </w:divsChild>
    </w:div>
    <w:div w:id="1406562115">
      <w:bodyDiv w:val="1"/>
      <w:marLeft w:val="0"/>
      <w:marRight w:val="0"/>
      <w:marTop w:val="0"/>
      <w:marBottom w:val="0"/>
      <w:divBdr>
        <w:top w:val="none" w:sz="0" w:space="0" w:color="auto"/>
        <w:left w:val="none" w:sz="0" w:space="0" w:color="auto"/>
        <w:bottom w:val="none" w:sz="0" w:space="0" w:color="auto"/>
        <w:right w:val="none" w:sz="0" w:space="0" w:color="auto"/>
      </w:divBdr>
    </w:div>
    <w:div w:id="1408459067">
      <w:bodyDiv w:val="1"/>
      <w:marLeft w:val="0"/>
      <w:marRight w:val="0"/>
      <w:marTop w:val="0"/>
      <w:marBottom w:val="0"/>
      <w:divBdr>
        <w:top w:val="none" w:sz="0" w:space="0" w:color="auto"/>
        <w:left w:val="none" w:sz="0" w:space="0" w:color="auto"/>
        <w:bottom w:val="none" w:sz="0" w:space="0" w:color="auto"/>
        <w:right w:val="none" w:sz="0" w:space="0" w:color="auto"/>
      </w:divBdr>
    </w:div>
    <w:div w:id="1415055054">
      <w:bodyDiv w:val="1"/>
      <w:marLeft w:val="0"/>
      <w:marRight w:val="0"/>
      <w:marTop w:val="0"/>
      <w:marBottom w:val="0"/>
      <w:divBdr>
        <w:top w:val="none" w:sz="0" w:space="0" w:color="auto"/>
        <w:left w:val="none" w:sz="0" w:space="0" w:color="auto"/>
        <w:bottom w:val="none" w:sz="0" w:space="0" w:color="auto"/>
        <w:right w:val="none" w:sz="0" w:space="0" w:color="auto"/>
      </w:divBdr>
    </w:div>
    <w:div w:id="1428115145">
      <w:bodyDiv w:val="1"/>
      <w:marLeft w:val="0"/>
      <w:marRight w:val="0"/>
      <w:marTop w:val="0"/>
      <w:marBottom w:val="0"/>
      <w:divBdr>
        <w:top w:val="none" w:sz="0" w:space="0" w:color="auto"/>
        <w:left w:val="none" w:sz="0" w:space="0" w:color="auto"/>
        <w:bottom w:val="none" w:sz="0" w:space="0" w:color="auto"/>
        <w:right w:val="none" w:sz="0" w:space="0" w:color="auto"/>
      </w:divBdr>
    </w:div>
    <w:div w:id="1433623302">
      <w:bodyDiv w:val="1"/>
      <w:marLeft w:val="0"/>
      <w:marRight w:val="0"/>
      <w:marTop w:val="0"/>
      <w:marBottom w:val="0"/>
      <w:divBdr>
        <w:top w:val="none" w:sz="0" w:space="0" w:color="auto"/>
        <w:left w:val="none" w:sz="0" w:space="0" w:color="auto"/>
        <w:bottom w:val="none" w:sz="0" w:space="0" w:color="auto"/>
        <w:right w:val="none" w:sz="0" w:space="0" w:color="auto"/>
      </w:divBdr>
    </w:div>
    <w:div w:id="1435783463">
      <w:bodyDiv w:val="1"/>
      <w:marLeft w:val="0"/>
      <w:marRight w:val="0"/>
      <w:marTop w:val="0"/>
      <w:marBottom w:val="0"/>
      <w:divBdr>
        <w:top w:val="none" w:sz="0" w:space="0" w:color="auto"/>
        <w:left w:val="none" w:sz="0" w:space="0" w:color="auto"/>
        <w:bottom w:val="none" w:sz="0" w:space="0" w:color="auto"/>
        <w:right w:val="none" w:sz="0" w:space="0" w:color="auto"/>
      </w:divBdr>
    </w:div>
    <w:div w:id="1462117970">
      <w:bodyDiv w:val="1"/>
      <w:marLeft w:val="0"/>
      <w:marRight w:val="0"/>
      <w:marTop w:val="0"/>
      <w:marBottom w:val="0"/>
      <w:divBdr>
        <w:top w:val="none" w:sz="0" w:space="0" w:color="auto"/>
        <w:left w:val="none" w:sz="0" w:space="0" w:color="auto"/>
        <w:bottom w:val="none" w:sz="0" w:space="0" w:color="auto"/>
        <w:right w:val="none" w:sz="0" w:space="0" w:color="auto"/>
      </w:divBdr>
    </w:div>
    <w:div w:id="1532642496">
      <w:bodyDiv w:val="1"/>
      <w:marLeft w:val="0"/>
      <w:marRight w:val="0"/>
      <w:marTop w:val="0"/>
      <w:marBottom w:val="0"/>
      <w:divBdr>
        <w:top w:val="none" w:sz="0" w:space="0" w:color="auto"/>
        <w:left w:val="none" w:sz="0" w:space="0" w:color="auto"/>
        <w:bottom w:val="none" w:sz="0" w:space="0" w:color="auto"/>
        <w:right w:val="none" w:sz="0" w:space="0" w:color="auto"/>
      </w:divBdr>
    </w:div>
    <w:div w:id="1558131726">
      <w:bodyDiv w:val="1"/>
      <w:marLeft w:val="0"/>
      <w:marRight w:val="0"/>
      <w:marTop w:val="0"/>
      <w:marBottom w:val="0"/>
      <w:divBdr>
        <w:top w:val="none" w:sz="0" w:space="0" w:color="auto"/>
        <w:left w:val="none" w:sz="0" w:space="0" w:color="auto"/>
        <w:bottom w:val="none" w:sz="0" w:space="0" w:color="auto"/>
        <w:right w:val="none" w:sz="0" w:space="0" w:color="auto"/>
      </w:divBdr>
    </w:div>
    <w:div w:id="1562248215">
      <w:bodyDiv w:val="1"/>
      <w:marLeft w:val="0"/>
      <w:marRight w:val="0"/>
      <w:marTop w:val="0"/>
      <w:marBottom w:val="0"/>
      <w:divBdr>
        <w:top w:val="none" w:sz="0" w:space="0" w:color="auto"/>
        <w:left w:val="none" w:sz="0" w:space="0" w:color="auto"/>
        <w:bottom w:val="none" w:sz="0" w:space="0" w:color="auto"/>
        <w:right w:val="none" w:sz="0" w:space="0" w:color="auto"/>
      </w:divBdr>
    </w:div>
    <w:div w:id="1578662953">
      <w:bodyDiv w:val="1"/>
      <w:marLeft w:val="0"/>
      <w:marRight w:val="0"/>
      <w:marTop w:val="0"/>
      <w:marBottom w:val="0"/>
      <w:divBdr>
        <w:top w:val="none" w:sz="0" w:space="0" w:color="auto"/>
        <w:left w:val="none" w:sz="0" w:space="0" w:color="auto"/>
        <w:bottom w:val="none" w:sz="0" w:space="0" w:color="auto"/>
        <w:right w:val="none" w:sz="0" w:space="0" w:color="auto"/>
      </w:divBdr>
    </w:div>
    <w:div w:id="1593704839">
      <w:bodyDiv w:val="1"/>
      <w:marLeft w:val="0"/>
      <w:marRight w:val="0"/>
      <w:marTop w:val="0"/>
      <w:marBottom w:val="0"/>
      <w:divBdr>
        <w:top w:val="none" w:sz="0" w:space="0" w:color="auto"/>
        <w:left w:val="none" w:sz="0" w:space="0" w:color="auto"/>
        <w:bottom w:val="none" w:sz="0" w:space="0" w:color="auto"/>
        <w:right w:val="none" w:sz="0" w:space="0" w:color="auto"/>
      </w:divBdr>
    </w:div>
    <w:div w:id="1676111689">
      <w:bodyDiv w:val="1"/>
      <w:marLeft w:val="0"/>
      <w:marRight w:val="0"/>
      <w:marTop w:val="0"/>
      <w:marBottom w:val="0"/>
      <w:divBdr>
        <w:top w:val="none" w:sz="0" w:space="0" w:color="auto"/>
        <w:left w:val="none" w:sz="0" w:space="0" w:color="auto"/>
        <w:bottom w:val="none" w:sz="0" w:space="0" w:color="auto"/>
        <w:right w:val="none" w:sz="0" w:space="0" w:color="auto"/>
      </w:divBdr>
    </w:div>
    <w:div w:id="1686595240">
      <w:bodyDiv w:val="1"/>
      <w:marLeft w:val="0"/>
      <w:marRight w:val="0"/>
      <w:marTop w:val="0"/>
      <w:marBottom w:val="0"/>
      <w:divBdr>
        <w:top w:val="none" w:sz="0" w:space="0" w:color="auto"/>
        <w:left w:val="none" w:sz="0" w:space="0" w:color="auto"/>
        <w:bottom w:val="none" w:sz="0" w:space="0" w:color="auto"/>
        <w:right w:val="none" w:sz="0" w:space="0" w:color="auto"/>
      </w:divBdr>
    </w:div>
    <w:div w:id="1690374350">
      <w:bodyDiv w:val="1"/>
      <w:marLeft w:val="0"/>
      <w:marRight w:val="0"/>
      <w:marTop w:val="0"/>
      <w:marBottom w:val="0"/>
      <w:divBdr>
        <w:top w:val="none" w:sz="0" w:space="0" w:color="auto"/>
        <w:left w:val="none" w:sz="0" w:space="0" w:color="auto"/>
        <w:bottom w:val="none" w:sz="0" w:space="0" w:color="auto"/>
        <w:right w:val="none" w:sz="0" w:space="0" w:color="auto"/>
      </w:divBdr>
    </w:div>
    <w:div w:id="1957171809">
      <w:bodyDiv w:val="1"/>
      <w:marLeft w:val="0"/>
      <w:marRight w:val="0"/>
      <w:marTop w:val="0"/>
      <w:marBottom w:val="0"/>
      <w:divBdr>
        <w:top w:val="none" w:sz="0" w:space="0" w:color="auto"/>
        <w:left w:val="none" w:sz="0" w:space="0" w:color="auto"/>
        <w:bottom w:val="none" w:sz="0" w:space="0" w:color="auto"/>
        <w:right w:val="none" w:sz="0" w:space="0" w:color="auto"/>
      </w:divBdr>
    </w:div>
    <w:div w:id="1966697167">
      <w:bodyDiv w:val="1"/>
      <w:marLeft w:val="0"/>
      <w:marRight w:val="0"/>
      <w:marTop w:val="0"/>
      <w:marBottom w:val="0"/>
      <w:divBdr>
        <w:top w:val="none" w:sz="0" w:space="0" w:color="auto"/>
        <w:left w:val="none" w:sz="0" w:space="0" w:color="auto"/>
        <w:bottom w:val="none" w:sz="0" w:space="0" w:color="auto"/>
        <w:right w:val="none" w:sz="0" w:space="0" w:color="auto"/>
      </w:divBdr>
    </w:div>
    <w:div w:id="1995135284">
      <w:bodyDiv w:val="1"/>
      <w:marLeft w:val="0"/>
      <w:marRight w:val="0"/>
      <w:marTop w:val="0"/>
      <w:marBottom w:val="0"/>
      <w:divBdr>
        <w:top w:val="none" w:sz="0" w:space="0" w:color="auto"/>
        <w:left w:val="none" w:sz="0" w:space="0" w:color="auto"/>
        <w:bottom w:val="none" w:sz="0" w:space="0" w:color="auto"/>
        <w:right w:val="none" w:sz="0" w:space="0" w:color="auto"/>
      </w:divBdr>
    </w:div>
    <w:div w:id="2004157455">
      <w:bodyDiv w:val="1"/>
      <w:marLeft w:val="0"/>
      <w:marRight w:val="0"/>
      <w:marTop w:val="0"/>
      <w:marBottom w:val="0"/>
      <w:divBdr>
        <w:top w:val="none" w:sz="0" w:space="0" w:color="auto"/>
        <w:left w:val="none" w:sz="0" w:space="0" w:color="auto"/>
        <w:bottom w:val="none" w:sz="0" w:space="0" w:color="auto"/>
        <w:right w:val="none" w:sz="0" w:space="0" w:color="auto"/>
      </w:divBdr>
    </w:div>
    <w:div w:id="2016878801">
      <w:bodyDiv w:val="1"/>
      <w:marLeft w:val="0"/>
      <w:marRight w:val="0"/>
      <w:marTop w:val="0"/>
      <w:marBottom w:val="0"/>
      <w:divBdr>
        <w:top w:val="none" w:sz="0" w:space="0" w:color="auto"/>
        <w:left w:val="none" w:sz="0" w:space="0" w:color="auto"/>
        <w:bottom w:val="none" w:sz="0" w:space="0" w:color="auto"/>
        <w:right w:val="none" w:sz="0" w:space="0" w:color="auto"/>
      </w:divBdr>
    </w:div>
    <w:div w:id="2038578029">
      <w:bodyDiv w:val="1"/>
      <w:marLeft w:val="0"/>
      <w:marRight w:val="0"/>
      <w:marTop w:val="0"/>
      <w:marBottom w:val="0"/>
      <w:divBdr>
        <w:top w:val="none" w:sz="0" w:space="0" w:color="auto"/>
        <w:left w:val="none" w:sz="0" w:space="0" w:color="auto"/>
        <w:bottom w:val="none" w:sz="0" w:space="0" w:color="auto"/>
        <w:right w:val="none" w:sz="0" w:space="0" w:color="auto"/>
      </w:divBdr>
    </w:div>
    <w:div w:id="2058122113">
      <w:bodyDiv w:val="1"/>
      <w:marLeft w:val="0"/>
      <w:marRight w:val="0"/>
      <w:marTop w:val="0"/>
      <w:marBottom w:val="0"/>
      <w:divBdr>
        <w:top w:val="none" w:sz="0" w:space="0" w:color="auto"/>
        <w:left w:val="none" w:sz="0" w:space="0" w:color="auto"/>
        <w:bottom w:val="none" w:sz="0" w:space="0" w:color="auto"/>
        <w:right w:val="none" w:sz="0" w:space="0" w:color="auto"/>
      </w:divBdr>
    </w:div>
    <w:div w:id="2076080054">
      <w:bodyDiv w:val="1"/>
      <w:marLeft w:val="0"/>
      <w:marRight w:val="0"/>
      <w:marTop w:val="0"/>
      <w:marBottom w:val="0"/>
      <w:divBdr>
        <w:top w:val="none" w:sz="0" w:space="0" w:color="auto"/>
        <w:left w:val="none" w:sz="0" w:space="0" w:color="auto"/>
        <w:bottom w:val="none" w:sz="0" w:space="0" w:color="auto"/>
        <w:right w:val="none" w:sz="0" w:space="0" w:color="auto"/>
      </w:divBdr>
    </w:div>
    <w:div w:id="2081563270">
      <w:bodyDiv w:val="1"/>
      <w:marLeft w:val="0"/>
      <w:marRight w:val="0"/>
      <w:marTop w:val="0"/>
      <w:marBottom w:val="0"/>
      <w:divBdr>
        <w:top w:val="none" w:sz="0" w:space="0" w:color="auto"/>
        <w:left w:val="none" w:sz="0" w:space="0" w:color="auto"/>
        <w:bottom w:val="none" w:sz="0" w:space="0" w:color="auto"/>
        <w:right w:val="none" w:sz="0" w:space="0" w:color="auto"/>
      </w:divBdr>
    </w:div>
    <w:div w:id="2087679097">
      <w:bodyDiv w:val="1"/>
      <w:marLeft w:val="0"/>
      <w:marRight w:val="0"/>
      <w:marTop w:val="0"/>
      <w:marBottom w:val="0"/>
      <w:divBdr>
        <w:top w:val="none" w:sz="0" w:space="0" w:color="auto"/>
        <w:left w:val="none" w:sz="0" w:space="0" w:color="auto"/>
        <w:bottom w:val="none" w:sz="0" w:space="0" w:color="auto"/>
        <w:right w:val="none" w:sz="0" w:space="0" w:color="auto"/>
      </w:divBdr>
      <w:divsChild>
        <w:div w:id="1618758744">
          <w:marLeft w:val="0"/>
          <w:marRight w:val="0"/>
          <w:marTop w:val="0"/>
          <w:marBottom w:val="150"/>
          <w:divBdr>
            <w:top w:val="none" w:sz="0" w:space="0" w:color="auto"/>
            <w:left w:val="none" w:sz="0" w:space="0" w:color="auto"/>
            <w:bottom w:val="none" w:sz="0" w:space="0" w:color="auto"/>
            <w:right w:val="none" w:sz="0" w:space="0" w:color="auto"/>
          </w:divBdr>
        </w:div>
        <w:div w:id="1634751897">
          <w:marLeft w:val="0"/>
          <w:marRight w:val="0"/>
          <w:marTop w:val="0"/>
          <w:marBottom w:val="150"/>
          <w:divBdr>
            <w:top w:val="none" w:sz="0" w:space="0" w:color="auto"/>
            <w:left w:val="none" w:sz="0" w:space="0" w:color="auto"/>
            <w:bottom w:val="none" w:sz="0" w:space="0" w:color="auto"/>
            <w:right w:val="none" w:sz="0" w:space="0" w:color="auto"/>
          </w:divBdr>
        </w:div>
      </w:divsChild>
    </w:div>
    <w:div w:id="2115979369">
      <w:bodyDiv w:val="1"/>
      <w:marLeft w:val="0"/>
      <w:marRight w:val="0"/>
      <w:marTop w:val="0"/>
      <w:marBottom w:val="0"/>
      <w:divBdr>
        <w:top w:val="none" w:sz="0" w:space="0" w:color="auto"/>
        <w:left w:val="none" w:sz="0" w:space="0" w:color="auto"/>
        <w:bottom w:val="none" w:sz="0" w:space="0" w:color="auto"/>
        <w:right w:val="none" w:sz="0" w:space="0" w:color="auto"/>
      </w:divBdr>
    </w:div>
    <w:div w:id="2130708161">
      <w:bodyDiv w:val="1"/>
      <w:marLeft w:val="0"/>
      <w:marRight w:val="0"/>
      <w:marTop w:val="0"/>
      <w:marBottom w:val="0"/>
      <w:divBdr>
        <w:top w:val="none" w:sz="0" w:space="0" w:color="auto"/>
        <w:left w:val="none" w:sz="0" w:space="0" w:color="auto"/>
        <w:bottom w:val="none" w:sz="0" w:space="0" w:color="auto"/>
        <w:right w:val="none" w:sz="0" w:space="0" w:color="auto"/>
      </w:divBdr>
      <w:divsChild>
        <w:div w:id="1966891675">
          <w:marLeft w:val="0"/>
          <w:marRight w:val="0"/>
          <w:marTop w:val="0"/>
          <w:marBottom w:val="150"/>
          <w:divBdr>
            <w:top w:val="none" w:sz="0" w:space="0" w:color="auto"/>
            <w:left w:val="none" w:sz="0" w:space="0" w:color="auto"/>
            <w:bottom w:val="none" w:sz="0" w:space="0" w:color="auto"/>
            <w:right w:val="none" w:sz="0" w:space="0" w:color="auto"/>
          </w:divBdr>
        </w:div>
        <w:div w:id="2013677850">
          <w:marLeft w:val="0"/>
          <w:marRight w:val="0"/>
          <w:marTop w:val="0"/>
          <w:marBottom w:val="150"/>
          <w:divBdr>
            <w:top w:val="none" w:sz="0" w:space="0" w:color="auto"/>
            <w:left w:val="none" w:sz="0" w:space="0" w:color="auto"/>
            <w:bottom w:val="none" w:sz="0" w:space="0" w:color="auto"/>
            <w:right w:val="none" w:sz="0" w:space="0" w:color="auto"/>
          </w:divBdr>
        </w:div>
      </w:divsChild>
    </w:div>
    <w:div w:id="2131050161">
      <w:bodyDiv w:val="1"/>
      <w:marLeft w:val="0"/>
      <w:marRight w:val="0"/>
      <w:marTop w:val="0"/>
      <w:marBottom w:val="0"/>
      <w:divBdr>
        <w:top w:val="none" w:sz="0" w:space="0" w:color="auto"/>
        <w:left w:val="none" w:sz="0" w:space="0" w:color="auto"/>
        <w:bottom w:val="none" w:sz="0" w:space="0" w:color="auto"/>
        <w:right w:val="none" w:sz="0" w:space="0" w:color="auto"/>
      </w:divBdr>
    </w:div>
    <w:div w:id="2144469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nam10.safelinks.protection.outlook.com/?url=https%3A%2F%2Fsites.ed.gov%2Fidea%2Fhow-the-department-made-determinations%2F&amp;data=05%7C01%7Cdan.royal%40aemcorp.com%7C56561a053eed4e4dffea08db4cd0ea7f%7C7a41925ef6974f7cbec30470887ac752%7C0%7C0%7C638188232405320922%7CUnknown%7CTWFpbGZsb3d8eyJWIjoiMC4wLjAwMDAiLCJQIjoiV2luMzIiLCJBTiI6Ik1haWwiLCJXVCI6Mn0%3D%7C3000%7C%7C%7C&amp;sdata=REJfNg%2BRs0Gk73rS2KzO2SIVRCUhHLglGd6vbm9wEwc%3D&amp;reserved=0" TargetMode="External"/><Relationship Id="rId18" Type="http://schemas.openxmlformats.org/officeDocument/2006/relationships/hyperlink" Target="https://sites.ed.gov/idea/how-the-department-made-determinations/" TargetMode="External"/><Relationship Id="rId3" Type="http://schemas.openxmlformats.org/officeDocument/2006/relationships/customXml" Target="../customXml/item3.xml"/><Relationship Id="rId21" Type="http://schemas.openxmlformats.org/officeDocument/2006/relationships/image" Target="media/image3.jpeg"/><Relationship Id="rId7" Type="http://schemas.openxmlformats.org/officeDocument/2006/relationships/settings" Target="settings.xml"/><Relationship Id="rId12" Type="http://schemas.openxmlformats.org/officeDocument/2006/relationships/hyperlink" Target="https://sites.ed.gov/idea/files/2024_Part-B_SPP-APR_Measurement_Table.pdf" TargetMode="External"/><Relationship Id="rId17" Type="http://schemas.openxmlformats.org/officeDocument/2006/relationships/hyperlink" Target="https://emaps.ed.gov/suite/"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sites.ed.gov/idea/how-the-department-made-determinations/" TargetMode="External"/><Relationship Id="rId20" Type="http://schemas.openxmlformats.org/officeDocument/2006/relationships/hyperlink" Target="https://compcenternetwork.org/stat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wmf"/><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sites.ed.gov/idea/topic-area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4.emf"/></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0721A7242F9CD49BD1E05495CEFC5E9" ma:contentTypeVersion="39" ma:contentTypeDescription="Create a new document." ma:contentTypeScope="" ma:versionID="c3e24bf7aafe855da359270fb3175a4e">
  <xsd:schema xmlns:xsd="http://www.w3.org/2001/XMLSchema" xmlns:xs="http://www.w3.org/2001/XMLSchema" xmlns:p="http://schemas.microsoft.com/office/2006/metadata/properties" xmlns:ns1="http://schemas.microsoft.com/sharepoint/v3" xmlns:ns2="292db1e8-b3d0-4356-8ef3-2a6d7ed77883" xmlns:ns3="4f36bac4-6705-4a36-974b-7c07450fedf2" targetNamespace="http://schemas.microsoft.com/office/2006/metadata/properties" ma:root="true" ma:fieldsID="dcf66c8206fc74f4d79f0ec460abc3a7" ns1:_="" ns2:_="" ns3:_="">
    <xsd:import namespace="http://schemas.microsoft.com/sharepoint/v3"/>
    <xsd:import namespace="292db1e8-b3d0-4356-8ef3-2a6d7ed77883"/>
    <xsd:import namespace="4f36bac4-6705-4a36-974b-7c07450fedf2"/>
    <xsd:element name="properties">
      <xsd:complexType>
        <xsd:sequence>
          <xsd:element name="documentManagement">
            <xsd:complexType>
              <xsd:all>
                <xsd:element ref="ns1:PublishingStartDate" minOccurs="0"/>
                <xsd:element ref="ns1:PublishingExpirationDate" minOccurs="0"/>
                <xsd:element ref="ns1:RoutingTargetFolder" minOccurs="0"/>
                <xsd:element ref="ns2:Document_x0020_Purpose" minOccurs="0"/>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1:_ip_UnifiedCompliancePolicyProperties" minOccurs="0"/>
                <xsd:element ref="ns1:_ip_UnifiedCompliancePolicyUIAc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element name="RoutingTargetFolder" ma:index="6" nillable="true" ma:displayName="Target Folder" ma:description="" ma:hidden="true" ma:internalName="RoutingTargetFolder" ma:readOnly="false">
      <xsd:simpleType>
        <xsd:restriction base="dms:Text">
          <xsd:maxLength value="255"/>
        </xsd:restriction>
      </xsd:simpleType>
    </xsd:element>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2db1e8-b3d0-4356-8ef3-2a6d7ed77883" elementFormDefault="qualified">
    <xsd:import namespace="http://schemas.microsoft.com/office/2006/documentManagement/types"/>
    <xsd:import namespace="http://schemas.microsoft.com/office/infopath/2007/PartnerControls"/>
    <xsd:element name="Document_x0020_Purpose" ma:index="7" nillable="true" ma:displayName="Document Notes" ma:internalName="Document_x0020_Purpose" ma:readOnly="false">
      <xsd:simpleType>
        <xsd:restriction base="dms:Text">
          <xsd:maxLength value="255"/>
        </xsd:restriction>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7cd40567-abf2-423e-8514-1118c328f751"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f36bac4-6705-4a36-974b-7c07450fed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fbcfb947-9aca-4507-8ac0-df076e40e05b}" ma:internalName="TaxCatchAll" ma:showField="CatchAllData" ma:web="4f36bac4-6705-4a36-974b-7c07450fedf2">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ocument_x0020_Purpose xmlns="292db1e8-b3d0-4356-8ef3-2a6d7ed77883" xsi:nil="true"/>
    <_ip_UnifiedCompliancePolicyUIAction xmlns="http://schemas.microsoft.com/sharepoint/v3" xsi:nil="true"/>
    <TaxCatchAll xmlns="4f36bac4-6705-4a36-974b-7c07450fedf2" xsi:nil="true"/>
    <RoutingTargetFolder xmlns="http://schemas.microsoft.com/sharepoint/v3" xsi:nil="true"/>
    <lcf76f155ced4ddcb4097134ff3c332f xmlns="292db1e8-b3d0-4356-8ef3-2a6d7ed77883">
      <Terms xmlns="http://schemas.microsoft.com/office/infopath/2007/PartnerControls"/>
    </lcf76f155ced4ddcb4097134ff3c332f>
    <_ip_UnifiedCompliancePolicyProperties xmlns="http://schemas.microsoft.com/sharepoint/v3" xsi:nil="true"/>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2FA1C8D-8733-4A90-A3A0-FDEFEBCF1C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92db1e8-b3d0-4356-8ef3-2a6d7ed77883"/>
    <ds:schemaRef ds:uri="4f36bac4-6705-4a36-974b-7c07450fed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DB16239-2E83-4543-A07E-6AFF5384A3D6}">
  <ds:schemaRefs>
    <ds:schemaRef ds:uri="http://schemas.openxmlformats.org/officeDocument/2006/bibliography"/>
  </ds:schemaRefs>
</ds:datastoreItem>
</file>

<file path=customXml/itemProps3.xml><?xml version="1.0" encoding="utf-8"?>
<ds:datastoreItem xmlns:ds="http://schemas.openxmlformats.org/officeDocument/2006/customXml" ds:itemID="{7881BCB8-03D0-4290-935D-F6B299B61C87}">
  <ds:schemaRefs>
    <ds:schemaRef ds:uri="http://schemas.microsoft.com/sharepoint/v3/contenttype/forms"/>
  </ds:schemaRefs>
</ds:datastoreItem>
</file>

<file path=customXml/itemProps4.xml><?xml version="1.0" encoding="utf-8"?>
<ds:datastoreItem xmlns:ds="http://schemas.openxmlformats.org/officeDocument/2006/customXml" ds:itemID="{E34A9DCB-E3D8-4048-BDD4-1F7881EB959B}">
  <ds:schemaRefs>
    <ds:schemaRef ds:uri="http://schemas.microsoft.com/office/2006/metadata/properties"/>
    <ds:schemaRef ds:uri="http://schemas.microsoft.com/office/infopath/2007/PartnerControls"/>
    <ds:schemaRef ds:uri="292db1e8-b3d0-4356-8ef3-2a6d7ed77883"/>
    <ds:schemaRef ds:uri="http://schemas.microsoft.com/sharepoint/v3"/>
    <ds:schemaRef ds:uri="4f36bac4-6705-4a36-974b-7c07450fedf2"/>
  </ds:schemaRefs>
</ds:datastoreItem>
</file>

<file path=docMetadata/LabelInfo.xml><?xml version="1.0" encoding="utf-8"?>
<clbl:labelList xmlns:clbl="http://schemas.microsoft.com/office/2020/mipLabelMetadata">
  <clbl:label id="{afded6f5-d1d0-4596-a1c0-00c047dd6749}" enabled="1" method="Standard" siteId="{7a41925e-f697-4f7c-bec3-0470887ac752}" removed="0"/>
</clbl:labelList>
</file>

<file path=docProps/app.xml><?xml version="1.0" encoding="utf-8"?>
<Properties xmlns="http://schemas.openxmlformats.org/officeDocument/2006/extended-properties" xmlns:vt="http://schemas.openxmlformats.org/officeDocument/2006/docPropsVTypes">
  <Template>Normal</Template>
  <TotalTime>4</TotalTime>
  <Pages>99</Pages>
  <Words>53335</Words>
  <Characters>304016</Characters>
  <Application>Microsoft Office Word</Application>
  <DocSecurity>0</DocSecurity>
  <Lines>2533</Lines>
  <Paragraphs>713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356638</CharactersWithSpaces>
  <SharedDoc>false</SharedDoc>
  <HLinks>
    <vt:vector size="12" baseType="variant">
      <vt:variant>
        <vt:i4>2687072</vt:i4>
      </vt:variant>
      <vt:variant>
        <vt:i4>6</vt:i4>
      </vt:variant>
      <vt:variant>
        <vt:i4>0</vt:i4>
      </vt:variant>
      <vt:variant>
        <vt:i4>5</vt:i4>
      </vt:variant>
      <vt:variant>
        <vt:lpwstr>https://nam10.safelinks.protection.outlook.com/?url=https%3A%2F%2Fsites.ed.gov%2Fidea%2Fhow-the-department-made-determinations%2F&amp;data=05%7C01%7Cdan.royal%40aemcorp.com%7C56561a053eed4e4dffea08db4cd0ea7f%7C7a41925ef6974f7cbec30470887ac752%7C0%7C0%7C638188232405320922%7CUnknown%7CTWFpbGZsb3d8eyJWIjoiMC4wLjAwMDAiLCJQIjoiV2luMzIiLCJBTiI6Ik1haWwiLCJXVCI6Mn0%3D%7C3000%7C%7C%7C&amp;sdata=REJfNg%2BRs0Gk73rS2KzO2SIVRCUhHLglGd6vbm9wEwc%3D&amp;reserved=0</vt:lpwstr>
      </vt:variant>
      <vt:variant>
        <vt:lpwstr/>
      </vt:variant>
      <vt:variant>
        <vt:i4>4128885</vt:i4>
      </vt:variant>
      <vt:variant>
        <vt:i4>3</vt:i4>
      </vt:variant>
      <vt:variant>
        <vt:i4>0</vt:i4>
      </vt:variant>
      <vt:variant>
        <vt:i4>5</vt:i4>
      </vt:variant>
      <vt:variant>
        <vt:lpwstr>https://sites.ed.gov/idea/files/2024_Part-B_SPP-APR_Measurement_Table.pdf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O'Grady</dc:creator>
  <cp:lastModifiedBy>Durosko, Gloria</cp:lastModifiedBy>
  <cp:revision>2</cp:revision>
  <cp:lastPrinted>2014-08-19T19:56:00Z</cp:lastPrinted>
  <dcterms:created xsi:type="dcterms:W3CDTF">2024-06-25T15:30:00Z</dcterms:created>
  <dcterms:modified xsi:type="dcterms:W3CDTF">2024-06-25T15:30:00Z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0x01010000721A7242F9CD49BD1E05495CEFC5E9</vt:lpwstr>
  </property>
  <property fmtid="{D5CDD505-2E9C-101B-9397-08002B2CF9AE}" pid="3" name="_dlc_DocIdItemGuid">
    <vt:lpwstr>d1961a7b-789a-475e-aff2-ded90ef3b8b9</vt:lpwstr>
  </property>
  <property fmtid="{D5CDD505-2E9C-101B-9397-08002B2CF9AE}" pid="4" name="xd_Signature">
    <vt:bool>false</vt:bool>
  </property>
  <property fmtid="{D5CDD505-2E9C-101B-9397-08002B2CF9AE}" pid="5" name="xd_ProgID">
    <vt:lpwstr/>
  </property>
  <property fmtid="{D5CDD505-2E9C-101B-9397-08002B2CF9AE}" pid="6" name="TemplateUrl">
    <vt:lpwstr/>
  </property>
  <property fmtid="{D5CDD505-2E9C-101B-9397-08002B2CF9AE}" pid="7" name="Order">
    <vt:r8>41383400</vt:r8>
  </property>
  <property fmtid="{D5CDD505-2E9C-101B-9397-08002B2CF9AE}" pid="8" name="Body">
    <vt:lpwstr/>
  </property>
  <property fmtid="{D5CDD505-2E9C-101B-9397-08002B2CF9AE}" pid="9" name="TaskStatus">
    <vt:lpwstr/>
  </property>
  <property fmtid="{D5CDD505-2E9C-101B-9397-08002B2CF9AE}" pid="10" name="WorkflowName">
    <vt:lpwstr/>
  </property>
  <property fmtid="{D5CDD505-2E9C-101B-9397-08002B2CF9AE}" pid="11" name="Document Notes">
    <vt:lpwstr/>
  </property>
  <property fmtid="{D5CDD505-2E9C-101B-9397-08002B2CF9AE}" pid="12" name="Document Notes0">
    <vt:lpwstr/>
  </property>
  <property fmtid="{D5CDD505-2E9C-101B-9397-08002B2CF9AE}" pid="13" name="Priority">
    <vt:lpwstr/>
  </property>
  <property fmtid="{D5CDD505-2E9C-101B-9397-08002B2CF9AE}" pid="14" name="_CopySource">
    <vt:lpwstr>https://sharepoint.aemcorp.com/ed/EDMITS/Shared Documents/51 - APR/SPP APR/FFY 2021 - TO-Q/40 IT/01 Requirements/Part 1 - APR Tool/Part B/Part B SPP-APR FFY 2021 Form with abbreviations.docx</vt:lpwstr>
  </property>
  <property fmtid="{D5CDD505-2E9C-101B-9397-08002B2CF9AE}" pid="15" name="MediaServiceImageTags">
    <vt:lpwstr/>
  </property>
  <property fmtid="{D5CDD505-2E9C-101B-9397-08002B2CF9AE}" pid="16" name="Predecessors">
    <vt:lpwstr/>
  </property>
  <property fmtid="{D5CDD505-2E9C-101B-9397-08002B2CF9AE}" pid="17" name="AssignedTo">
    <vt:lpwstr/>
  </property>
  <property fmtid="{D5CDD505-2E9C-101B-9397-08002B2CF9AE}" pid="18" name="MSIP_Label_4ad35bab-6e18-4b1b-82b4-d81f4f36a979_Enabled">
    <vt:lpwstr>true</vt:lpwstr>
  </property>
  <property fmtid="{D5CDD505-2E9C-101B-9397-08002B2CF9AE}" pid="19" name="MSIP_Label_4ad35bab-6e18-4b1b-82b4-d81f4f36a979_SetDate">
    <vt:lpwstr>2023-03-14T00:12:18Z</vt:lpwstr>
  </property>
  <property fmtid="{D5CDD505-2E9C-101B-9397-08002B2CF9AE}" pid="20" name="MSIP_Label_4ad35bab-6e18-4b1b-82b4-d81f4f36a979_Method">
    <vt:lpwstr>Standard</vt:lpwstr>
  </property>
  <property fmtid="{D5CDD505-2E9C-101B-9397-08002B2CF9AE}" pid="21" name="MSIP_Label_4ad35bab-6e18-4b1b-82b4-d81f4f36a979_Name">
    <vt:lpwstr>Public</vt:lpwstr>
  </property>
  <property fmtid="{D5CDD505-2E9C-101B-9397-08002B2CF9AE}" pid="22" name="MSIP_Label_4ad35bab-6e18-4b1b-82b4-d81f4f36a979_SiteId">
    <vt:lpwstr>7a41925e-f697-4f7c-bec3-0470887ac752</vt:lpwstr>
  </property>
  <property fmtid="{D5CDD505-2E9C-101B-9397-08002B2CF9AE}" pid="23" name="MSIP_Label_4ad35bab-6e18-4b1b-82b4-d81f4f36a979_ActionId">
    <vt:lpwstr>212e3d3a-8d9d-47e5-ba89-5887e937e98c</vt:lpwstr>
  </property>
  <property fmtid="{D5CDD505-2E9C-101B-9397-08002B2CF9AE}" pid="24" name="MSIP_Label_4ad35bab-6e18-4b1b-82b4-d81f4f36a979_ContentBits">
    <vt:lpwstr>0</vt:lpwstr>
  </property>
</Properties>
</file>