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E5E" w:rsidRPr="00044631" w:rsidRDefault="00532E5E" w:rsidP="00532E5E">
      <w:pPr>
        <w:autoSpaceDE w:val="0"/>
        <w:autoSpaceDN w:val="0"/>
        <w:adjustRightInd w:val="0"/>
        <w:spacing w:after="0" w:line="360" w:lineRule="auto"/>
        <w:jc w:val="center"/>
        <w:rPr>
          <w:rFonts w:cstheme="minorHAnsi"/>
          <w:b/>
          <w:bCs/>
          <w:szCs w:val="24"/>
        </w:rPr>
      </w:pPr>
      <w:r w:rsidRPr="00044631">
        <w:rPr>
          <w:rFonts w:cstheme="minorHAnsi"/>
          <w:b/>
          <w:bCs/>
          <w:szCs w:val="24"/>
        </w:rPr>
        <w:t xml:space="preserve">IDEA and ECEA </w:t>
      </w:r>
      <w:r w:rsidR="00235A53" w:rsidRPr="00044631">
        <w:rPr>
          <w:rFonts w:cstheme="minorHAnsi"/>
          <w:b/>
          <w:bCs/>
          <w:szCs w:val="24"/>
        </w:rPr>
        <w:t xml:space="preserve">Secondary </w:t>
      </w:r>
      <w:r w:rsidR="00E90A08" w:rsidRPr="00044631">
        <w:rPr>
          <w:rFonts w:cstheme="minorHAnsi"/>
          <w:b/>
          <w:bCs/>
          <w:szCs w:val="24"/>
        </w:rPr>
        <w:t xml:space="preserve">Transition Services </w:t>
      </w:r>
      <w:r w:rsidR="008F2EFC" w:rsidRPr="00044631">
        <w:rPr>
          <w:rFonts w:cstheme="minorHAnsi"/>
          <w:b/>
          <w:bCs/>
          <w:szCs w:val="24"/>
        </w:rPr>
        <w:t>Citations</w:t>
      </w:r>
    </w:p>
    <w:p w:rsidR="00656403" w:rsidRDefault="00656403" w:rsidP="00044631">
      <w:pPr>
        <w:autoSpaceDE w:val="0"/>
        <w:autoSpaceDN w:val="0"/>
        <w:adjustRightInd w:val="0"/>
        <w:spacing w:after="0"/>
        <w:ind w:right="-360"/>
        <w:rPr>
          <w:rFonts w:cstheme="minorHAnsi"/>
          <w:b/>
          <w:bCs/>
          <w:szCs w:val="24"/>
        </w:rPr>
      </w:pPr>
      <w:r>
        <w:rPr>
          <w:rFonts w:cstheme="minorHAnsi"/>
          <w:b/>
          <w:bCs/>
          <w:szCs w:val="24"/>
        </w:rPr>
        <w:t>§ 300.1 Purposes</w:t>
      </w:r>
    </w:p>
    <w:p w:rsidR="00656403" w:rsidRPr="00B579B3" w:rsidRDefault="00656403" w:rsidP="00044631">
      <w:pPr>
        <w:autoSpaceDE w:val="0"/>
        <w:autoSpaceDN w:val="0"/>
        <w:adjustRightInd w:val="0"/>
        <w:spacing w:after="0"/>
        <w:ind w:right="-360"/>
        <w:rPr>
          <w:rFonts w:cstheme="minorHAnsi"/>
          <w:bCs/>
          <w:szCs w:val="24"/>
        </w:rPr>
      </w:pPr>
      <w:r w:rsidRPr="00656403">
        <w:rPr>
          <w:rFonts w:cstheme="minorHAnsi"/>
          <w:bCs/>
          <w:szCs w:val="24"/>
        </w:rPr>
        <w:t xml:space="preserve">To ensure that all children with disabilities have available to them a free appropriate </w:t>
      </w:r>
      <w:r>
        <w:rPr>
          <w:rFonts w:cstheme="minorHAnsi"/>
          <w:bCs/>
          <w:szCs w:val="24"/>
        </w:rPr>
        <w:t>p</w:t>
      </w:r>
      <w:r w:rsidRPr="00656403">
        <w:rPr>
          <w:rFonts w:cstheme="minorHAnsi"/>
          <w:bCs/>
          <w:szCs w:val="24"/>
        </w:rPr>
        <w:t xml:space="preserve">ublic education that emphasizes special education and related services designed to meet their unique needs </w:t>
      </w:r>
      <w:r w:rsidRPr="00B579B3">
        <w:rPr>
          <w:rFonts w:cstheme="minorHAnsi"/>
          <w:bCs/>
          <w:szCs w:val="24"/>
        </w:rPr>
        <w:t>and prepare them for further education, employment, and independent living.</w:t>
      </w:r>
    </w:p>
    <w:p w:rsidR="00656403" w:rsidRPr="00B579B3" w:rsidRDefault="00656403" w:rsidP="00044631">
      <w:pPr>
        <w:autoSpaceDE w:val="0"/>
        <w:autoSpaceDN w:val="0"/>
        <w:adjustRightInd w:val="0"/>
        <w:spacing w:after="0"/>
        <w:ind w:right="-360"/>
        <w:rPr>
          <w:rFonts w:cstheme="minorHAnsi"/>
          <w:b/>
          <w:bCs/>
          <w:szCs w:val="24"/>
        </w:rPr>
      </w:pPr>
    </w:p>
    <w:p w:rsidR="008F2EFC" w:rsidRPr="00B579B3" w:rsidRDefault="008F2EFC" w:rsidP="00044631">
      <w:pPr>
        <w:autoSpaceDE w:val="0"/>
        <w:autoSpaceDN w:val="0"/>
        <w:adjustRightInd w:val="0"/>
        <w:spacing w:after="0"/>
        <w:ind w:right="-360"/>
        <w:rPr>
          <w:rFonts w:cstheme="minorHAnsi"/>
          <w:b/>
          <w:bCs/>
          <w:szCs w:val="24"/>
        </w:rPr>
      </w:pPr>
      <w:r w:rsidRPr="00B579B3">
        <w:rPr>
          <w:rFonts w:cstheme="minorHAnsi"/>
          <w:b/>
          <w:bCs/>
          <w:szCs w:val="24"/>
        </w:rPr>
        <w:t>§ 300.320</w:t>
      </w:r>
      <w:r w:rsidR="00656403" w:rsidRPr="00B579B3">
        <w:rPr>
          <w:rFonts w:cstheme="minorHAnsi"/>
          <w:b/>
          <w:bCs/>
          <w:szCs w:val="24"/>
        </w:rPr>
        <w:t xml:space="preserve"> Definition of individualized education program</w:t>
      </w:r>
    </w:p>
    <w:p w:rsidR="008F2EFC" w:rsidRPr="00B579B3" w:rsidRDefault="008F2EFC" w:rsidP="008F2EFC">
      <w:pPr>
        <w:autoSpaceDE w:val="0"/>
        <w:autoSpaceDN w:val="0"/>
        <w:adjustRightInd w:val="0"/>
        <w:spacing w:after="0"/>
        <w:rPr>
          <w:rFonts w:cstheme="minorHAnsi"/>
          <w:szCs w:val="24"/>
        </w:rPr>
      </w:pPr>
      <w:r w:rsidRPr="00B579B3">
        <w:rPr>
          <w:rFonts w:cstheme="minorHAnsi"/>
          <w:szCs w:val="24"/>
        </w:rPr>
        <w:t xml:space="preserve">(b) </w:t>
      </w:r>
      <w:r w:rsidRPr="00B579B3">
        <w:rPr>
          <w:rFonts w:cstheme="minorHAnsi"/>
          <w:i/>
          <w:iCs/>
          <w:szCs w:val="24"/>
        </w:rPr>
        <w:t xml:space="preserve">Transition services. </w:t>
      </w:r>
      <w:r w:rsidRPr="00B579B3">
        <w:rPr>
          <w:rFonts w:cstheme="minorHAnsi"/>
          <w:szCs w:val="24"/>
        </w:rPr>
        <w:t>Beginning not later than the first IEP to be in effect when the child turns 16, or younger if determined appropriate by the IEP Team, and updated annually, thereafter,</w:t>
      </w:r>
    </w:p>
    <w:p w:rsidR="008F2EFC" w:rsidRPr="00B579B3" w:rsidRDefault="008F2EFC" w:rsidP="008F2EFC">
      <w:pPr>
        <w:autoSpaceDE w:val="0"/>
        <w:autoSpaceDN w:val="0"/>
        <w:adjustRightInd w:val="0"/>
        <w:spacing w:after="0"/>
        <w:rPr>
          <w:rFonts w:cstheme="minorHAnsi"/>
          <w:szCs w:val="24"/>
        </w:rPr>
      </w:pPr>
      <w:r w:rsidRPr="00B579B3">
        <w:rPr>
          <w:rFonts w:cstheme="minorHAnsi"/>
          <w:szCs w:val="24"/>
        </w:rPr>
        <w:t>the IEP must include—</w:t>
      </w:r>
    </w:p>
    <w:p w:rsidR="008F2EFC" w:rsidRPr="00B579B3" w:rsidRDefault="008F2EFC" w:rsidP="008F2EFC">
      <w:pPr>
        <w:autoSpaceDE w:val="0"/>
        <w:autoSpaceDN w:val="0"/>
        <w:adjustRightInd w:val="0"/>
        <w:spacing w:after="0"/>
        <w:rPr>
          <w:rFonts w:cstheme="minorHAnsi"/>
          <w:szCs w:val="24"/>
        </w:rPr>
      </w:pPr>
      <w:r w:rsidRPr="00B579B3">
        <w:rPr>
          <w:rFonts w:cstheme="minorHAnsi"/>
          <w:szCs w:val="24"/>
        </w:rPr>
        <w:t>(1) Appropriate measurable postsecondary goals based upon age appropriate transition assessments related to training, education, employment, and, where appropriate, independent living skills; and</w:t>
      </w:r>
    </w:p>
    <w:p w:rsidR="008F2EFC" w:rsidRPr="00B579B3" w:rsidRDefault="008F2EFC" w:rsidP="008F2EFC">
      <w:pPr>
        <w:autoSpaceDE w:val="0"/>
        <w:autoSpaceDN w:val="0"/>
        <w:adjustRightInd w:val="0"/>
        <w:spacing w:after="0"/>
        <w:rPr>
          <w:rFonts w:cstheme="minorHAnsi"/>
          <w:szCs w:val="24"/>
        </w:rPr>
      </w:pPr>
      <w:r w:rsidRPr="00B579B3">
        <w:rPr>
          <w:rFonts w:cstheme="minorHAnsi"/>
          <w:szCs w:val="24"/>
        </w:rPr>
        <w:t>(2) The transition services (including courses of study) needed to assist the child in reaching those goals.</w:t>
      </w:r>
    </w:p>
    <w:p w:rsidR="008F2EFC" w:rsidRPr="00B579B3" w:rsidRDefault="008F2EFC" w:rsidP="008F2EFC">
      <w:pPr>
        <w:autoSpaceDE w:val="0"/>
        <w:autoSpaceDN w:val="0"/>
        <w:adjustRightInd w:val="0"/>
        <w:spacing w:after="0"/>
        <w:rPr>
          <w:rFonts w:cstheme="minorHAnsi"/>
          <w:szCs w:val="24"/>
        </w:rPr>
      </w:pPr>
    </w:p>
    <w:p w:rsidR="00057CBD" w:rsidRPr="00B579B3" w:rsidRDefault="00057CBD" w:rsidP="00057CBD">
      <w:pPr>
        <w:pStyle w:val="Default"/>
        <w:spacing w:line="276" w:lineRule="auto"/>
        <w:rPr>
          <w:rFonts w:asciiTheme="minorHAnsi" w:hAnsiTheme="minorHAnsi" w:cstheme="minorHAnsi"/>
          <w:b/>
          <w:sz w:val="22"/>
        </w:rPr>
      </w:pPr>
      <w:r w:rsidRPr="00B579B3">
        <w:rPr>
          <w:rFonts w:asciiTheme="minorHAnsi" w:hAnsiTheme="minorHAnsi" w:cstheme="minorHAnsi"/>
          <w:b/>
          <w:sz w:val="22"/>
        </w:rPr>
        <w:t>ECEA 4.03 Individualized education programs (Colorado ECEA Rules)</w:t>
      </w:r>
    </w:p>
    <w:p w:rsidR="00057CBD" w:rsidRPr="00B579B3" w:rsidRDefault="00057CBD" w:rsidP="00057CBD">
      <w:pPr>
        <w:pStyle w:val="Default"/>
        <w:spacing w:line="276" w:lineRule="auto"/>
        <w:rPr>
          <w:rFonts w:asciiTheme="minorHAnsi" w:hAnsiTheme="minorHAnsi" w:cstheme="minorHAnsi"/>
          <w:sz w:val="22"/>
        </w:rPr>
      </w:pPr>
      <w:r w:rsidRPr="00B579B3">
        <w:rPr>
          <w:rFonts w:asciiTheme="minorHAnsi" w:hAnsiTheme="minorHAnsi" w:cstheme="minorHAnsi"/>
          <w:sz w:val="22"/>
        </w:rPr>
        <w:t xml:space="preserve">Exception to 34 CFR </w:t>
      </w:r>
      <w:r w:rsidRPr="00B579B3">
        <w:rPr>
          <w:rFonts w:asciiTheme="minorHAnsi" w:hAnsiTheme="minorHAnsi" w:cstheme="minorHAnsi"/>
          <w:bCs/>
          <w:sz w:val="22"/>
        </w:rPr>
        <w:t xml:space="preserve">§ </w:t>
      </w:r>
      <w:r w:rsidRPr="00B579B3">
        <w:rPr>
          <w:rFonts w:asciiTheme="minorHAnsi" w:hAnsiTheme="minorHAnsi" w:cstheme="minorHAnsi"/>
          <w:sz w:val="22"/>
        </w:rPr>
        <w:t>300.320, the IEP content requirement for transition services begins</w:t>
      </w:r>
      <w:r w:rsidRPr="00B579B3">
        <w:rPr>
          <w:rFonts w:asciiTheme="minorHAnsi" w:hAnsiTheme="minorHAnsi" w:cstheme="minorHAnsi"/>
          <w:b/>
          <w:sz w:val="22"/>
        </w:rPr>
        <w:t xml:space="preserve"> </w:t>
      </w:r>
      <w:r w:rsidRPr="00B579B3">
        <w:rPr>
          <w:rFonts w:asciiTheme="minorHAnsi" w:hAnsiTheme="minorHAnsi" w:cstheme="minorHAnsi"/>
          <w:sz w:val="22"/>
        </w:rPr>
        <w:t xml:space="preserve">with the first IEP developed when the child is age 15, but no later than the end of 9th grade, or earlier if deemed appropriate by the IEP Team, and updated annually, thereafter. </w:t>
      </w:r>
    </w:p>
    <w:p w:rsidR="00057CBD" w:rsidRPr="00B579B3" w:rsidRDefault="00057CBD" w:rsidP="00E90A08">
      <w:pPr>
        <w:autoSpaceDE w:val="0"/>
        <w:autoSpaceDN w:val="0"/>
        <w:adjustRightInd w:val="0"/>
        <w:spacing w:after="0"/>
        <w:rPr>
          <w:rFonts w:cstheme="minorHAnsi"/>
          <w:b/>
          <w:bCs/>
          <w:szCs w:val="24"/>
        </w:rPr>
      </w:pPr>
    </w:p>
    <w:p w:rsidR="00D345A4" w:rsidRPr="00B579B3" w:rsidRDefault="00D345A4" w:rsidP="00E90A08">
      <w:pPr>
        <w:autoSpaceDE w:val="0"/>
        <w:autoSpaceDN w:val="0"/>
        <w:adjustRightInd w:val="0"/>
        <w:spacing w:after="0"/>
        <w:rPr>
          <w:rFonts w:cstheme="minorHAnsi"/>
          <w:b/>
          <w:bCs/>
          <w:szCs w:val="24"/>
        </w:rPr>
      </w:pPr>
      <w:r w:rsidRPr="00B579B3">
        <w:rPr>
          <w:rFonts w:cstheme="minorHAnsi"/>
          <w:b/>
          <w:bCs/>
          <w:szCs w:val="24"/>
        </w:rPr>
        <w:t>§ 300.43 Transition services.</w:t>
      </w:r>
    </w:p>
    <w:p w:rsidR="00D345A4" w:rsidRPr="00B579B3" w:rsidRDefault="00D345A4" w:rsidP="00E90A08">
      <w:pPr>
        <w:autoSpaceDE w:val="0"/>
        <w:autoSpaceDN w:val="0"/>
        <w:adjustRightInd w:val="0"/>
        <w:spacing w:after="0"/>
        <w:rPr>
          <w:rFonts w:cstheme="minorHAnsi"/>
          <w:szCs w:val="24"/>
        </w:rPr>
      </w:pPr>
      <w:r w:rsidRPr="00B579B3">
        <w:rPr>
          <w:rFonts w:cstheme="minorHAnsi"/>
          <w:szCs w:val="24"/>
        </w:rPr>
        <w:t xml:space="preserve">(a) </w:t>
      </w:r>
      <w:r w:rsidRPr="00B579B3">
        <w:rPr>
          <w:rFonts w:cstheme="minorHAnsi"/>
          <w:i/>
          <w:iCs/>
          <w:szCs w:val="24"/>
        </w:rPr>
        <w:t xml:space="preserve">Transition services </w:t>
      </w:r>
      <w:r w:rsidRPr="00B579B3">
        <w:rPr>
          <w:rFonts w:cstheme="minorHAnsi"/>
          <w:szCs w:val="24"/>
        </w:rPr>
        <w:t>means a coordinated set of activities for a child with a disability that—</w:t>
      </w:r>
    </w:p>
    <w:p w:rsidR="00D345A4" w:rsidRPr="00B579B3" w:rsidRDefault="00D345A4" w:rsidP="00E90A08">
      <w:pPr>
        <w:autoSpaceDE w:val="0"/>
        <w:autoSpaceDN w:val="0"/>
        <w:adjustRightInd w:val="0"/>
        <w:spacing w:after="0"/>
        <w:rPr>
          <w:rFonts w:cstheme="minorHAnsi"/>
          <w:szCs w:val="24"/>
        </w:rPr>
      </w:pPr>
      <w:r w:rsidRPr="00B579B3">
        <w:rPr>
          <w:rFonts w:cstheme="minorHAnsi"/>
          <w:szCs w:val="24"/>
        </w:rPr>
        <w:t xml:space="preserve">(1) Is designed to be within a results oriented process, that is focused on improving the academic and functional achievement of the child with a disability to facilitate the child’s movement from school to post-school activities, including postsecondary education, vocational education, integrated employment (including supported employment), continuing and adult education, adult services, independent living, or community participation; </w:t>
      </w:r>
    </w:p>
    <w:p w:rsidR="00D345A4" w:rsidRPr="00B579B3" w:rsidRDefault="00D345A4" w:rsidP="00E90A08">
      <w:pPr>
        <w:autoSpaceDE w:val="0"/>
        <w:autoSpaceDN w:val="0"/>
        <w:adjustRightInd w:val="0"/>
        <w:spacing w:after="0"/>
        <w:rPr>
          <w:rFonts w:cstheme="minorHAnsi"/>
          <w:szCs w:val="24"/>
        </w:rPr>
      </w:pPr>
      <w:r w:rsidRPr="00B579B3">
        <w:rPr>
          <w:rFonts w:cstheme="minorHAnsi"/>
          <w:szCs w:val="24"/>
        </w:rPr>
        <w:t>(2) Is based on the individual child’s</w:t>
      </w:r>
      <w:r w:rsidR="008F2020" w:rsidRPr="00B579B3">
        <w:rPr>
          <w:rFonts w:cstheme="minorHAnsi"/>
          <w:szCs w:val="24"/>
        </w:rPr>
        <w:t xml:space="preserve"> </w:t>
      </w:r>
      <w:r w:rsidRPr="00B579B3">
        <w:rPr>
          <w:rFonts w:cstheme="minorHAnsi"/>
          <w:szCs w:val="24"/>
        </w:rPr>
        <w:t>needs, taking into account the child’s</w:t>
      </w:r>
      <w:r w:rsidR="008F2020" w:rsidRPr="00B579B3">
        <w:rPr>
          <w:rFonts w:cstheme="minorHAnsi"/>
          <w:szCs w:val="24"/>
        </w:rPr>
        <w:t xml:space="preserve"> </w:t>
      </w:r>
      <w:r w:rsidRPr="00B579B3">
        <w:rPr>
          <w:rFonts w:cstheme="minorHAnsi"/>
          <w:szCs w:val="24"/>
        </w:rPr>
        <w:t>strengths, preferences, and interests;</w:t>
      </w:r>
      <w:r w:rsidR="008F2020" w:rsidRPr="00B579B3">
        <w:rPr>
          <w:rFonts w:cstheme="minorHAnsi"/>
          <w:szCs w:val="24"/>
        </w:rPr>
        <w:t xml:space="preserve"> </w:t>
      </w:r>
      <w:r w:rsidRPr="00B579B3">
        <w:rPr>
          <w:rFonts w:cstheme="minorHAnsi"/>
          <w:szCs w:val="24"/>
        </w:rPr>
        <w:t>and includes—</w:t>
      </w:r>
    </w:p>
    <w:p w:rsidR="00D345A4" w:rsidRPr="00B579B3" w:rsidRDefault="00D345A4" w:rsidP="00E90A08">
      <w:pPr>
        <w:autoSpaceDE w:val="0"/>
        <w:autoSpaceDN w:val="0"/>
        <w:adjustRightInd w:val="0"/>
        <w:spacing w:after="0"/>
        <w:rPr>
          <w:rFonts w:cstheme="minorHAnsi"/>
          <w:szCs w:val="24"/>
        </w:rPr>
      </w:pPr>
      <w:r w:rsidRPr="00B579B3">
        <w:rPr>
          <w:rFonts w:cstheme="minorHAnsi"/>
          <w:szCs w:val="24"/>
        </w:rPr>
        <w:t>(</w:t>
      </w:r>
      <w:proofErr w:type="spellStart"/>
      <w:r w:rsidRPr="00B579B3">
        <w:rPr>
          <w:rFonts w:cstheme="minorHAnsi"/>
          <w:szCs w:val="24"/>
        </w:rPr>
        <w:t>i</w:t>
      </w:r>
      <w:proofErr w:type="spellEnd"/>
      <w:r w:rsidRPr="00B579B3">
        <w:rPr>
          <w:rFonts w:cstheme="minorHAnsi"/>
          <w:szCs w:val="24"/>
        </w:rPr>
        <w:t>) Instruction;</w:t>
      </w:r>
    </w:p>
    <w:p w:rsidR="00D345A4" w:rsidRPr="00B579B3" w:rsidRDefault="00D345A4" w:rsidP="00E90A08">
      <w:pPr>
        <w:autoSpaceDE w:val="0"/>
        <w:autoSpaceDN w:val="0"/>
        <w:adjustRightInd w:val="0"/>
        <w:spacing w:after="0"/>
        <w:rPr>
          <w:rFonts w:cstheme="minorHAnsi"/>
          <w:szCs w:val="24"/>
        </w:rPr>
      </w:pPr>
      <w:r w:rsidRPr="00B579B3">
        <w:rPr>
          <w:rFonts w:cstheme="minorHAnsi"/>
          <w:szCs w:val="24"/>
        </w:rPr>
        <w:t>(ii) Related services;</w:t>
      </w:r>
    </w:p>
    <w:p w:rsidR="00D345A4" w:rsidRPr="00B579B3" w:rsidRDefault="00D345A4" w:rsidP="00E90A08">
      <w:pPr>
        <w:autoSpaceDE w:val="0"/>
        <w:autoSpaceDN w:val="0"/>
        <w:adjustRightInd w:val="0"/>
        <w:spacing w:after="0"/>
        <w:rPr>
          <w:rFonts w:cstheme="minorHAnsi"/>
          <w:szCs w:val="24"/>
        </w:rPr>
      </w:pPr>
      <w:r w:rsidRPr="00B579B3">
        <w:rPr>
          <w:rFonts w:cstheme="minorHAnsi"/>
          <w:szCs w:val="24"/>
        </w:rPr>
        <w:t>(iii) Community experiences;</w:t>
      </w:r>
    </w:p>
    <w:p w:rsidR="00D345A4" w:rsidRPr="00B579B3" w:rsidRDefault="00D345A4" w:rsidP="00E90A08">
      <w:pPr>
        <w:autoSpaceDE w:val="0"/>
        <w:autoSpaceDN w:val="0"/>
        <w:adjustRightInd w:val="0"/>
        <w:spacing w:after="0"/>
        <w:rPr>
          <w:rFonts w:cstheme="minorHAnsi"/>
          <w:szCs w:val="24"/>
        </w:rPr>
      </w:pPr>
      <w:r w:rsidRPr="00B579B3">
        <w:rPr>
          <w:rFonts w:cstheme="minorHAnsi"/>
          <w:szCs w:val="24"/>
        </w:rPr>
        <w:t>(iv) The development of employment</w:t>
      </w:r>
      <w:r w:rsidR="008F2020" w:rsidRPr="00B579B3">
        <w:rPr>
          <w:rFonts w:cstheme="minorHAnsi"/>
          <w:szCs w:val="24"/>
        </w:rPr>
        <w:t xml:space="preserve"> </w:t>
      </w:r>
      <w:r w:rsidRPr="00B579B3">
        <w:rPr>
          <w:rFonts w:cstheme="minorHAnsi"/>
          <w:szCs w:val="24"/>
        </w:rPr>
        <w:t>and other post-school adult living</w:t>
      </w:r>
      <w:r w:rsidR="008F2020" w:rsidRPr="00B579B3">
        <w:rPr>
          <w:rFonts w:cstheme="minorHAnsi"/>
          <w:szCs w:val="24"/>
        </w:rPr>
        <w:t xml:space="preserve"> </w:t>
      </w:r>
      <w:r w:rsidRPr="00B579B3">
        <w:rPr>
          <w:rFonts w:cstheme="minorHAnsi"/>
          <w:szCs w:val="24"/>
        </w:rPr>
        <w:t>objectives; and</w:t>
      </w:r>
    </w:p>
    <w:p w:rsidR="00D345A4" w:rsidRPr="00B579B3" w:rsidRDefault="00D345A4" w:rsidP="00E90A08">
      <w:pPr>
        <w:autoSpaceDE w:val="0"/>
        <w:autoSpaceDN w:val="0"/>
        <w:adjustRightInd w:val="0"/>
        <w:spacing w:after="0"/>
        <w:rPr>
          <w:rFonts w:cstheme="minorHAnsi"/>
          <w:szCs w:val="24"/>
        </w:rPr>
      </w:pPr>
      <w:r w:rsidRPr="00B579B3">
        <w:rPr>
          <w:rFonts w:cstheme="minorHAnsi"/>
          <w:szCs w:val="24"/>
        </w:rPr>
        <w:t>(v) If appropriate, acquisition of daily</w:t>
      </w:r>
      <w:r w:rsidR="008F2020" w:rsidRPr="00B579B3">
        <w:rPr>
          <w:rFonts w:cstheme="minorHAnsi"/>
          <w:szCs w:val="24"/>
        </w:rPr>
        <w:t xml:space="preserve"> </w:t>
      </w:r>
      <w:r w:rsidRPr="00B579B3">
        <w:rPr>
          <w:rFonts w:cstheme="minorHAnsi"/>
          <w:szCs w:val="24"/>
        </w:rPr>
        <w:t>living skills and provision of a</w:t>
      </w:r>
      <w:r w:rsidR="008F2020" w:rsidRPr="00B579B3">
        <w:rPr>
          <w:rFonts w:cstheme="minorHAnsi"/>
          <w:szCs w:val="24"/>
        </w:rPr>
        <w:t xml:space="preserve"> </w:t>
      </w:r>
      <w:r w:rsidRPr="00B579B3">
        <w:rPr>
          <w:rFonts w:cstheme="minorHAnsi"/>
          <w:szCs w:val="24"/>
        </w:rPr>
        <w:t>functional vocational evaluation.</w:t>
      </w:r>
    </w:p>
    <w:p w:rsidR="003971D2" w:rsidRPr="00B579B3" w:rsidRDefault="00D345A4" w:rsidP="008F2EFC">
      <w:pPr>
        <w:autoSpaceDE w:val="0"/>
        <w:autoSpaceDN w:val="0"/>
        <w:adjustRightInd w:val="0"/>
        <w:spacing w:after="0"/>
        <w:rPr>
          <w:rFonts w:cstheme="minorHAnsi"/>
          <w:szCs w:val="24"/>
        </w:rPr>
      </w:pPr>
      <w:r w:rsidRPr="00B579B3">
        <w:rPr>
          <w:rFonts w:cstheme="minorHAnsi"/>
          <w:szCs w:val="24"/>
        </w:rPr>
        <w:t xml:space="preserve">(b) </w:t>
      </w:r>
      <w:r w:rsidRPr="00B579B3">
        <w:rPr>
          <w:rFonts w:cstheme="minorHAnsi"/>
          <w:i/>
          <w:iCs/>
          <w:szCs w:val="24"/>
        </w:rPr>
        <w:t xml:space="preserve">Transition services </w:t>
      </w:r>
      <w:r w:rsidRPr="00B579B3">
        <w:rPr>
          <w:rFonts w:cstheme="minorHAnsi"/>
          <w:szCs w:val="24"/>
        </w:rPr>
        <w:t>for children</w:t>
      </w:r>
      <w:r w:rsidR="008F2020" w:rsidRPr="00B579B3">
        <w:rPr>
          <w:rFonts w:cstheme="minorHAnsi"/>
          <w:szCs w:val="24"/>
        </w:rPr>
        <w:t xml:space="preserve"> </w:t>
      </w:r>
      <w:r w:rsidRPr="00B579B3">
        <w:rPr>
          <w:rFonts w:cstheme="minorHAnsi"/>
          <w:szCs w:val="24"/>
        </w:rPr>
        <w:t>with disabilities may be special</w:t>
      </w:r>
      <w:r w:rsidR="008F2020" w:rsidRPr="00B579B3">
        <w:rPr>
          <w:rFonts w:cstheme="minorHAnsi"/>
          <w:szCs w:val="24"/>
        </w:rPr>
        <w:t xml:space="preserve"> </w:t>
      </w:r>
      <w:r w:rsidRPr="00B579B3">
        <w:rPr>
          <w:rFonts w:cstheme="minorHAnsi"/>
          <w:szCs w:val="24"/>
        </w:rPr>
        <w:t>education, if provided as specially</w:t>
      </w:r>
      <w:r w:rsidR="008F2020" w:rsidRPr="00B579B3">
        <w:rPr>
          <w:rFonts w:cstheme="minorHAnsi"/>
          <w:szCs w:val="24"/>
        </w:rPr>
        <w:t xml:space="preserve"> </w:t>
      </w:r>
      <w:r w:rsidRPr="00B579B3">
        <w:rPr>
          <w:rFonts w:cstheme="minorHAnsi"/>
          <w:szCs w:val="24"/>
        </w:rPr>
        <w:t>designed instruction, or a related</w:t>
      </w:r>
      <w:r w:rsidR="008F2020" w:rsidRPr="00B579B3">
        <w:rPr>
          <w:rFonts w:cstheme="minorHAnsi"/>
          <w:szCs w:val="24"/>
        </w:rPr>
        <w:t xml:space="preserve"> </w:t>
      </w:r>
      <w:r w:rsidRPr="00B579B3">
        <w:rPr>
          <w:rFonts w:cstheme="minorHAnsi"/>
          <w:szCs w:val="24"/>
        </w:rPr>
        <w:t>service, if required to assist a child with</w:t>
      </w:r>
      <w:r w:rsidR="008F2020" w:rsidRPr="00B579B3">
        <w:rPr>
          <w:rFonts w:cstheme="minorHAnsi"/>
          <w:szCs w:val="24"/>
        </w:rPr>
        <w:t xml:space="preserve"> </w:t>
      </w:r>
      <w:r w:rsidRPr="00B579B3">
        <w:rPr>
          <w:rFonts w:cstheme="minorHAnsi"/>
          <w:szCs w:val="24"/>
        </w:rPr>
        <w:t>a disability to benefit from special</w:t>
      </w:r>
      <w:r w:rsidR="008F2020" w:rsidRPr="00B579B3">
        <w:rPr>
          <w:rFonts w:cstheme="minorHAnsi"/>
          <w:szCs w:val="24"/>
        </w:rPr>
        <w:t xml:space="preserve"> </w:t>
      </w:r>
      <w:r w:rsidRPr="00B579B3">
        <w:rPr>
          <w:rFonts w:cstheme="minorHAnsi"/>
          <w:szCs w:val="24"/>
        </w:rPr>
        <w:t>education.</w:t>
      </w:r>
    </w:p>
    <w:p w:rsidR="00532E5E" w:rsidRPr="00B579B3" w:rsidRDefault="00532E5E" w:rsidP="00E90A08">
      <w:pPr>
        <w:autoSpaceDE w:val="0"/>
        <w:autoSpaceDN w:val="0"/>
        <w:adjustRightInd w:val="0"/>
        <w:spacing w:after="0"/>
        <w:rPr>
          <w:rFonts w:cstheme="minorHAnsi"/>
          <w:szCs w:val="24"/>
        </w:rPr>
      </w:pPr>
    </w:p>
    <w:p w:rsidR="00656403" w:rsidRPr="00B579B3" w:rsidRDefault="00656403" w:rsidP="00656403">
      <w:pPr>
        <w:pStyle w:val="Default"/>
        <w:spacing w:line="276" w:lineRule="auto"/>
        <w:rPr>
          <w:rFonts w:asciiTheme="minorHAnsi" w:hAnsiTheme="minorHAnsi" w:cstheme="minorHAnsi"/>
          <w:b/>
          <w:sz w:val="22"/>
        </w:rPr>
      </w:pPr>
      <w:r w:rsidRPr="00B579B3">
        <w:rPr>
          <w:rFonts w:asciiTheme="minorHAnsi" w:hAnsiTheme="minorHAnsi" w:cstheme="minorHAnsi"/>
          <w:b/>
          <w:bCs/>
          <w:sz w:val="22"/>
        </w:rPr>
        <w:t xml:space="preserve">§ </w:t>
      </w:r>
      <w:r w:rsidRPr="00B579B3">
        <w:rPr>
          <w:rFonts w:asciiTheme="minorHAnsi" w:hAnsiTheme="minorHAnsi" w:cstheme="minorHAnsi"/>
          <w:b/>
          <w:sz w:val="22"/>
        </w:rPr>
        <w:t>300.321 Transition services participants</w:t>
      </w:r>
    </w:p>
    <w:p w:rsidR="00057CBD" w:rsidRPr="00B579B3" w:rsidRDefault="00656403" w:rsidP="000A17DC">
      <w:pPr>
        <w:pStyle w:val="Default"/>
        <w:spacing w:line="276" w:lineRule="auto"/>
        <w:rPr>
          <w:rFonts w:asciiTheme="minorHAnsi" w:hAnsiTheme="minorHAnsi" w:cstheme="minorHAnsi"/>
          <w:b/>
          <w:bCs/>
          <w:sz w:val="22"/>
        </w:rPr>
      </w:pPr>
      <w:r w:rsidRPr="00B579B3">
        <w:rPr>
          <w:rFonts w:asciiTheme="minorHAnsi" w:hAnsiTheme="minorHAnsi" w:cstheme="minorHAnsi"/>
          <w:sz w:val="22"/>
        </w:rPr>
        <w:t xml:space="preserve">The public agency must invite the child with a disability to attend the child’s IEP Team meeting if a purpose of the meeting will be the consideration of the postsecondary goals for the child and the transition services needed to assist the child in reaching those goals. With the consent of the parents, the public agency must invite a representative of any participating agency that is likely to be responsible for providing or paying for transition services. </w:t>
      </w:r>
      <w:bookmarkStart w:id="0" w:name="_GoBack"/>
      <w:bookmarkEnd w:id="0"/>
    </w:p>
    <w:p w:rsidR="00656403" w:rsidRPr="00B579B3" w:rsidRDefault="00656403" w:rsidP="000A17DC">
      <w:pPr>
        <w:pStyle w:val="Default"/>
        <w:spacing w:line="276" w:lineRule="auto"/>
        <w:rPr>
          <w:rFonts w:asciiTheme="minorHAnsi" w:hAnsiTheme="minorHAnsi" w:cstheme="minorHAnsi"/>
          <w:sz w:val="22"/>
        </w:rPr>
      </w:pPr>
      <w:r w:rsidRPr="00B579B3">
        <w:rPr>
          <w:rFonts w:asciiTheme="minorHAnsi" w:hAnsiTheme="minorHAnsi" w:cstheme="minorHAnsi"/>
          <w:b/>
          <w:bCs/>
          <w:sz w:val="22"/>
        </w:rPr>
        <w:t xml:space="preserve">§ </w:t>
      </w:r>
      <w:r w:rsidRPr="00B579B3">
        <w:rPr>
          <w:rFonts w:asciiTheme="minorHAnsi" w:hAnsiTheme="minorHAnsi" w:cstheme="minorHAnsi"/>
          <w:b/>
          <w:sz w:val="22"/>
        </w:rPr>
        <w:t>300.322 Parent participation</w:t>
      </w:r>
      <w:r w:rsidRPr="00B579B3">
        <w:rPr>
          <w:rFonts w:asciiTheme="minorHAnsi" w:hAnsiTheme="minorHAnsi" w:cstheme="minorHAnsi"/>
          <w:sz w:val="22"/>
        </w:rPr>
        <w:t xml:space="preserve"> </w:t>
      </w:r>
    </w:p>
    <w:p w:rsidR="00656403" w:rsidRPr="00B579B3" w:rsidRDefault="00656403" w:rsidP="000A17DC">
      <w:pPr>
        <w:pStyle w:val="Default"/>
        <w:spacing w:line="276" w:lineRule="auto"/>
        <w:rPr>
          <w:rFonts w:asciiTheme="minorHAnsi" w:hAnsiTheme="minorHAnsi" w:cstheme="minorHAnsi"/>
          <w:sz w:val="22"/>
        </w:rPr>
      </w:pPr>
      <w:r w:rsidRPr="00B579B3">
        <w:rPr>
          <w:rFonts w:asciiTheme="minorHAnsi" w:hAnsiTheme="minorHAnsi" w:cstheme="minorHAnsi"/>
          <w:sz w:val="22"/>
        </w:rPr>
        <w:t xml:space="preserve">The notice must indicate that a purpose of the meeting will be the consideration of the postsecondary goals and transition services </w:t>
      </w:r>
    </w:p>
    <w:p w:rsidR="00656403" w:rsidRPr="00B579B3" w:rsidRDefault="00656403" w:rsidP="000A17DC">
      <w:pPr>
        <w:pStyle w:val="Default"/>
        <w:spacing w:line="276" w:lineRule="auto"/>
        <w:rPr>
          <w:rFonts w:asciiTheme="minorHAnsi" w:hAnsiTheme="minorHAnsi" w:cstheme="minorHAnsi"/>
          <w:b/>
          <w:sz w:val="22"/>
        </w:rPr>
      </w:pPr>
    </w:p>
    <w:p w:rsidR="00656403" w:rsidRPr="00B579B3" w:rsidRDefault="00057CBD" w:rsidP="00044631">
      <w:pPr>
        <w:spacing w:before="60" w:after="60"/>
        <w:rPr>
          <w:rFonts w:cstheme="minorHAnsi"/>
          <w:b/>
        </w:rPr>
      </w:pPr>
      <w:r w:rsidRPr="00B579B3">
        <w:rPr>
          <w:rFonts w:cstheme="minorHAnsi"/>
          <w:b/>
        </w:rPr>
        <w:t>Indicator 13 as defined by the Office of Special Education Programs (OSEP) used in reported of the State Performance Plan/Annual Performance Report (SPP/APR):</w:t>
      </w:r>
    </w:p>
    <w:p w:rsidR="00044631" w:rsidRPr="00057CBD" w:rsidRDefault="00044631" w:rsidP="00044631">
      <w:pPr>
        <w:spacing w:before="60" w:after="60"/>
        <w:rPr>
          <w:rFonts w:cstheme="minorHAnsi"/>
          <w:sz w:val="24"/>
        </w:rPr>
      </w:pPr>
      <w:r w:rsidRPr="00B579B3">
        <w:rPr>
          <w:rFonts w:cstheme="minorHAnsi"/>
          <w:bCs/>
        </w:rPr>
        <w:t>Compliance indicator</w:t>
      </w:r>
      <w:r w:rsidRPr="00B579B3">
        <w:rPr>
          <w:rFonts w:cstheme="minorHAnsi"/>
        </w:rPr>
        <w:t>: Secondary transition: Percent of youth with IEPs aged 16</w:t>
      </w:r>
      <w:r w:rsidR="00057CBD" w:rsidRPr="00B579B3">
        <w:rPr>
          <w:rFonts w:cstheme="minorHAnsi"/>
        </w:rPr>
        <w:t xml:space="preserve"> </w:t>
      </w:r>
      <w:r w:rsidRPr="00B579B3">
        <w:rPr>
          <w:rFonts w:cstheme="minorHAnsi"/>
        </w:rPr>
        <w:t xml:space="preserve">and above </w:t>
      </w:r>
      <w:r w:rsidR="00057CBD" w:rsidRPr="00B579B3">
        <w:rPr>
          <w:rFonts w:cstheme="minorHAnsi"/>
        </w:rPr>
        <w:t xml:space="preserve">(aged 15 and above for Colorado reporting) </w:t>
      </w:r>
      <w:r w:rsidRPr="00B579B3">
        <w:rPr>
          <w:rFonts w:cstheme="minorHAnsi"/>
        </w:rPr>
        <w:t>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services’ needs. There also must be evidence that the student was invited to the IEP Team meeting where transition services are to be discussed and evidence that, if appropriate, a representative of any participating agency was invited to the IEP Team meeting with the prior consent of the parent or student who has reached the age of majority.</w:t>
      </w:r>
    </w:p>
    <w:sectPr w:rsidR="00044631" w:rsidRPr="00057CBD" w:rsidSect="00044631">
      <w:pgSz w:w="12240" w:h="15840"/>
      <w:pgMar w:top="900" w:right="117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A4"/>
    <w:rsid w:val="00044631"/>
    <w:rsid w:val="00057CBD"/>
    <w:rsid w:val="000A17DC"/>
    <w:rsid w:val="00235A53"/>
    <w:rsid w:val="00532E5E"/>
    <w:rsid w:val="005569D5"/>
    <w:rsid w:val="0057756C"/>
    <w:rsid w:val="00656403"/>
    <w:rsid w:val="007342E3"/>
    <w:rsid w:val="00857549"/>
    <w:rsid w:val="008E1A2D"/>
    <w:rsid w:val="008F2020"/>
    <w:rsid w:val="008F2EFC"/>
    <w:rsid w:val="009962DF"/>
    <w:rsid w:val="00A6347C"/>
    <w:rsid w:val="00B146C7"/>
    <w:rsid w:val="00B579B3"/>
    <w:rsid w:val="00BF4D6A"/>
    <w:rsid w:val="00C02BFA"/>
    <w:rsid w:val="00C11286"/>
    <w:rsid w:val="00D345A4"/>
    <w:rsid w:val="00D46821"/>
    <w:rsid w:val="00E90A08"/>
    <w:rsid w:val="00F02C21"/>
    <w:rsid w:val="00FD2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176A25-26B6-484D-9840-84FED3C0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E5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8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7D6AE-B139-4B51-816B-7ACB570C1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GX52L12</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Howell, Gloria</dc:creator>
  <cp:lastModifiedBy>Lott, Gail</cp:lastModifiedBy>
  <cp:revision>2</cp:revision>
  <dcterms:created xsi:type="dcterms:W3CDTF">2020-03-25T15:34:00Z</dcterms:created>
  <dcterms:modified xsi:type="dcterms:W3CDTF">2020-03-25T15:34:00Z</dcterms:modified>
</cp:coreProperties>
</file>