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212C" w14:textId="41AC5D4E" w:rsidR="00884765" w:rsidRDefault="008400ED" w:rsidP="00766870">
      <w:pPr>
        <w:pStyle w:val="Title"/>
      </w:pPr>
      <w:permStart w:id="384903190" w:edGrp="everyone"/>
      <w:permEnd w:id="384903190"/>
      <w:r>
        <w:t xml:space="preserve">Summary of 2022-23 </w:t>
      </w:r>
      <w:r w:rsidR="005F0982">
        <w:t xml:space="preserve">graduation and completion </w:t>
      </w:r>
      <w:r w:rsidR="00C93932">
        <w:t>data</w:t>
      </w:r>
      <w:r>
        <w:t xml:space="preserve"> release</w:t>
      </w:r>
    </w:p>
    <w:p w14:paraId="0F0260FA" w14:textId="16FFC040" w:rsidR="0087461D" w:rsidRPr="00F452A0" w:rsidRDefault="005F0982" w:rsidP="002B11A6">
      <w:pPr>
        <w:pStyle w:val="Heading1"/>
        <w:ind w:right="3060"/>
      </w:pPr>
      <w:r>
        <w:t>Graduation</w:t>
      </w:r>
      <w:r w:rsidR="0087461D" w:rsidRPr="00F452A0">
        <w:t xml:space="preserve"> </w:t>
      </w:r>
      <w:r w:rsidR="00016357">
        <w:t>rate</w:t>
      </w:r>
      <w:r>
        <w:t>s</w:t>
      </w:r>
      <w:r w:rsidR="00016357">
        <w:t xml:space="preserve"> </w:t>
      </w:r>
      <w:r w:rsidR="00185832">
        <w:t>improved in 2022-23</w:t>
      </w:r>
    </w:p>
    <w:p w14:paraId="2CC10A82" w14:textId="7E1A8FA7" w:rsidR="005E1436" w:rsidRDefault="00D964BC" w:rsidP="00E73EC7">
      <w:pPr>
        <w:spacing w:after="240"/>
        <w:ind w:right="3060"/>
        <w:rPr>
          <w:rFonts w:eastAsia="Calibri" w:cs="Calibri"/>
          <w:color w:val="000000"/>
        </w:rPr>
      </w:pPr>
      <w:r>
        <w:rPr>
          <w:rFonts w:eastAsia="Calibri" w:cs="Calibri"/>
          <w:color w:val="000000"/>
        </w:rPr>
        <w:t xml:space="preserve">Overall, </w:t>
      </w:r>
      <w:r w:rsidR="005F0982">
        <w:rPr>
          <w:rFonts w:eastAsia="Calibri" w:cs="Calibri"/>
          <w:color w:val="000000"/>
        </w:rPr>
        <w:t>graduation</w:t>
      </w:r>
      <w:r>
        <w:rPr>
          <w:rFonts w:eastAsia="Calibri" w:cs="Calibri"/>
          <w:color w:val="000000"/>
        </w:rPr>
        <w:t xml:space="preserve"> rates in 2022-23 improved in comparison to 2021-22.  </w:t>
      </w:r>
      <w:r w:rsidR="00630F54">
        <w:rPr>
          <w:rFonts w:eastAsia="Calibri" w:cs="Calibri"/>
          <w:color w:val="000000"/>
        </w:rPr>
        <w:br/>
      </w:r>
      <w:r w:rsidR="00C66C0E" w:rsidRPr="00952669">
        <w:rPr>
          <w:rFonts w:eastAsia="Calibri" w:cs="Calibri"/>
          <w:color w:val="000000"/>
        </w:rPr>
        <w:t xml:space="preserve">About </w:t>
      </w:r>
      <w:r w:rsidR="00C66C0E">
        <w:rPr>
          <w:rFonts w:eastAsia="Calibri" w:cs="Calibri"/>
          <w:color w:val="000000"/>
        </w:rPr>
        <w:t>65</w:t>
      </w:r>
      <w:r w:rsidR="00C66C0E" w:rsidRPr="00952669">
        <w:rPr>
          <w:rFonts w:eastAsia="Calibri" w:cs="Calibri"/>
          <w:color w:val="000000"/>
        </w:rPr>
        <w:t xml:space="preserve">% of districts had </w:t>
      </w:r>
      <w:r w:rsidR="00C66C0E">
        <w:rPr>
          <w:rFonts w:eastAsia="Calibri" w:cs="Calibri"/>
          <w:color w:val="000000"/>
        </w:rPr>
        <w:t>graduation</w:t>
      </w:r>
      <w:r w:rsidR="00C66C0E" w:rsidRPr="00952669">
        <w:rPr>
          <w:rFonts w:eastAsia="Calibri" w:cs="Calibri"/>
          <w:color w:val="000000"/>
        </w:rPr>
        <w:t xml:space="preserve"> rates that were the same or better </w:t>
      </w:r>
      <w:r w:rsidR="00C66C0E">
        <w:rPr>
          <w:rFonts w:eastAsia="Calibri" w:cs="Calibri"/>
          <w:color w:val="000000"/>
        </w:rPr>
        <w:t xml:space="preserve">than the prior year </w:t>
      </w:r>
      <w:r w:rsidR="00C66C0E" w:rsidRPr="00952669">
        <w:rPr>
          <w:rFonts w:eastAsia="Calibri" w:cs="Calibri"/>
          <w:color w:val="000000"/>
        </w:rPr>
        <w:t>(</w:t>
      </w:r>
      <w:r w:rsidR="00C66C0E">
        <w:rPr>
          <w:rFonts w:eastAsia="Calibri" w:cs="Calibri"/>
          <w:color w:val="000000"/>
        </w:rPr>
        <w:t>120</w:t>
      </w:r>
      <w:r w:rsidR="00C66C0E" w:rsidRPr="00952669">
        <w:rPr>
          <w:rFonts w:eastAsia="Calibri" w:cs="Calibri"/>
          <w:color w:val="000000"/>
        </w:rPr>
        <w:t xml:space="preserve"> of the 185 local education agencies or BOCES).</w:t>
      </w:r>
    </w:p>
    <w:p w14:paraId="08A6D407" w14:textId="7A91F6C9" w:rsidR="00B07E3F" w:rsidRDefault="004025CB" w:rsidP="00B07E3F">
      <w:pPr>
        <w:ind w:right="3060"/>
        <w:rPr>
          <w:rFonts w:eastAsia="Calibri" w:cs="Calibri"/>
          <w:color w:val="000000"/>
        </w:rPr>
      </w:pPr>
      <w:r w:rsidRPr="004025CB">
        <w:rPr>
          <w:rFonts w:eastAsia="Calibri" w:cs="Calibri"/>
          <w:noProof/>
          <w:color w:val="000000"/>
        </w:rPr>
        <w:drawing>
          <wp:inline distT="0" distB="0" distL="0" distR="0" wp14:anchorId="4CB563AC" wp14:editId="13328BF9">
            <wp:extent cx="4373880" cy="1280160"/>
            <wp:effectExtent l="0" t="0" r="7620" b="15240"/>
            <wp:docPr id="1247124205" name="Chart 1" descr="State 4-year Graduation Rate trends showing an increase from AYG 2014 with 77.3% to AYG 2023 with 83.1%. ">
              <a:extLst xmlns:a="http://schemas.openxmlformats.org/drawingml/2006/main">
                <a:ext uri="{FF2B5EF4-FFF2-40B4-BE49-F238E27FC236}">
                  <a16:creationId xmlns:a16="http://schemas.microsoft.com/office/drawing/2014/main" id="{DD1D2D14-297C-8757-1F06-8B0BC49EE5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4CE7E7" w14:textId="0FF70454" w:rsidR="006D5688" w:rsidRDefault="0D7F1D09" w:rsidP="00C15373">
      <w:pPr>
        <w:pStyle w:val="Heading2"/>
      </w:pPr>
      <w:r>
        <w:t xml:space="preserve">Extended </w:t>
      </w:r>
      <w:r w:rsidR="004734E4">
        <w:t>g</w:t>
      </w:r>
      <w:r>
        <w:t xml:space="preserve">raduation </w:t>
      </w:r>
      <w:r w:rsidR="004734E4">
        <w:t>r</w:t>
      </w:r>
      <w:r>
        <w:t>ates</w:t>
      </w:r>
    </w:p>
    <w:p w14:paraId="66FEAF1C" w14:textId="6C3668D8" w:rsidR="4A6D5BDC" w:rsidRDefault="6B454CAF" w:rsidP="00AC7F11">
      <w:pPr>
        <w:ind w:right="3060"/>
        <w:rPr>
          <w:rFonts w:eastAsia="Calibri" w:cs="Calibri"/>
          <w:color w:val="000000" w:themeColor="text1"/>
        </w:rPr>
      </w:pPr>
      <w:r w:rsidRPr="7EBDC918">
        <w:rPr>
          <w:rFonts w:eastAsia="Calibri" w:cs="Calibri"/>
          <w:color w:val="000000" w:themeColor="text1"/>
        </w:rPr>
        <w:t xml:space="preserve">Improvements were </w:t>
      </w:r>
      <w:r w:rsidR="1D40E5EB" w:rsidRPr="7EBDC918">
        <w:rPr>
          <w:rFonts w:eastAsia="Calibri" w:cs="Calibri"/>
          <w:color w:val="000000" w:themeColor="text1"/>
        </w:rPr>
        <w:t xml:space="preserve">also </w:t>
      </w:r>
      <w:r w:rsidRPr="7EBDC918">
        <w:rPr>
          <w:rFonts w:eastAsia="Calibri" w:cs="Calibri"/>
          <w:color w:val="000000" w:themeColor="text1"/>
        </w:rPr>
        <w:t xml:space="preserve">evident in </w:t>
      </w:r>
      <w:r w:rsidR="3A931765" w:rsidRPr="7EBDC918">
        <w:rPr>
          <w:rFonts w:eastAsia="Calibri" w:cs="Calibri"/>
          <w:color w:val="000000" w:themeColor="text1"/>
        </w:rPr>
        <w:t>extended graduation rates</w:t>
      </w:r>
      <w:r w:rsidR="74FAECAF" w:rsidRPr="7EBDC918">
        <w:rPr>
          <w:rFonts w:eastAsia="Calibri" w:cs="Calibri"/>
          <w:color w:val="000000" w:themeColor="text1"/>
        </w:rPr>
        <w:t xml:space="preserve">, although not </w:t>
      </w:r>
      <w:r w:rsidR="00245799">
        <w:rPr>
          <w:rFonts w:eastAsia="Calibri" w:cs="Calibri"/>
          <w:color w:val="000000" w:themeColor="text1"/>
        </w:rPr>
        <w:t>for all cohorts</w:t>
      </w:r>
      <w:r w:rsidR="74FAECAF" w:rsidRPr="7EBDC918">
        <w:rPr>
          <w:rFonts w:eastAsia="Calibri" w:cs="Calibri"/>
          <w:color w:val="000000" w:themeColor="text1"/>
        </w:rPr>
        <w:t>. This included:</w:t>
      </w:r>
    </w:p>
    <w:p w14:paraId="5EBEF99E" w14:textId="574FF219" w:rsidR="72F5E3B8" w:rsidRDefault="72F5E3B8" w:rsidP="16DEBB5C">
      <w:pPr>
        <w:pStyle w:val="ListParagraph"/>
        <w:numPr>
          <w:ilvl w:val="0"/>
          <w:numId w:val="2"/>
        </w:numPr>
        <w:spacing w:after="240"/>
        <w:ind w:right="3060"/>
        <w:rPr>
          <w:rFonts w:eastAsia="Calibri" w:cs="Calibri"/>
          <w:color w:val="000000" w:themeColor="text1"/>
          <w:szCs w:val="22"/>
        </w:rPr>
      </w:pPr>
      <w:r w:rsidRPr="16DEBB5C">
        <w:rPr>
          <w:rFonts w:eastAsia="Calibri" w:cs="Calibri"/>
          <w:color w:val="000000" w:themeColor="text1"/>
        </w:rPr>
        <w:t>M</w:t>
      </w:r>
      <w:r w:rsidR="78836018" w:rsidRPr="16DEBB5C">
        <w:rPr>
          <w:rFonts w:eastAsia="Calibri" w:cs="Calibri"/>
          <w:color w:val="000000" w:themeColor="text1"/>
        </w:rPr>
        <w:t xml:space="preserve">ore students graduated in 5, 6, and 7 years in each of the most recent anticipated years of graduation.  </w:t>
      </w:r>
    </w:p>
    <w:p w14:paraId="364E050E" w14:textId="4B40049B" w:rsidR="50D3F240" w:rsidRDefault="50D3F240" w:rsidP="16DEBB5C">
      <w:pPr>
        <w:pStyle w:val="ListParagraph"/>
        <w:numPr>
          <w:ilvl w:val="0"/>
          <w:numId w:val="2"/>
        </w:numPr>
        <w:spacing w:after="240"/>
        <w:ind w:right="3060"/>
        <w:rPr>
          <w:rFonts w:eastAsia="Calibri" w:cs="Calibri"/>
          <w:color w:val="000000" w:themeColor="text1"/>
        </w:rPr>
      </w:pPr>
      <w:r w:rsidRPr="16DEBB5C">
        <w:rPr>
          <w:rFonts w:eastAsia="Calibri" w:cs="Calibri"/>
          <w:color w:val="000000" w:themeColor="text1"/>
        </w:rPr>
        <w:t>Th</w:t>
      </w:r>
      <w:r w:rsidR="3D400DEF" w:rsidRPr="16DEBB5C">
        <w:rPr>
          <w:rFonts w:eastAsia="Calibri" w:cs="Calibri"/>
          <w:color w:val="000000" w:themeColor="text1"/>
        </w:rPr>
        <w:t xml:space="preserve">e most recent </w:t>
      </w:r>
      <w:r w:rsidR="78836018" w:rsidRPr="16DEBB5C">
        <w:rPr>
          <w:rFonts w:eastAsia="Calibri" w:cs="Calibri"/>
          <w:color w:val="000000" w:themeColor="text1"/>
        </w:rPr>
        <w:t>5-year and 7-year extended graduation rates increased</w:t>
      </w:r>
      <w:r w:rsidR="1DF1C0B5" w:rsidRPr="16DEBB5C">
        <w:rPr>
          <w:rFonts w:eastAsia="Calibri" w:cs="Calibri"/>
          <w:color w:val="000000" w:themeColor="text1"/>
        </w:rPr>
        <w:t xml:space="preserve"> </w:t>
      </w:r>
      <w:r w:rsidR="008770E9">
        <w:rPr>
          <w:rFonts w:eastAsia="Calibri" w:cs="Calibri"/>
          <w:color w:val="000000" w:themeColor="text1"/>
        </w:rPr>
        <w:t>compared to</w:t>
      </w:r>
      <w:r w:rsidR="1DF1C0B5" w:rsidRPr="16DEBB5C">
        <w:rPr>
          <w:rFonts w:eastAsia="Calibri" w:cs="Calibri"/>
          <w:color w:val="000000" w:themeColor="text1"/>
        </w:rPr>
        <w:t xml:space="preserve"> the previous year</w:t>
      </w:r>
      <w:r w:rsidR="78836018" w:rsidRPr="16DEBB5C">
        <w:rPr>
          <w:rFonts w:eastAsia="Calibri" w:cs="Calibri"/>
          <w:color w:val="000000" w:themeColor="text1"/>
        </w:rPr>
        <w:t>.</w:t>
      </w:r>
    </w:p>
    <w:p w14:paraId="37D23CAC" w14:textId="066317B3" w:rsidR="23DD6A33" w:rsidRDefault="23DD6A33" w:rsidP="00040435">
      <w:pPr>
        <w:pStyle w:val="ListParagraph"/>
        <w:numPr>
          <w:ilvl w:val="0"/>
          <w:numId w:val="2"/>
        </w:numPr>
        <w:spacing w:after="240"/>
        <w:ind w:right="3060"/>
        <w:rPr>
          <w:rFonts w:eastAsia="Calibri" w:cs="Calibri"/>
          <w:color w:val="000000" w:themeColor="text1"/>
        </w:rPr>
      </w:pPr>
      <w:r w:rsidRPr="16DEBB5C">
        <w:rPr>
          <w:rFonts w:eastAsia="Calibri" w:cs="Calibri"/>
          <w:color w:val="000000" w:themeColor="text1"/>
        </w:rPr>
        <w:t xml:space="preserve">The </w:t>
      </w:r>
      <w:r w:rsidR="00277F79">
        <w:rPr>
          <w:rFonts w:eastAsia="Calibri" w:cs="Calibri"/>
          <w:color w:val="000000" w:themeColor="text1"/>
        </w:rPr>
        <w:t>AYG</w:t>
      </w:r>
      <w:r w:rsidRPr="16DEBB5C">
        <w:rPr>
          <w:rFonts w:eastAsia="Calibri" w:cs="Calibri"/>
          <w:color w:val="000000" w:themeColor="text1"/>
        </w:rPr>
        <w:t xml:space="preserve"> 2021 </w:t>
      </w:r>
      <w:r w:rsidR="00277F79">
        <w:rPr>
          <w:rFonts w:eastAsia="Calibri" w:cs="Calibri"/>
          <w:color w:val="000000" w:themeColor="text1"/>
        </w:rPr>
        <w:t xml:space="preserve">cohort </w:t>
      </w:r>
      <w:r w:rsidRPr="16DEBB5C">
        <w:rPr>
          <w:rFonts w:eastAsia="Calibri" w:cs="Calibri"/>
          <w:color w:val="000000" w:themeColor="text1"/>
        </w:rPr>
        <w:t>continues to have lower extended year graduation rates than other graduating cohorts.</w:t>
      </w:r>
      <w:r w:rsidR="78836018" w:rsidRPr="16DEBB5C">
        <w:rPr>
          <w:rFonts w:eastAsia="Calibri" w:cs="Calibri"/>
          <w:color w:val="000000" w:themeColor="text1"/>
        </w:rPr>
        <w:t xml:space="preserve">  </w:t>
      </w:r>
    </w:p>
    <w:tbl>
      <w:tblPr>
        <w:tblStyle w:val="GridTable3-Accent6"/>
        <w:tblW w:w="0" w:type="auto"/>
        <w:tblLook w:val="04A0" w:firstRow="1" w:lastRow="0" w:firstColumn="1" w:lastColumn="0" w:noHBand="0" w:noVBand="1"/>
      </w:tblPr>
      <w:tblGrid>
        <w:gridCol w:w="1227"/>
        <w:gridCol w:w="1424"/>
        <w:gridCol w:w="1425"/>
        <w:gridCol w:w="1424"/>
        <w:gridCol w:w="1425"/>
      </w:tblGrid>
      <w:tr w:rsidR="00850E62" w14:paraId="68496454" w14:textId="77777777" w:rsidTr="7EBDC918">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1227" w:type="dxa"/>
          </w:tcPr>
          <w:p w14:paraId="27D85007" w14:textId="77777777" w:rsidR="00850E62" w:rsidRDefault="00850E62">
            <w:r>
              <w:t>AYG</w:t>
            </w:r>
          </w:p>
        </w:tc>
        <w:tc>
          <w:tcPr>
            <w:tcW w:w="1424" w:type="dxa"/>
          </w:tcPr>
          <w:p w14:paraId="3082EE97" w14:textId="77777777" w:rsidR="00850E62" w:rsidRDefault="00850E62">
            <w:pPr>
              <w:jc w:val="center"/>
              <w:cnfStyle w:val="100000000000" w:firstRow="1" w:lastRow="0" w:firstColumn="0" w:lastColumn="0" w:oddVBand="0" w:evenVBand="0" w:oddHBand="0" w:evenHBand="0" w:firstRowFirstColumn="0" w:firstRowLastColumn="0" w:lastRowFirstColumn="0" w:lastRowLastColumn="0"/>
            </w:pPr>
            <w:r>
              <w:t>4-year</w:t>
            </w:r>
          </w:p>
        </w:tc>
        <w:tc>
          <w:tcPr>
            <w:tcW w:w="1425" w:type="dxa"/>
          </w:tcPr>
          <w:p w14:paraId="2A07ECBA" w14:textId="77777777" w:rsidR="00850E62" w:rsidRDefault="00850E62">
            <w:pPr>
              <w:jc w:val="center"/>
              <w:cnfStyle w:val="100000000000" w:firstRow="1" w:lastRow="0" w:firstColumn="0" w:lastColumn="0" w:oddVBand="0" w:evenVBand="0" w:oddHBand="0" w:evenHBand="0" w:firstRowFirstColumn="0" w:firstRowLastColumn="0" w:lastRowFirstColumn="0" w:lastRowLastColumn="0"/>
            </w:pPr>
            <w:r>
              <w:t>5-year</w:t>
            </w:r>
          </w:p>
        </w:tc>
        <w:tc>
          <w:tcPr>
            <w:tcW w:w="1424" w:type="dxa"/>
          </w:tcPr>
          <w:p w14:paraId="0D115532" w14:textId="77777777" w:rsidR="00850E62" w:rsidRDefault="00850E62">
            <w:pPr>
              <w:jc w:val="center"/>
              <w:cnfStyle w:val="100000000000" w:firstRow="1" w:lastRow="0" w:firstColumn="0" w:lastColumn="0" w:oddVBand="0" w:evenVBand="0" w:oddHBand="0" w:evenHBand="0" w:firstRowFirstColumn="0" w:firstRowLastColumn="0" w:lastRowFirstColumn="0" w:lastRowLastColumn="0"/>
            </w:pPr>
            <w:r>
              <w:t>6-year</w:t>
            </w:r>
          </w:p>
        </w:tc>
        <w:tc>
          <w:tcPr>
            <w:tcW w:w="1425" w:type="dxa"/>
          </w:tcPr>
          <w:p w14:paraId="6CFE066D" w14:textId="77777777" w:rsidR="00850E62" w:rsidRDefault="00850E62">
            <w:pPr>
              <w:jc w:val="center"/>
              <w:cnfStyle w:val="100000000000" w:firstRow="1" w:lastRow="0" w:firstColumn="0" w:lastColumn="0" w:oddVBand="0" w:evenVBand="0" w:oddHBand="0" w:evenHBand="0" w:firstRowFirstColumn="0" w:firstRowLastColumn="0" w:lastRowFirstColumn="0" w:lastRowLastColumn="0"/>
            </w:pPr>
            <w:r>
              <w:t>7-year</w:t>
            </w:r>
          </w:p>
        </w:tc>
      </w:tr>
      <w:tr w:rsidR="00850E62" w14:paraId="45F3794D" w14:textId="77777777" w:rsidTr="7EBDC9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27" w:type="dxa"/>
          </w:tcPr>
          <w:p w14:paraId="629AD789" w14:textId="77777777" w:rsidR="00850E62" w:rsidRDefault="1D513EAA">
            <w:r>
              <w:t>2022-2023</w:t>
            </w:r>
          </w:p>
        </w:tc>
        <w:tc>
          <w:tcPr>
            <w:tcW w:w="1424" w:type="dxa"/>
            <w:vAlign w:val="center"/>
          </w:tcPr>
          <w:p w14:paraId="694B879F" w14:textId="77777777" w:rsidR="00850E62" w:rsidRDefault="00850E62">
            <w:pPr>
              <w:jc w:val="center"/>
              <w:cnfStyle w:val="000000100000" w:firstRow="0" w:lastRow="0" w:firstColumn="0" w:lastColumn="0" w:oddVBand="0" w:evenVBand="0" w:oddHBand="1" w:evenHBand="0" w:firstRowFirstColumn="0" w:firstRowLastColumn="0" w:lastRowFirstColumn="0" w:lastRowLastColumn="0"/>
            </w:pPr>
            <w:r>
              <w:t>83.1%</w:t>
            </w:r>
          </w:p>
        </w:tc>
        <w:tc>
          <w:tcPr>
            <w:tcW w:w="1425" w:type="dxa"/>
            <w:vAlign w:val="center"/>
          </w:tcPr>
          <w:p w14:paraId="119ECB56" w14:textId="77777777" w:rsidR="00850E62" w:rsidRDefault="00850E62">
            <w:pPr>
              <w:jc w:val="center"/>
              <w:cnfStyle w:val="000000100000" w:firstRow="0" w:lastRow="0" w:firstColumn="0" w:lastColumn="0" w:oddVBand="0" w:evenVBand="0" w:oddHBand="1" w:evenHBand="0" w:firstRowFirstColumn="0" w:firstRowLastColumn="0" w:lastRowFirstColumn="0" w:lastRowLastColumn="0"/>
            </w:pPr>
            <w:r>
              <w:rPr>
                <w:sz w:val="14"/>
                <w:szCs w:val="16"/>
              </w:rPr>
              <w:t>a</w:t>
            </w:r>
            <w:r w:rsidRPr="00985042">
              <w:rPr>
                <w:sz w:val="14"/>
                <w:szCs w:val="16"/>
              </w:rPr>
              <w:t>vailable in 2023-24</w:t>
            </w:r>
          </w:p>
        </w:tc>
        <w:tc>
          <w:tcPr>
            <w:tcW w:w="1424" w:type="dxa"/>
            <w:vAlign w:val="center"/>
          </w:tcPr>
          <w:p w14:paraId="13EB5D4A" w14:textId="77777777" w:rsidR="00850E62" w:rsidRDefault="00850E62">
            <w:pPr>
              <w:jc w:val="center"/>
              <w:cnfStyle w:val="000000100000" w:firstRow="0" w:lastRow="0" w:firstColumn="0" w:lastColumn="0" w:oddVBand="0" w:evenVBand="0" w:oddHBand="1" w:evenHBand="0" w:firstRowFirstColumn="0" w:firstRowLastColumn="0" w:lastRowFirstColumn="0" w:lastRowLastColumn="0"/>
            </w:pPr>
            <w:r>
              <w:rPr>
                <w:sz w:val="14"/>
                <w:szCs w:val="16"/>
              </w:rPr>
              <w:t>a</w:t>
            </w:r>
            <w:r w:rsidRPr="00985042">
              <w:rPr>
                <w:sz w:val="14"/>
                <w:szCs w:val="16"/>
              </w:rPr>
              <w:t xml:space="preserve">vailable in </w:t>
            </w:r>
            <w:r>
              <w:rPr>
                <w:sz w:val="14"/>
                <w:szCs w:val="16"/>
              </w:rPr>
              <w:t>2024-25</w:t>
            </w:r>
          </w:p>
        </w:tc>
        <w:tc>
          <w:tcPr>
            <w:tcW w:w="1425" w:type="dxa"/>
            <w:vAlign w:val="center"/>
          </w:tcPr>
          <w:p w14:paraId="47669874" w14:textId="77777777" w:rsidR="00850E62" w:rsidRDefault="00850E62">
            <w:pPr>
              <w:jc w:val="center"/>
              <w:cnfStyle w:val="000000100000" w:firstRow="0" w:lastRow="0" w:firstColumn="0" w:lastColumn="0" w:oddVBand="0" w:evenVBand="0" w:oddHBand="1" w:evenHBand="0" w:firstRowFirstColumn="0" w:firstRowLastColumn="0" w:lastRowFirstColumn="0" w:lastRowLastColumn="0"/>
            </w:pPr>
            <w:r>
              <w:rPr>
                <w:sz w:val="14"/>
                <w:szCs w:val="16"/>
              </w:rPr>
              <w:t>a</w:t>
            </w:r>
            <w:r w:rsidRPr="00985042">
              <w:rPr>
                <w:sz w:val="14"/>
                <w:szCs w:val="16"/>
              </w:rPr>
              <w:t xml:space="preserve">vailable in </w:t>
            </w:r>
            <w:r>
              <w:rPr>
                <w:sz w:val="14"/>
                <w:szCs w:val="16"/>
              </w:rPr>
              <w:t>2025-26</w:t>
            </w:r>
          </w:p>
        </w:tc>
      </w:tr>
      <w:tr w:rsidR="00850E62" w14:paraId="36FD96BA" w14:textId="77777777" w:rsidTr="7EBDC918">
        <w:trPr>
          <w:trHeight w:val="290"/>
        </w:trPr>
        <w:tc>
          <w:tcPr>
            <w:cnfStyle w:val="001000000000" w:firstRow="0" w:lastRow="0" w:firstColumn="1" w:lastColumn="0" w:oddVBand="0" w:evenVBand="0" w:oddHBand="0" w:evenHBand="0" w:firstRowFirstColumn="0" w:firstRowLastColumn="0" w:lastRowFirstColumn="0" w:lastRowLastColumn="0"/>
            <w:tcW w:w="1227" w:type="dxa"/>
          </w:tcPr>
          <w:p w14:paraId="28814CAD" w14:textId="77777777" w:rsidR="00850E62" w:rsidRDefault="00850E62">
            <w:r>
              <w:t>2021-2022</w:t>
            </w:r>
          </w:p>
        </w:tc>
        <w:tc>
          <w:tcPr>
            <w:tcW w:w="1424" w:type="dxa"/>
            <w:vAlign w:val="center"/>
          </w:tcPr>
          <w:p w14:paraId="03674A30" w14:textId="77777777" w:rsidR="00850E62" w:rsidRDefault="00850E62">
            <w:pPr>
              <w:jc w:val="center"/>
              <w:cnfStyle w:val="000000000000" w:firstRow="0" w:lastRow="0" w:firstColumn="0" w:lastColumn="0" w:oddVBand="0" w:evenVBand="0" w:oddHBand="0" w:evenHBand="0" w:firstRowFirstColumn="0" w:firstRowLastColumn="0" w:lastRowFirstColumn="0" w:lastRowLastColumn="0"/>
            </w:pPr>
            <w:r>
              <w:t>82.3%</w:t>
            </w:r>
          </w:p>
        </w:tc>
        <w:tc>
          <w:tcPr>
            <w:tcW w:w="1425" w:type="dxa"/>
            <w:vAlign w:val="center"/>
          </w:tcPr>
          <w:p w14:paraId="2C95D5E7" w14:textId="77777777" w:rsidR="00850E62" w:rsidRDefault="00850E62">
            <w:pPr>
              <w:jc w:val="center"/>
              <w:cnfStyle w:val="000000000000" w:firstRow="0" w:lastRow="0" w:firstColumn="0" w:lastColumn="0" w:oddVBand="0" w:evenVBand="0" w:oddHBand="0" w:evenHBand="0" w:firstRowFirstColumn="0" w:firstRowLastColumn="0" w:lastRowFirstColumn="0" w:lastRowLastColumn="0"/>
            </w:pPr>
            <w:r>
              <w:t>86.1%</w:t>
            </w:r>
          </w:p>
        </w:tc>
        <w:tc>
          <w:tcPr>
            <w:tcW w:w="1424" w:type="dxa"/>
            <w:vAlign w:val="center"/>
          </w:tcPr>
          <w:p w14:paraId="0B3BB6D1" w14:textId="77777777" w:rsidR="00850E62" w:rsidRDefault="00850E62">
            <w:pPr>
              <w:jc w:val="center"/>
              <w:cnfStyle w:val="000000000000" w:firstRow="0" w:lastRow="0" w:firstColumn="0" w:lastColumn="0" w:oddVBand="0" w:evenVBand="0" w:oddHBand="0" w:evenHBand="0" w:firstRowFirstColumn="0" w:firstRowLastColumn="0" w:lastRowFirstColumn="0" w:lastRowLastColumn="0"/>
            </w:pPr>
            <w:r>
              <w:rPr>
                <w:sz w:val="14"/>
                <w:szCs w:val="16"/>
              </w:rPr>
              <w:t>a</w:t>
            </w:r>
            <w:r w:rsidRPr="00985042">
              <w:rPr>
                <w:sz w:val="14"/>
                <w:szCs w:val="16"/>
              </w:rPr>
              <w:t>vailable in 2023-24</w:t>
            </w:r>
          </w:p>
        </w:tc>
        <w:tc>
          <w:tcPr>
            <w:tcW w:w="1425" w:type="dxa"/>
            <w:vAlign w:val="center"/>
          </w:tcPr>
          <w:p w14:paraId="0CE136BD" w14:textId="77777777" w:rsidR="00850E62" w:rsidRDefault="00850E62">
            <w:pPr>
              <w:jc w:val="center"/>
              <w:cnfStyle w:val="000000000000" w:firstRow="0" w:lastRow="0" w:firstColumn="0" w:lastColumn="0" w:oddVBand="0" w:evenVBand="0" w:oddHBand="0" w:evenHBand="0" w:firstRowFirstColumn="0" w:firstRowLastColumn="0" w:lastRowFirstColumn="0" w:lastRowLastColumn="0"/>
            </w:pPr>
            <w:r>
              <w:rPr>
                <w:sz w:val="14"/>
                <w:szCs w:val="16"/>
              </w:rPr>
              <w:t>a</w:t>
            </w:r>
            <w:r w:rsidRPr="00985042">
              <w:rPr>
                <w:sz w:val="14"/>
                <w:szCs w:val="16"/>
              </w:rPr>
              <w:t xml:space="preserve">vailable in </w:t>
            </w:r>
            <w:r>
              <w:rPr>
                <w:sz w:val="14"/>
                <w:szCs w:val="16"/>
              </w:rPr>
              <w:t>2024-25</w:t>
            </w:r>
          </w:p>
        </w:tc>
      </w:tr>
      <w:tr w:rsidR="00850E62" w14:paraId="3AA12404" w14:textId="77777777" w:rsidTr="7EBDC9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27" w:type="dxa"/>
          </w:tcPr>
          <w:p w14:paraId="398C1B89" w14:textId="77777777" w:rsidR="00850E62" w:rsidRDefault="00850E62">
            <w:r>
              <w:t>2020-2021</w:t>
            </w:r>
          </w:p>
        </w:tc>
        <w:tc>
          <w:tcPr>
            <w:tcW w:w="1424" w:type="dxa"/>
            <w:vAlign w:val="center"/>
          </w:tcPr>
          <w:p w14:paraId="4F0938ED" w14:textId="77777777" w:rsidR="00850E62" w:rsidRDefault="00850E62">
            <w:pPr>
              <w:jc w:val="center"/>
              <w:cnfStyle w:val="000000100000" w:firstRow="0" w:lastRow="0" w:firstColumn="0" w:lastColumn="0" w:oddVBand="0" w:evenVBand="0" w:oddHBand="1" w:evenHBand="0" w:firstRowFirstColumn="0" w:firstRowLastColumn="0" w:lastRowFirstColumn="0" w:lastRowLastColumn="0"/>
            </w:pPr>
            <w:r>
              <w:t>81.7%</w:t>
            </w:r>
          </w:p>
        </w:tc>
        <w:tc>
          <w:tcPr>
            <w:tcW w:w="1425" w:type="dxa"/>
            <w:vAlign w:val="center"/>
          </w:tcPr>
          <w:p w14:paraId="2FD9B3FD" w14:textId="77777777" w:rsidR="00850E62" w:rsidRDefault="00850E62">
            <w:pPr>
              <w:jc w:val="center"/>
              <w:cnfStyle w:val="000000100000" w:firstRow="0" w:lastRow="0" w:firstColumn="0" w:lastColumn="0" w:oddVBand="0" w:evenVBand="0" w:oddHBand="1" w:evenHBand="0" w:firstRowFirstColumn="0" w:firstRowLastColumn="0" w:lastRowFirstColumn="0" w:lastRowLastColumn="0"/>
            </w:pPr>
            <w:r>
              <w:t>85.7%</w:t>
            </w:r>
          </w:p>
        </w:tc>
        <w:tc>
          <w:tcPr>
            <w:tcW w:w="1424" w:type="dxa"/>
            <w:vAlign w:val="center"/>
          </w:tcPr>
          <w:p w14:paraId="4DDACD39" w14:textId="77777777" w:rsidR="00850E62" w:rsidRDefault="00850E62">
            <w:pPr>
              <w:jc w:val="center"/>
              <w:cnfStyle w:val="000000100000" w:firstRow="0" w:lastRow="0" w:firstColumn="0" w:lastColumn="0" w:oddVBand="0" w:evenVBand="0" w:oddHBand="1" w:evenHBand="0" w:firstRowFirstColumn="0" w:firstRowLastColumn="0" w:lastRowFirstColumn="0" w:lastRowLastColumn="0"/>
            </w:pPr>
            <w:r>
              <w:t>86.7%</w:t>
            </w:r>
          </w:p>
        </w:tc>
        <w:tc>
          <w:tcPr>
            <w:tcW w:w="1425" w:type="dxa"/>
            <w:vAlign w:val="center"/>
          </w:tcPr>
          <w:p w14:paraId="5DFFD527" w14:textId="77777777" w:rsidR="00850E62" w:rsidRDefault="00850E62">
            <w:pPr>
              <w:jc w:val="center"/>
              <w:cnfStyle w:val="000000100000" w:firstRow="0" w:lastRow="0" w:firstColumn="0" w:lastColumn="0" w:oddVBand="0" w:evenVBand="0" w:oddHBand="1" w:evenHBand="0" w:firstRowFirstColumn="0" w:firstRowLastColumn="0" w:lastRowFirstColumn="0" w:lastRowLastColumn="0"/>
            </w:pPr>
            <w:r>
              <w:rPr>
                <w:sz w:val="14"/>
                <w:szCs w:val="16"/>
              </w:rPr>
              <w:t>a</w:t>
            </w:r>
            <w:r w:rsidRPr="00985042">
              <w:rPr>
                <w:sz w:val="14"/>
                <w:szCs w:val="16"/>
              </w:rPr>
              <w:t>vailable in 2023-24</w:t>
            </w:r>
          </w:p>
        </w:tc>
      </w:tr>
      <w:tr w:rsidR="00850E62" w14:paraId="606FF1F7" w14:textId="77777777" w:rsidTr="7EBDC918">
        <w:trPr>
          <w:trHeight w:val="139"/>
        </w:trPr>
        <w:tc>
          <w:tcPr>
            <w:cnfStyle w:val="001000000000" w:firstRow="0" w:lastRow="0" w:firstColumn="1" w:lastColumn="0" w:oddVBand="0" w:evenVBand="0" w:oddHBand="0" w:evenHBand="0" w:firstRowFirstColumn="0" w:firstRowLastColumn="0" w:lastRowFirstColumn="0" w:lastRowLastColumn="0"/>
            <w:tcW w:w="1227" w:type="dxa"/>
          </w:tcPr>
          <w:p w14:paraId="52EF880A" w14:textId="77777777" w:rsidR="00850E62" w:rsidRDefault="00850E62">
            <w:r>
              <w:t>2019-2020</w:t>
            </w:r>
          </w:p>
        </w:tc>
        <w:tc>
          <w:tcPr>
            <w:tcW w:w="1424" w:type="dxa"/>
            <w:vAlign w:val="center"/>
          </w:tcPr>
          <w:p w14:paraId="4A42D8A0" w14:textId="77777777" w:rsidR="00850E62" w:rsidRDefault="00850E62">
            <w:pPr>
              <w:jc w:val="center"/>
              <w:cnfStyle w:val="000000000000" w:firstRow="0" w:lastRow="0" w:firstColumn="0" w:lastColumn="0" w:oddVBand="0" w:evenVBand="0" w:oddHBand="0" w:evenHBand="0" w:firstRowFirstColumn="0" w:firstRowLastColumn="0" w:lastRowFirstColumn="0" w:lastRowLastColumn="0"/>
            </w:pPr>
            <w:r>
              <w:t>81.9%</w:t>
            </w:r>
          </w:p>
        </w:tc>
        <w:tc>
          <w:tcPr>
            <w:tcW w:w="1425" w:type="dxa"/>
            <w:vAlign w:val="center"/>
          </w:tcPr>
          <w:p w14:paraId="017D48AC" w14:textId="77777777" w:rsidR="00850E62" w:rsidRDefault="00850E62">
            <w:pPr>
              <w:jc w:val="center"/>
              <w:cnfStyle w:val="000000000000" w:firstRow="0" w:lastRow="0" w:firstColumn="0" w:lastColumn="0" w:oddVBand="0" w:evenVBand="0" w:oddHBand="0" w:evenHBand="0" w:firstRowFirstColumn="0" w:firstRowLastColumn="0" w:lastRowFirstColumn="0" w:lastRowLastColumn="0"/>
            </w:pPr>
            <w:r>
              <w:t>86.0%</w:t>
            </w:r>
          </w:p>
        </w:tc>
        <w:tc>
          <w:tcPr>
            <w:tcW w:w="1424" w:type="dxa"/>
            <w:vAlign w:val="center"/>
          </w:tcPr>
          <w:p w14:paraId="3E599A18" w14:textId="77777777" w:rsidR="00850E62" w:rsidRDefault="00850E62">
            <w:pPr>
              <w:jc w:val="center"/>
              <w:cnfStyle w:val="000000000000" w:firstRow="0" w:lastRow="0" w:firstColumn="0" w:lastColumn="0" w:oddVBand="0" w:evenVBand="0" w:oddHBand="0" w:evenHBand="0" w:firstRowFirstColumn="0" w:firstRowLastColumn="0" w:lastRowFirstColumn="0" w:lastRowLastColumn="0"/>
            </w:pPr>
            <w:r>
              <w:t>87.1%</w:t>
            </w:r>
          </w:p>
        </w:tc>
        <w:tc>
          <w:tcPr>
            <w:tcW w:w="1425" w:type="dxa"/>
            <w:vAlign w:val="center"/>
          </w:tcPr>
          <w:p w14:paraId="0E79599F" w14:textId="7B27F2F6" w:rsidR="00850E62" w:rsidRDefault="00850E62">
            <w:pPr>
              <w:jc w:val="center"/>
              <w:cnfStyle w:val="000000000000" w:firstRow="0" w:lastRow="0" w:firstColumn="0" w:lastColumn="0" w:oddVBand="0" w:evenVBand="0" w:oddHBand="0" w:evenHBand="0" w:firstRowFirstColumn="0" w:firstRowLastColumn="0" w:lastRowFirstColumn="0" w:lastRowLastColumn="0"/>
            </w:pPr>
            <w:r>
              <w:t>87.</w:t>
            </w:r>
            <w:r w:rsidR="5288F3F7">
              <w:t>6</w:t>
            </w:r>
            <w:r>
              <w:t>%</w:t>
            </w:r>
          </w:p>
        </w:tc>
      </w:tr>
    </w:tbl>
    <w:p w14:paraId="7F6394C6" w14:textId="77777777" w:rsidR="004B5963" w:rsidRDefault="004B5963" w:rsidP="004B5963">
      <w:pPr>
        <w:pStyle w:val="Heading2"/>
        <w:ind w:right="3060"/>
      </w:pPr>
      <w:r>
        <w:t>Completion rates improved in 2022-23</w:t>
      </w:r>
    </w:p>
    <w:p w14:paraId="23FE7D0D" w14:textId="4031FFAF" w:rsidR="1DC18754" w:rsidRPr="001C3BE7" w:rsidRDefault="1DFE94A8" w:rsidP="00040435">
      <w:pPr>
        <w:spacing w:after="240"/>
        <w:ind w:right="3060"/>
      </w:pPr>
      <w:r>
        <w:t>1,0</w:t>
      </w:r>
      <w:r w:rsidR="1078DA32">
        <w:t>28</w:t>
      </w:r>
      <w:r>
        <w:t xml:space="preserve"> students </w:t>
      </w:r>
      <w:r w:rsidR="46F34888">
        <w:t xml:space="preserve">in the </w:t>
      </w:r>
      <w:r w:rsidR="32E05D43">
        <w:t>AYG</w:t>
      </w:r>
      <w:r w:rsidR="46F34888">
        <w:t xml:space="preserve"> 2023 </w:t>
      </w:r>
      <w:r w:rsidR="32E05D43">
        <w:t xml:space="preserve">cohort </w:t>
      </w:r>
      <w:r w:rsidR="5CCE7489">
        <w:t>complete</w:t>
      </w:r>
      <w:r w:rsidR="25EAA766">
        <w:t>d</w:t>
      </w:r>
      <w:r w:rsidR="5CCE7489">
        <w:t xml:space="preserve"> high school</w:t>
      </w:r>
      <w:r w:rsidR="5C1C8DE8">
        <w:t xml:space="preserve"> by</w:t>
      </w:r>
      <w:r w:rsidR="5CCE7489">
        <w:t xml:space="preserve"> receiving a certificate of high school completion or a High School Equivalency Diploma (HSED) instead of a regular high school diploma</w:t>
      </w:r>
      <w:r w:rsidR="3205E91B">
        <w:t xml:space="preserve">.  </w:t>
      </w:r>
      <w:r w:rsidR="58BB5BA3">
        <w:t>Over the past 10 years, an additional 1.5% to 1.8% students complete high school</w:t>
      </w:r>
      <w:r w:rsidR="156DCB9D">
        <w:t xml:space="preserve"> in each AYG cohort</w:t>
      </w:r>
      <w:r w:rsidR="58BB5BA3">
        <w:t>.  This has remained consistent even</w:t>
      </w:r>
      <w:r w:rsidR="65E56E04">
        <w:t xml:space="preserve"> with the increase in graduation rates</w:t>
      </w:r>
      <w:r w:rsidR="58BB5BA3">
        <w:t>.</w:t>
      </w:r>
    </w:p>
    <w:tbl>
      <w:tblPr>
        <w:tblStyle w:val="GridTable3-Accent6"/>
        <w:tblW w:w="0" w:type="auto"/>
        <w:tblInd w:w="5" w:type="dxa"/>
        <w:tblLook w:val="04A0" w:firstRow="1" w:lastRow="0" w:firstColumn="1" w:lastColumn="0" w:noHBand="0" w:noVBand="1"/>
      </w:tblPr>
      <w:tblGrid>
        <w:gridCol w:w="1227"/>
        <w:gridCol w:w="1424"/>
        <w:gridCol w:w="1425"/>
        <w:gridCol w:w="1424"/>
        <w:gridCol w:w="1425"/>
      </w:tblGrid>
      <w:tr w:rsidR="004F7EBD" w14:paraId="2ADE34D8" w14:textId="77777777">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1227" w:type="dxa"/>
          </w:tcPr>
          <w:p w14:paraId="41857D04" w14:textId="77777777" w:rsidR="004B5963" w:rsidRDefault="004B5963">
            <w:r>
              <w:t>AYG</w:t>
            </w:r>
          </w:p>
        </w:tc>
        <w:tc>
          <w:tcPr>
            <w:tcW w:w="1424" w:type="dxa"/>
          </w:tcPr>
          <w:p w14:paraId="3919E2F6" w14:textId="77777777" w:rsidR="004B5963" w:rsidRDefault="004B5963">
            <w:pPr>
              <w:jc w:val="center"/>
              <w:cnfStyle w:val="100000000000" w:firstRow="1" w:lastRow="0" w:firstColumn="0" w:lastColumn="0" w:oddVBand="0" w:evenVBand="0" w:oddHBand="0" w:evenHBand="0" w:firstRowFirstColumn="0" w:firstRowLastColumn="0" w:lastRowFirstColumn="0" w:lastRowLastColumn="0"/>
            </w:pPr>
            <w:r>
              <w:t>4-year</w:t>
            </w:r>
          </w:p>
        </w:tc>
        <w:tc>
          <w:tcPr>
            <w:tcW w:w="1425" w:type="dxa"/>
          </w:tcPr>
          <w:p w14:paraId="3124CF69" w14:textId="77777777" w:rsidR="004B5963" w:rsidRDefault="004B5963">
            <w:pPr>
              <w:jc w:val="center"/>
              <w:cnfStyle w:val="100000000000" w:firstRow="1" w:lastRow="0" w:firstColumn="0" w:lastColumn="0" w:oddVBand="0" w:evenVBand="0" w:oddHBand="0" w:evenHBand="0" w:firstRowFirstColumn="0" w:firstRowLastColumn="0" w:lastRowFirstColumn="0" w:lastRowLastColumn="0"/>
            </w:pPr>
            <w:r>
              <w:t>5-year</w:t>
            </w:r>
          </w:p>
        </w:tc>
        <w:tc>
          <w:tcPr>
            <w:tcW w:w="1424" w:type="dxa"/>
          </w:tcPr>
          <w:p w14:paraId="6C35B307" w14:textId="77777777" w:rsidR="004B5963" w:rsidRDefault="004B5963">
            <w:pPr>
              <w:jc w:val="center"/>
              <w:cnfStyle w:val="100000000000" w:firstRow="1" w:lastRow="0" w:firstColumn="0" w:lastColumn="0" w:oddVBand="0" w:evenVBand="0" w:oddHBand="0" w:evenHBand="0" w:firstRowFirstColumn="0" w:firstRowLastColumn="0" w:lastRowFirstColumn="0" w:lastRowLastColumn="0"/>
            </w:pPr>
            <w:r>
              <w:t>6-year</w:t>
            </w:r>
          </w:p>
        </w:tc>
        <w:tc>
          <w:tcPr>
            <w:tcW w:w="1425" w:type="dxa"/>
          </w:tcPr>
          <w:p w14:paraId="6322031C" w14:textId="77777777" w:rsidR="004B5963" w:rsidRDefault="004B5963">
            <w:pPr>
              <w:jc w:val="center"/>
              <w:cnfStyle w:val="100000000000" w:firstRow="1" w:lastRow="0" w:firstColumn="0" w:lastColumn="0" w:oddVBand="0" w:evenVBand="0" w:oddHBand="0" w:evenHBand="0" w:firstRowFirstColumn="0" w:firstRowLastColumn="0" w:lastRowFirstColumn="0" w:lastRowLastColumn="0"/>
            </w:pPr>
            <w:r>
              <w:t>7-year</w:t>
            </w:r>
          </w:p>
        </w:tc>
      </w:tr>
      <w:tr w:rsidR="004F7EBD" w14:paraId="59D0884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27" w:type="dxa"/>
          </w:tcPr>
          <w:p w14:paraId="299E1CFC" w14:textId="77777777" w:rsidR="004B5963" w:rsidRDefault="004B5963">
            <w:r>
              <w:t>2022-2023</w:t>
            </w:r>
          </w:p>
        </w:tc>
        <w:tc>
          <w:tcPr>
            <w:tcW w:w="1424" w:type="dxa"/>
            <w:vAlign w:val="center"/>
          </w:tcPr>
          <w:p w14:paraId="31CAB335" w14:textId="77777777" w:rsidR="004B5963" w:rsidRDefault="004B5963">
            <w:pPr>
              <w:jc w:val="center"/>
              <w:cnfStyle w:val="000000100000" w:firstRow="0" w:lastRow="0" w:firstColumn="0" w:lastColumn="0" w:oddVBand="0" w:evenVBand="0" w:oddHBand="1" w:evenHBand="0" w:firstRowFirstColumn="0" w:firstRowLastColumn="0" w:lastRowFirstColumn="0" w:lastRowLastColumn="0"/>
            </w:pPr>
            <w:r>
              <w:t>84.6%</w:t>
            </w:r>
          </w:p>
        </w:tc>
        <w:tc>
          <w:tcPr>
            <w:tcW w:w="1425" w:type="dxa"/>
            <w:vAlign w:val="center"/>
          </w:tcPr>
          <w:p w14:paraId="4849D2EB" w14:textId="77777777" w:rsidR="004B5963" w:rsidRDefault="004B5963">
            <w:pPr>
              <w:jc w:val="center"/>
              <w:cnfStyle w:val="000000100000" w:firstRow="0" w:lastRow="0" w:firstColumn="0" w:lastColumn="0" w:oddVBand="0" w:evenVBand="0" w:oddHBand="1" w:evenHBand="0" w:firstRowFirstColumn="0" w:firstRowLastColumn="0" w:lastRowFirstColumn="0" w:lastRowLastColumn="0"/>
            </w:pPr>
            <w:r>
              <w:rPr>
                <w:sz w:val="14"/>
                <w:szCs w:val="16"/>
              </w:rPr>
              <w:t>a</w:t>
            </w:r>
            <w:r w:rsidRPr="00985042">
              <w:rPr>
                <w:sz w:val="14"/>
                <w:szCs w:val="16"/>
              </w:rPr>
              <w:t>vailable in 2023-24</w:t>
            </w:r>
          </w:p>
        </w:tc>
        <w:tc>
          <w:tcPr>
            <w:tcW w:w="1424" w:type="dxa"/>
            <w:vAlign w:val="center"/>
          </w:tcPr>
          <w:p w14:paraId="532D52F8" w14:textId="77777777" w:rsidR="004B5963" w:rsidRDefault="004B5963">
            <w:pPr>
              <w:jc w:val="center"/>
              <w:cnfStyle w:val="000000100000" w:firstRow="0" w:lastRow="0" w:firstColumn="0" w:lastColumn="0" w:oddVBand="0" w:evenVBand="0" w:oddHBand="1" w:evenHBand="0" w:firstRowFirstColumn="0" w:firstRowLastColumn="0" w:lastRowFirstColumn="0" w:lastRowLastColumn="0"/>
            </w:pPr>
            <w:r>
              <w:rPr>
                <w:sz w:val="14"/>
                <w:szCs w:val="16"/>
              </w:rPr>
              <w:t>a</w:t>
            </w:r>
            <w:r w:rsidRPr="00985042">
              <w:rPr>
                <w:sz w:val="14"/>
                <w:szCs w:val="16"/>
              </w:rPr>
              <w:t xml:space="preserve">vailable in </w:t>
            </w:r>
            <w:r>
              <w:rPr>
                <w:sz w:val="14"/>
                <w:szCs w:val="16"/>
              </w:rPr>
              <w:t>2024-25</w:t>
            </w:r>
          </w:p>
        </w:tc>
        <w:tc>
          <w:tcPr>
            <w:tcW w:w="1425" w:type="dxa"/>
            <w:vAlign w:val="center"/>
          </w:tcPr>
          <w:p w14:paraId="0CD4C685" w14:textId="77777777" w:rsidR="004B5963" w:rsidRDefault="004B5963">
            <w:pPr>
              <w:jc w:val="center"/>
              <w:cnfStyle w:val="000000100000" w:firstRow="0" w:lastRow="0" w:firstColumn="0" w:lastColumn="0" w:oddVBand="0" w:evenVBand="0" w:oddHBand="1" w:evenHBand="0" w:firstRowFirstColumn="0" w:firstRowLastColumn="0" w:lastRowFirstColumn="0" w:lastRowLastColumn="0"/>
            </w:pPr>
            <w:r>
              <w:rPr>
                <w:sz w:val="14"/>
                <w:szCs w:val="16"/>
              </w:rPr>
              <w:t>a</w:t>
            </w:r>
            <w:r w:rsidRPr="00985042">
              <w:rPr>
                <w:sz w:val="14"/>
                <w:szCs w:val="16"/>
              </w:rPr>
              <w:t xml:space="preserve">vailable in </w:t>
            </w:r>
            <w:r>
              <w:rPr>
                <w:sz w:val="14"/>
                <w:szCs w:val="16"/>
              </w:rPr>
              <w:t>2025-26</w:t>
            </w:r>
          </w:p>
        </w:tc>
      </w:tr>
      <w:tr w:rsidR="004B5963" w14:paraId="4C19BFD6" w14:textId="77777777">
        <w:trPr>
          <w:trHeight w:val="290"/>
        </w:trPr>
        <w:tc>
          <w:tcPr>
            <w:cnfStyle w:val="001000000000" w:firstRow="0" w:lastRow="0" w:firstColumn="1" w:lastColumn="0" w:oddVBand="0" w:evenVBand="0" w:oddHBand="0" w:evenHBand="0" w:firstRowFirstColumn="0" w:firstRowLastColumn="0" w:lastRowFirstColumn="0" w:lastRowLastColumn="0"/>
            <w:tcW w:w="1227" w:type="dxa"/>
          </w:tcPr>
          <w:p w14:paraId="3009BD5A" w14:textId="77777777" w:rsidR="004B5963" w:rsidRDefault="004B5963">
            <w:r>
              <w:t>2021-2022</w:t>
            </w:r>
          </w:p>
        </w:tc>
        <w:tc>
          <w:tcPr>
            <w:tcW w:w="1424" w:type="dxa"/>
            <w:vAlign w:val="center"/>
          </w:tcPr>
          <w:p w14:paraId="00B1F533" w14:textId="77777777" w:rsidR="004B5963" w:rsidRDefault="004B5963">
            <w:pPr>
              <w:jc w:val="center"/>
              <w:cnfStyle w:val="000000000000" w:firstRow="0" w:lastRow="0" w:firstColumn="0" w:lastColumn="0" w:oddVBand="0" w:evenVBand="0" w:oddHBand="0" w:evenHBand="0" w:firstRowFirstColumn="0" w:firstRowLastColumn="0" w:lastRowFirstColumn="0" w:lastRowLastColumn="0"/>
            </w:pPr>
            <w:r>
              <w:t>84.1%</w:t>
            </w:r>
          </w:p>
        </w:tc>
        <w:tc>
          <w:tcPr>
            <w:tcW w:w="1425" w:type="dxa"/>
            <w:vAlign w:val="center"/>
          </w:tcPr>
          <w:p w14:paraId="46184E4A" w14:textId="77777777" w:rsidR="004B5963" w:rsidRDefault="004B5963">
            <w:pPr>
              <w:jc w:val="center"/>
              <w:cnfStyle w:val="000000000000" w:firstRow="0" w:lastRow="0" w:firstColumn="0" w:lastColumn="0" w:oddVBand="0" w:evenVBand="0" w:oddHBand="0" w:evenHBand="0" w:firstRowFirstColumn="0" w:firstRowLastColumn="0" w:lastRowFirstColumn="0" w:lastRowLastColumn="0"/>
            </w:pPr>
            <w:r>
              <w:t>88.3%</w:t>
            </w:r>
          </w:p>
        </w:tc>
        <w:tc>
          <w:tcPr>
            <w:tcW w:w="1424" w:type="dxa"/>
            <w:vAlign w:val="center"/>
          </w:tcPr>
          <w:p w14:paraId="2D803F88" w14:textId="77777777" w:rsidR="004B5963" w:rsidRDefault="004B5963">
            <w:pPr>
              <w:jc w:val="center"/>
              <w:cnfStyle w:val="000000000000" w:firstRow="0" w:lastRow="0" w:firstColumn="0" w:lastColumn="0" w:oddVBand="0" w:evenVBand="0" w:oddHBand="0" w:evenHBand="0" w:firstRowFirstColumn="0" w:firstRowLastColumn="0" w:lastRowFirstColumn="0" w:lastRowLastColumn="0"/>
            </w:pPr>
            <w:r>
              <w:rPr>
                <w:sz w:val="14"/>
                <w:szCs w:val="16"/>
              </w:rPr>
              <w:t>a</w:t>
            </w:r>
            <w:r w:rsidRPr="00985042">
              <w:rPr>
                <w:sz w:val="14"/>
                <w:szCs w:val="16"/>
              </w:rPr>
              <w:t>vailable in 2023-24</w:t>
            </w:r>
          </w:p>
        </w:tc>
        <w:tc>
          <w:tcPr>
            <w:tcW w:w="1425" w:type="dxa"/>
            <w:vAlign w:val="center"/>
          </w:tcPr>
          <w:p w14:paraId="2C1210C2" w14:textId="77777777" w:rsidR="004B5963" w:rsidRDefault="004B5963">
            <w:pPr>
              <w:jc w:val="center"/>
              <w:cnfStyle w:val="000000000000" w:firstRow="0" w:lastRow="0" w:firstColumn="0" w:lastColumn="0" w:oddVBand="0" w:evenVBand="0" w:oddHBand="0" w:evenHBand="0" w:firstRowFirstColumn="0" w:firstRowLastColumn="0" w:lastRowFirstColumn="0" w:lastRowLastColumn="0"/>
            </w:pPr>
            <w:r>
              <w:rPr>
                <w:sz w:val="14"/>
                <w:szCs w:val="16"/>
              </w:rPr>
              <w:t>a</w:t>
            </w:r>
            <w:r w:rsidRPr="00985042">
              <w:rPr>
                <w:sz w:val="14"/>
                <w:szCs w:val="16"/>
              </w:rPr>
              <w:t xml:space="preserve">vailable in </w:t>
            </w:r>
            <w:r>
              <w:rPr>
                <w:sz w:val="14"/>
                <w:szCs w:val="16"/>
              </w:rPr>
              <w:t>2024-25</w:t>
            </w:r>
          </w:p>
        </w:tc>
      </w:tr>
      <w:tr w:rsidR="004F7EBD" w14:paraId="7E3C836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27" w:type="dxa"/>
          </w:tcPr>
          <w:p w14:paraId="12E15B06" w14:textId="77777777" w:rsidR="004B5963" w:rsidRDefault="004B5963">
            <w:r>
              <w:t>2020-2021</w:t>
            </w:r>
          </w:p>
        </w:tc>
        <w:tc>
          <w:tcPr>
            <w:tcW w:w="1424" w:type="dxa"/>
            <w:vAlign w:val="center"/>
          </w:tcPr>
          <w:p w14:paraId="6A6DA655" w14:textId="77777777" w:rsidR="004B5963" w:rsidRDefault="004B5963">
            <w:pPr>
              <w:jc w:val="center"/>
              <w:cnfStyle w:val="000000100000" w:firstRow="0" w:lastRow="0" w:firstColumn="0" w:lastColumn="0" w:oddVBand="0" w:evenVBand="0" w:oddHBand="1" w:evenHBand="0" w:firstRowFirstColumn="0" w:firstRowLastColumn="0" w:lastRowFirstColumn="0" w:lastRowLastColumn="0"/>
            </w:pPr>
            <w:r>
              <w:t>83.2%</w:t>
            </w:r>
          </w:p>
        </w:tc>
        <w:tc>
          <w:tcPr>
            <w:tcW w:w="1425" w:type="dxa"/>
            <w:vAlign w:val="center"/>
          </w:tcPr>
          <w:p w14:paraId="0B92EAB7" w14:textId="77777777" w:rsidR="004B5963" w:rsidRDefault="004B5963">
            <w:pPr>
              <w:jc w:val="center"/>
              <w:cnfStyle w:val="000000100000" w:firstRow="0" w:lastRow="0" w:firstColumn="0" w:lastColumn="0" w:oddVBand="0" w:evenVBand="0" w:oddHBand="1" w:evenHBand="0" w:firstRowFirstColumn="0" w:firstRowLastColumn="0" w:lastRowFirstColumn="0" w:lastRowLastColumn="0"/>
            </w:pPr>
            <w:r>
              <w:t>87.7%</w:t>
            </w:r>
          </w:p>
        </w:tc>
        <w:tc>
          <w:tcPr>
            <w:tcW w:w="1424" w:type="dxa"/>
            <w:vAlign w:val="center"/>
          </w:tcPr>
          <w:p w14:paraId="1E432E2C" w14:textId="77777777" w:rsidR="004B5963" w:rsidRDefault="004B5963">
            <w:pPr>
              <w:jc w:val="center"/>
              <w:cnfStyle w:val="000000100000" w:firstRow="0" w:lastRow="0" w:firstColumn="0" w:lastColumn="0" w:oddVBand="0" w:evenVBand="0" w:oddHBand="1" w:evenHBand="0" w:firstRowFirstColumn="0" w:firstRowLastColumn="0" w:lastRowFirstColumn="0" w:lastRowLastColumn="0"/>
            </w:pPr>
            <w:r>
              <w:t>88.9%</w:t>
            </w:r>
          </w:p>
        </w:tc>
        <w:tc>
          <w:tcPr>
            <w:tcW w:w="1425" w:type="dxa"/>
            <w:vAlign w:val="center"/>
          </w:tcPr>
          <w:p w14:paraId="124F1099" w14:textId="77777777" w:rsidR="004B5963" w:rsidRDefault="004B5963">
            <w:pPr>
              <w:jc w:val="center"/>
              <w:cnfStyle w:val="000000100000" w:firstRow="0" w:lastRow="0" w:firstColumn="0" w:lastColumn="0" w:oddVBand="0" w:evenVBand="0" w:oddHBand="1" w:evenHBand="0" w:firstRowFirstColumn="0" w:firstRowLastColumn="0" w:lastRowFirstColumn="0" w:lastRowLastColumn="0"/>
            </w:pPr>
            <w:r>
              <w:rPr>
                <w:sz w:val="14"/>
                <w:szCs w:val="16"/>
              </w:rPr>
              <w:t>a</w:t>
            </w:r>
            <w:r w:rsidRPr="00985042">
              <w:rPr>
                <w:sz w:val="14"/>
                <w:szCs w:val="16"/>
              </w:rPr>
              <w:t>vailable in 2023-24</w:t>
            </w:r>
          </w:p>
        </w:tc>
      </w:tr>
      <w:tr w:rsidR="004B5963" w14:paraId="212A5020" w14:textId="77777777">
        <w:trPr>
          <w:trHeight w:val="139"/>
        </w:trPr>
        <w:tc>
          <w:tcPr>
            <w:cnfStyle w:val="001000000000" w:firstRow="0" w:lastRow="0" w:firstColumn="1" w:lastColumn="0" w:oddVBand="0" w:evenVBand="0" w:oddHBand="0" w:evenHBand="0" w:firstRowFirstColumn="0" w:firstRowLastColumn="0" w:lastRowFirstColumn="0" w:lastRowLastColumn="0"/>
            <w:tcW w:w="1227" w:type="dxa"/>
          </w:tcPr>
          <w:p w14:paraId="728A5E6F" w14:textId="77777777" w:rsidR="004B5963" w:rsidRDefault="004B5963">
            <w:r>
              <w:t>2019-2020</w:t>
            </w:r>
          </w:p>
        </w:tc>
        <w:tc>
          <w:tcPr>
            <w:tcW w:w="1424" w:type="dxa"/>
            <w:vAlign w:val="center"/>
          </w:tcPr>
          <w:p w14:paraId="4155BBF0" w14:textId="77777777" w:rsidR="004B5963" w:rsidRDefault="004B5963">
            <w:pPr>
              <w:jc w:val="center"/>
              <w:cnfStyle w:val="000000000000" w:firstRow="0" w:lastRow="0" w:firstColumn="0" w:lastColumn="0" w:oddVBand="0" w:evenVBand="0" w:oddHBand="0" w:evenHBand="0" w:firstRowFirstColumn="0" w:firstRowLastColumn="0" w:lastRowFirstColumn="0" w:lastRowLastColumn="0"/>
            </w:pPr>
            <w:r>
              <w:t>83.4%</w:t>
            </w:r>
          </w:p>
        </w:tc>
        <w:tc>
          <w:tcPr>
            <w:tcW w:w="1425" w:type="dxa"/>
            <w:vAlign w:val="center"/>
          </w:tcPr>
          <w:p w14:paraId="1117CA85" w14:textId="77777777" w:rsidR="004B5963" w:rsidRDefault="004B5963">
            <w:pPr>
              <w:jc w:val="center"/>
              <w:cnfStyle w:val="000000000000" w:firstRow="0" w:lastRow="0" w:firstColumn="0" w:lastColumn="0" w:oddVBand="0" w:evenVBand="0" w:oddHBand="0" w:evenHBand="0" w:firstRowFirstColumn="0" w:firstRowLastColumn="0" w:lastRowFirstColumn="0" w:lastRowLastColumn="0"/>
            </w:pPr>
            <w:r>
              <w:t>88.0%</w:t>
            </w:r>
          </w:p>
        </w:tc>
        <w:tc>
          <w:tcPr>
            <w:tcW w:w="1424" w:type="dxa"/>
            <w:vAlign w:val="center"/>
          </w:tcPr>
          <w:p w14:paraId="58C10C1C" w14:textId="77777777" w:rsidR="004B5963" w:rsidRDefault="004B5963">
            <w:pPr>
              <w:jc w:val="center"/>
              <w:cnfStyle w:val="000000000000" w:firstRow="0" w:lastRow="0" w:firstColumn="0" w:lastColumn="0" w:oddVBand="0" w:evenVBand="0" w:oddHBand="0" w:evenHBand="0" w:firstRowFirstColumn="0" w:firstRowLastColumn="0" w:lastRowFirstColumn="0" w:lastRowLastColumn="0"/>
            </w:pPr>
            <w:r>
              <w:t>89.3%</w:t>
            </w:r>
          </w:p>
        </w:tc>
        <w:tc>
          <w:tcPr>
            <w:tcW w:w="1425" w:type="dxa"/>
            <w:vAlign w:val="center"/>
          </w:tcPr>
          <w:p w14:paraId="00FA6611" w14:textId="77777777" w:rsidR="004B5963" w:rsidRDefault="004B5963">
            <w:pPr>
              <w:jc w:val="center"/>
              <w:cnfStyle w:val="000000000000" w:firstRow="0" w:lastRow="0" w:firstColumn="0" w:lastColumn="0" w:oddVBand="0" w:evenVBand="0" w:oddHBand="0" w:evenHBand="0" w:firstRowFirstColumn="0" w:firstRowLastColumn="0" w:lastRowFirstColumn="0" w:lastRowLastColumn="0"/>
            </w:pPr>
            <w:r>
              <w:t>89.9%</w:t>
            </w:r>
          </w:p>
        </w:tc>
      </w:tr>
    </w:tbl>
    <w:p w14:paraId="34AB90C7" w14:textId="281236E6" w:rsidR="006F7610" w:rsidRDefault="006F7610" w:rsidP="006F7610">
      <w:pPr>
        <w:pStyle w:val="Heading2"/>
      </w:pPr>
      <w:r>
        <w:lastRenderedPageBreak/>
        <w:t xml:space="preserve">4-year </w:t>
      </w:r>
      <w:r w:rsidR="00BD6CDE">
        <w:t>g</w:t>
      </w:r>
      <w:r>
        <w:t xml:space="preserve">raduation by </w:t>
      </w:r>
      <w:r w:rsidR="00BD6CDE">
        <w:t>s</w:t>
      </w:r>
      <w:r>
        <w:t>ubgroups</w:t>
      </w:r>
    </w:p>
    <w:p w14:paraId="54B6878B" w14:textId="710738CD" w:rsidR="008A37C2" w:rsidRDefault="2C4DE536" w:rsidP="55D9DD3D">
      <w:pPr>
        <w:spacing w:after="240"/>
      </w:pPr>
      <w:r>
        <w:t>I</w:t>
      </w:r>
      <w:r w:rsidR="010E3344">
        <w:t xml:space="preserve">mprovements were seen </w:t>
      </w:r>
      <w:r w:rsidR="378DB4F8">
        <w:t xml:space="preserve">in </w:t>
      </w:r>
      <w:r w:rsidR="7B8C4B5D">
        <w:t>most student subgroups</w:t>
      </w:r>
      <w:r w:rsidR="2CD489D3">
        <w:t xml:space="preserve"> including growth at a faster rate</w:t>
      </w:r>
      <w:r w:rsidR="7B8C4B5D">
        <w:t xml:space="preserve"> </w:t>
      </w:r>
      <w:r w:rsidR="6F2400C3">
        <w:t xml:space="preserve">than the state </w:t>
      </w:r>
      <w:r w:rsidR="003F3103">
        <w:t xml:space="preserve">(0.8% increase for all students) </w:t>
      </w:r>
      <w:r w:rsidR="7B8C4B5D">
        <w:t xml:space="preserve">in </w:t>
      </w:r>
      <w:r w:rsidR="378DB4F8">
        <w:t>the 4-year graduation rate of AYG 2023 compared to the 4-year graduation rate of AYG 202</w:t>
      </w:r>
      <w:r w:rsidR="24467230">
        <w:t>2</w:t>
      </w:r>
      <w:r w:rsidR="003E2238">
        <w:t xml:space="preserve"> </w:t>
      </w:r>
      <w:r w:rsidR="005240A2">
        <w:t>in many subgroups</w:t>
      </w:r>
      <w:r w:rsidR="003F3103">
        <w:t xml:space="preserve">. </w:t>
      </w:r>
      <w:r w:rsidR="2162A844">
        <w:t xml:space="preserve">However, </w:t>
      </w:r>
      <w:r w:rsidR="12B404B7">
        <w:t>substantial gaps remain</w:t>
      </w:r>
      <w:r w:rsidR="284FF551">
        <w:t xml:space="preserve">. This is true </w:t>
      </w:r>
      <w:r w:rsidR="12B404B7">
        <w:t>by gender, race/ethnicity,</w:t>
      </w:r>
      <w:r w:rsidR="041F2DD9">
        <w:t xml:space="preserve"> and</w:t>
      </w:r>
      <w:r w:rsidR="12B404B7">
        <w:t xml:space="preserve"> instructional program service type (IPST) groups</w:t>
      </w:r>
      <w:r w:rsidR="1312A89D">
        <w:t xml:space="preserve">.  </w:t>
      </w:r>
    </w:p>
    <w:tbl>
      <w:tblPr>
        <w:tblStyle w:val="TableGrid"/>
        <w:tblW w:w="0" w:type="auto"/>
        <w:tblLook w:val="04A0" w:firstRow="1" w:lastRow="0" w:firstColumn="1" w:lastColumn="0" w:noHBand="0" w:noVBand="1"/>
      </w:tblPr>
      <w:tblGrid>
        <w:gridCol w:w="3955"/>
        <w:gridCol w:w="1530"/>
        <w:gridCol w:w="1530"/>
        <w:gridCol w:w="3055"/>
      </w:tblGrid>
      <w:tr w:rsidR="006805B7" w14:paraId="553E53C8" w14:textId="44E5B790" w:rsidTr="003C2019">
        <w:trPr>
          <w:trHeight w:val="56"/>
        </w:trPr>
        <w:tc>
          <w:tcPr>
            <w:tcW w:w="3955" w:type="dxa"/>
            <w:tcBorders>
              <w:bottom w:val="double" w:sz="4" w:space="0" w:color="auto"/>
            </w:tcBorders>
            <w:vAlign w:val="center"/>
          </w:tcPr>
          <w:p w14:paraId="627A4C34" w14:textId="7041A2A6" w:rsidR="006805B7" w:rsidRPr="00647BAA" w:rsidRDefault="00647BAA" w:rsidP="00647BAA">
            <w:pPr>
              <w:jc w:val="center"/>
              <w:rPr>
                <w:b/>
                <w:bCs/>
              </w:rPr>
            </w:pPr>
            <w:r w:rsidRPr="00647BAA">
              <w:rPr>
                <w:b/>
                <w:bCs/>
              </w:rPr>
              <w:t>Subgroup Category</w:t>
            </w:r>
          </w:p>
        </w:tc>
        <w:tc>
          <w:tcPr>
            <w:tcW w:w="1530" w:type="dxa"/>
            <w:tcBorders>
              <w:bottom w:val="double" w:sz="4" w:space="0" w:color="auto"/>
            </w:tcBorders>
            <w:vAlign w:val="center"/>
          </w:tcPr>
          <w:p w14:paraId="08CA557D" w14:textId="0DA5C567" w:rsidR="006805B7" w:rsidRPr="00647BAA" w:rsidRDefault="006805B7" w:rsidP="00647BAA">
            <w:pPr>
              <w:jc w:val="center"/>
              <w:rPr>
                <w:b/>
                <w:bCs/>
              </w:rPr>
            </w:pPr>
            <w:r w:rsidRPr="00647BAA">
              <w:rPr>
                <w:b/>
                <w:bCs/>
              </w:rPr>
              <w:t>AYG 2022</w:t>
            </w:r>
          </w:p>
        </w:tc>
        <w:tc>
          <w:tcPr>
            <w:tcW w:w="1530" w:type="dxa"/>
            <w:tcBorders>
              <w:bottom w:val="double" w:sz="4" w:space="0" w:color="auto"/>
            </w:tcBorders>
            <w:vAlign w:val="center"/>
          </w:tcPr>
          <w:p w14:paraId="3BBFDF30" w14:textId="5121711D" w:rsidR="006805B7" w:rsidRPr="00647BAA" w:rsidRDefault="006805B7" w:rsidP="00647BAA">
            <w:pPr>
              <w:jc w:val="center"/>
              <w:rPr>
                <w:b/>
                <w:bCs/>
              </w:rPr>
            </w:pPr>
            <w:r w:rsidRPr="00647BAA">
              <w:rPr>
                <w:b/>
                <w:bCs/>
              </w:rPr>
              <w:t>AYG 2023</w:t>
            </w:r>
          </w:p>
        </w:tc>
        <w:tc>
          <w:tcPr>
            <w:tcW w:w="3055" w:type="dxa"/>
            <w:tcBorders>
              <w:bottom w:val="double" w:sz="4" w:space="0" w:color="auto"/>
            </w:tcBorders>
            <w:vAlign w:val="center"/>
          </w:tcPr>
          <w:p w14:paraId="4AE2000A" w14:textId="4F7774A7" w:rsidR="006805B7" w:rsidRPr="00647BAA" w:rsidRDefault="00647BAA" w:rsidP="00647BAA">
            <w:pPr>
              <w:jc w:val="center"/>
              <w:rPr>
                <w:b/>
                <w:bCs/>
              </w:rPr>
            </w:pPr>
            <w:r w:rsidRPr="00647BAA">
              <w:rPr>
                <w:b/>
                <w:bCs/>
              </w:rPr>
              <w:t>Rate Change from Prior Year</w:t>
            </w:r>
          </w:p>
        </w:tc>
      </w:tr>
      <w:tr w:rsidR="00647BAA" w14:paraId="7ABC5C17" w14:textId="77777777" w:rsidTr="003C2019">
        <w:trPr>
          <w:trHeight w:val="56"/>
        </w:trPr>
        <w:tc>
          <w:tcPr>
            <w:tcW w:w="3955" w:type="dxa"/>
            <w:tcBorders>
              <w:top w:val="double" w:sz="4" w:space="0" w:color="auto"/>
              <w:bottom w:val="single" w:sz="4" w:space="0" w:color="5C6670"/>
            </w:tcBorders>
          </w:tcPr>
          <w:p w14:paraId="520DF4D7" w14:textId="57CDAF22" w:rsidR="00647BAA" w:rsidRDefault="00647BAA" w:rsidP="006805B7">
            <w:r>
              <w:t>Female</w:t>
            </w:r>
          </w:p>
        </w:tc>
        <w:tc>
          <w:tcPr>
            <w:tcW w:w="1530" w:type="dxa"/>
            <w:tcBorders>
              <w:top w:val="double" w:sz="4" w:space="0" w:color="auto"/>
              <w:bottom w:val="single" w:sz="4" w:space="0" w:color="5C6670"/>
            </w:tcBorders>
          </w:tcPr>
          <w:p w14:paraId="7C76B112" w14:textId="06A2EBD6" w:rsidR="00647BAA" w:rsidRDefault="00B67A09" w:rsidP="00C37F37">
            <w:pPr>
              <w:jc w:val="center"/>
            </w:pPr>
            <w:r>
              <w:t>85.7%</w:t>
            </w:r>
          </w:p>
        </w:tc>
        <w:tc>
          <w:tcPr>
            <w:tcW w:w="1530" w:type="dxa"/>
            <w:tcBorders>
              <w:top w:val="double" w:sz="4" w:space="0" w:color="auto"/>
              <w:bottom w:val="single" w:sz="4" w:space="0" w:color="5C6670"/>
            </w:tcBorders>
          </w:tcPr>
          <w:p w14:paraId="7073FEFD" w14:textId="688AA3C1" w:rsidR="00647BAA" w:rsidRDefault="00C37F37" w:rsidP="00C37F37">
            <w:pPr>
              <w:jc w:val="center"/>
            </w:pPr>
            <w:r>
              <w:t>86.0%</w:t>
            </w:r>
          </w:p>
        </w:tc>
        <w:tc>
          <w:tcPr>
            <w:tcW w:w="3055" w:type="dxa"/>
            <w:tcBorders>
              <w:top w:val="double" w:sz="4" w:space="0" w:color="auto"/>
              <w:bottom w:val="single" w:sz="4" w:space="0" w:color="5C6670"/>
            </w:tcBorders>
          </w:tcPr>
          <w:p w14:paraId="2D0A2F11" w14:textId="1EDCCB44" w:rsidR="00647BAA" w:rsidRDefault="00BE12A2" w:rsidP="00C37F37">
            <w:pPr>
              <w:jc w:val="center"/>
            </w:pPr>
            <w:r>
              <w:t>+0.3</w:t>
            </w:r>
          </w:p>
        </w:tc>
      </w:tr>
      <w:tr w:rsidR="00647BAA" w14:paraId="46085F51" w14:textId="77777777" w:rsidTr="003C2019">
        <w:trPr>
          <w:trHeight w:val="56"/>
        </w:trPr>
        <w:tc>
          <w:tcPr>
            <w:tcW w:w="3955" w:type="dxa"/>
            <w:tcBorders>
              <w:bottom w:val="double" w:sz="4" w:space="0" w:color="auto"/>
            </w:tcBorders>
          </w:tcPr>
          <w:p w14:paraId="5FD8316D" w14:textId="5E71C64B" w:rsidR="00647BAA" w:rsidRDefault="00647BAA" w:rsidP="006805B7">
            <w:r>
              <w:t>Male</w:t>
            </w:r>
          </w:p>
        </w:tc>
        <w:tc>
          <w:tcPr>
            <w:tcW w:w="1530" w:type="dxa"/>
            <w:tcBorders>
              <w:bottom w:val="double" w:sz="4" w:space="0" w:color="auto"/>
            </w:tcBorders>
          </w:tcPr>
          <w:p w14:paraId="03ED1039" w14:textId="6516D4C6" w:rsidR="00647BAA" w:rsidRDefault="00600EEE" w:rsidP="00C37F37">
            <w:pPr>
              <w:jc w:val="center"/>
            </w:pPr>
            <w:r>
              <w:t>79.1%</w:t>
            </w:r>
          </w:p>
        </w:tc>
        <w:tc>
          <w:tcPr>
            <w:tcW w:w="1530" w:type="dxa"/>
            <w:tcBorders>
              <w:bottom w:val="double" w:sz="4" w:space="0" w:color="auto"/>
            </w:tcBorders>
          </w:tcPr>
          <w:p w14:paraId="38940438" w14:textId="47BBDA6D" w:rsidR="00647BAA" w:rsidRDefault="00C37F37" w:rsidP="00C37F37">
            <w:pPr>
              <w:jc w:val="center"/>
            </w:pPr>
            <w:r>
              <w:t>80.3%</w:t>
            </w:r>
          </w:p>
        </w:tc>
        <w:tc>
          <w:tcPr>
            <w:tcW w:w="3055" w:type="dxa"/>
            <w:tcBorders>
              <w:bottom w:val="double" w:sz="4" w:space="0" w:color="auto"/>
            </w:tcBorders>
          </w:tcPr>
          <w:p w14:paraId="2172A3F3" w14:textId="23EC0210" w:rsidR="00647BAA" w:rsidRDefault="00BE12A2" w:rsidP="00C37F37">
            <w:pPr>
              <w:jc w:val="center"/>
            </w:pPr>
            <w:r>
              <w:t>+1.</w:t>
            </w:r>
            <w:r w:rsidR="00226528">
              <w:t>2</w:t>
            </w:r>
          </w:p>
        </w:tc>
      </w:tr>
      <w:tr w:rsidR="00647BAA" w14:paraId="180470F8" w14:textId="77777777" w:rsidTr="003C2019">
        <w:trPr>
          <w:trHeight w:val="56"/>
        </w:trPr>
        <w:tc>
          <w:tcPr>
            <w:tcW w:w="3955" w:type="dxa"/>
            <w:tcBorders>
              <w:top w:val="double" w:sz="4" w:space="0" w:color="auto"/>
            </w:tcBorders>
          </w:tcPr>
          <w:p w14:paraId="409CEDF2" w14:textId="2A2003C1" w:rsidR="00647BAA" w:rsidRDefault="00647BAA" w:rsidP="006805B7">
            <w:r>
              <w:t>American Indican or Alaskan Native</w:t>
            </w:r>
          </w:p>
        </w:tc>
        <w:tc>
          <w:tcPr>
            <w:tcW w:w="1530" w:type="dxa"/>
            <w:tcBorders>
              <w:top w:val="double" w:sz="4" w:space="0" w:color="auto"/>
            </w:tcBorders>
          </w:tcPr>
          <w:p w14:paraId="5F6146DC" w14:textId="0D09F41C" w:rsidR="00647BAA" w:rsidRDefault="006238D7" w:rsidP="00C37F37">
            <w:pPr>
              <w:jc w:val="center"/>
            </w:pPr>
            <w:r>
              <w:t>65.4%</w:t>
            </w:r>
          </w:p>
        </w:tc>
        <w:tc>
          <w:tcPr>
            <w:tcW w:w="1530" w:type="dxa"/>
            <w:tcBorders>
              <w:top w:val="double" w:sz="4" w:space="0" w:color="auto"/>
            </w:tcBorders>
          </w:tcPr>
          <w:p w14:paraId="31E85FFB" w14:textId="361B97B8" w:rsidR="00647BAA" w:rsidRDefault="00BE12A2" w:rsidP="00C37F37">
            <w:pPr>
              <w:jc w:val="center"/>
            </w:pPr>
            <w:r>
              <w:t>68.0%</w:t>
            </w:r>
          </w:p>
        </w:tc>
        <w:tc>
          <w:tcPr>
            <w:tcW w:w="3055" w:type="dxa"/>
            <w:tcBorders>
              <w:top w:val="double" w:sz="4" w:space="0" w:color="auto"/>
            </w:tcBorders>
          </w:tcPr>
          <w:p w14:paraId="3AB6F5E7" w14:textId="5252717C" w:rsidR="00647BAA" w:rsidRDefault="00BE12A2" w:rsidP="00C37F37">
            <w:pPr>
              <w:jc w:val="center"/>
            </w:pPr>
            <w:r>
              <w:t>+2.6</w:t>
            </w:r>
          </w:p>
        </w:tc>
      </w:tr>
      <w:tr w:rsidR="00647BAA" w14:paraId="2F988B65" w14:textId="77777777" w:rsidTr="002A3DDD">
        <w:trPr>
          <w:trHeight w:val="56"/>
        </w:trPr>
        <w:tc>
          <w:tcPr>
            <w:tcW w:w="3955" w:type="dxa"/>
          </w:tcPr>
          <w:p w14:paraId="78B00A06" w14:textId="393DD69A" w:rsidR="00647BAA" w:rsidRDefault="00647BAA" w:rsidP="006805B7">
            <w:r>
              <w:t>Asian</w:t>
            </w:r>
          </w:p>
        </w:tc>
        <w:tc>
          <w:tcPr>
            <w:tcW w:w="1530" w:type="dxa"/>
          </w:tcPr>
          <w:p w14:paraId="147D8A8F" w14:textId="477DC065" w:rsidR="00650995" w:rsidRDefault="00650995" w:rsidP="00650995">
            <w:pPr>
              <w:jc w:val="center"/>
            </w:pPr>
            <w:r>
              <w:t>93.0%</w:t>
            </w:r>
          </w:p>
        </w:tc>
        <w:tc>
          <w:tcPr>
            <w:tcW w:w="1530" w:type="dxa"/>
          </w:tcPr>
          <w:p w14:paraId="2F394586" w14:textId="24DD9B30" w:rsidR="00647BAA" w:rsidRDefault="00BE12A2" w:rsidP="00C37F37">
            <w:pPr>
              <w:jc w:val="center"/>
            </w:pPr>
            <w:r>
              <w:t>92.6%</w:t>
            </w:r>
          </w:p>
        </w:tc>
        <w:tc>
          <w:tcPr>
            <w:tcW w:w="3055" w:type="dxa"/>
          </w:tcPr>
          <w:p w14:paraId="432CFAA6" w14:textId="3246D1C8" w:rsidR="00647BAA" w:rsidRDefault="00F501C6" w:rsidP="00C37F37">
            <w:pPr>
              <w:jc w:val="center"/>
            </w:pPr>
            <w:r>
              <w:t>-0.4</w:t>
            </w:r>
          </w:p>
        </w:tc>
      </w:tr>
      <w:tr w:rsidR="00647BAA" w14:paraId="679799FD" w14:textId="77777777" w:rsidTr="002A3DDD">
        <w:trPr>
          <w:trHeight w:val="56"/>
        </w:trPr>
        <w:tc>
          <w:tcPr>
            <w:tcW w:w="3955" w:type="dxa"/>
          </w:tcPr>
          <w:p w14:paraId="374FE632" w14:textId="0D3AFF3B" w:rsidR="00647BAA" w:rsidRDefault="00647BAA" w:rsidP="006805B7">
            <w:r>
              <w:t>Black or African American</w:t>
            </w:r>
          </w:p>
        </w:tc>
        <w:tc>
          <w:tcPr>
            <w:tcW w:w="1530" w:type="dxa"/>
          </w:tcPr>
          <w:p w14:paraId="0F3EE329" w14:textId="0FB2A727" w:rsidR="00647BAA" w:rsidRDefault="00B67A09" w:rsidP="00C37F37">
            <w:pPr>
              <w:jc w:val="center"/>
            </w:pPr>
            <w:r>
              <w:t>77.4%</w:t>
            </w:r>
          </w:p>
        </w:tc>
        <w:tc>
          <w:tcPr>
            <w:tcW w:w="1530" w:type="dxa"/>
          </w:tcPr>
          <w:p w14:paraId="7A9D4AF2" w14:textId="14EC8B7E" w:rsidR="00647BAA" w:rsidRDefault="00F501C6" w:rsidP="00C37F37">
            <w:pPr>
              <w:jc w:val="center"/>
            </w:pPr>
            <w:r>
              <w:t>78.6%</w:t>
            </w:r>
          </w:p>
        </w:tc>
        <w:tc>
          <w:tcPr>
            <w:tcW w:w="3055" w:type="dxa"/>
          </w:tcPr>
          <w:p w14:paraId="7F5128CF" w14:textId="43697783" w:rsidR="00647BAA" w:rsidRDefault="00F501C6" w:rsidP="00C37F37">
            <w:pPr>
              <w:jc w:val="center"/>
            </w:pPr>
            <w:r>
              <w:t>+1.2</w:t>
            </w:r>
          </w:p>
        </w:tc>
      </w:tr>
      <w:tr w:rsidR="00647BAA" w14:paraId="31549FF2" w14:textId="77777777" w:rsidTr="002A3DDD">
        <w:trPr>
          <w:trHeight w:val="56"/>
        </w:trPr>
        <w:tc>
          <w:tcPr>
            <w:tcW w:w="3955" w:type="dxa"/>
          </w:tcPr>
          <w:p w14:paraId="044FD985" w14:textId="5F79FE63" w:rsidR="00647BAA" w:rsidRDefault="00647BAA" w:rsidP="006805B7">
            <w:r>
              <w:t>Hispanic or Latino</w:t>
            </w:r>
          </w:p>
        </w:tc>
        <w:tc>
          <w:tcPr>
            <w:tcW w:w="1530" w:type="dxa"/>
          </w:tcPr>
          <w:p w14:paraId="06588675" w14:textId="74FBEDAD" w:rsidR="00647BAA" w:rsidRDefault="00B67A09" w:rsidP="00C37F37">
            <w:pPr>
              <w:jc w:val="center"/>
            </w:pPr>
            <w:r>
              <w:t>75.1%</w:t>
            </w:r>
          </w:p>
        </w:tc>
        <w:tc>
          <w:tcPr>
            <w:tcW w:w="1530" w:type="dxa"/>
          </w:tcPr>
          <w:p w14:paraId="0D2AE064" w14:textId="3E6EA4A7" w:rsidR="00647BAA" w:rsidRDefault="00F501C6" w:rsidP="00C37F37">
            <w:pPr>
              <w:jc w:val="center"/>
            </w:pPr>
            <w:r>
              <w:t>76.1%</w:t>
            </w:r>
          </w:p>
        </w:tc>
        <w:tc>
          <w:tcPr>
            <w:tcW w:w="3055" w:type="dxa"/>
          </w:tcPr>
          <w:p w14:paraId="40EF2469" w14:textId="3FD15D70" w:rsidR="00647BAA" w:rsidRDefault="00F501C6" w:rsidP="00C37F37">
            <w:pPr>
              <w:jc w:val="center"/>
            </w:pPr>
            <w:r>
              <w:t>+1.1</w:t>
            </w:r>
          </w:p>
        </w:tc>
      </w:tr>
      <w:tr w:rsidR="001525D2" w14:paraId="5B3185B9" w14:textId="77777777" w:rsidTr="002A3DDD">
        <w:trPr>
          <w:trHeight w:val="56"/>
        </w:trPr>
        <w:tc>
          <w:tcPr>
            <w:tcW w:w="3955" w:type="dxa"/>
          </w:tcPr>
          <w:p w14:paraId="34B3E5E0" w14:textId="1FCDEFC6" w:rsidR="001525D2" w:rsidRDefault="001525D2" w:rsidP="006805B7">
            <w:r>
              <w:t>White</w:t>
            </w:r>
          </w:p>
        </w:tc>
        <w:tc>
          <w:tcPr>
            <w:tcW w:w="1530" w:type="dxa"/>
          </w:tcPr>
          <w:p w14:paraId="74868090" w14:textId="34F42C1E" w:rsidR="001525D2" w:rsidRDefault="0035081B" w:rsidP="00C37F37">
            <w:pPr>
              <w:jc w:val="center"/>
            </w:pPr>
            <w:r>
              <w:t>87.3%</w:t>
            </w:r>
          </w:p>
        </w:tc>
        <w:tc>
          <w:tcPr>
            <w:tcW w:w="1530" w:type="dxa"/>
          </w:tcPr>
          <w:p w14:paraId="66FF0B5F" w14:textId="413440C6" w:rsidR="001525D2" w:rsidRDefault="00F501C6" w:rsidP="00C37F37">
            <w:pPr>
              <w:jc w:val="center"/>
            </w:pPr>
            <w:r>
              <w:t>88.0%</w:t>
            </w:r>
          </w:p>
        </w:tc>
        <w:tc>
          <w:tcPr>
            <w:tcW w:w="3055" w:type="dxa"/>
          </w:tcPr>
          <w:p w14:paraId="61642D7A" w14:textId="3C852BE6" w:rsidR="001525D2" w:rsidRDefault="00F501C6" w:rsidP="00C37F37">
            <w:pPr>
              <w:jc w:val="center"/>
            </w:pPr>
            <w:r>
              <w:t>+</w:t>
            </w:r>
            <w:r w:rsidR="0035081B">
              <w:t>0.7</w:t>
            </w:r>
          </w:p>
        </w:tc>
      </w:tr>
      <w:tr w:rsidR="001525D2" w14:paraId="46DE888D" w14:textId="77777777" w:rsidTr="003C2019">
        <w:trPr>
          <w:trHeight w:val="56"/>
        </w:trPr>
        <w:tc>
          <w:tcPr>
            <w:tcW w:w="3955" w:type="dxa"/>
            <w:tcBorders>
              <w:bottom w:val="single" w:sz="4" w:space="0" w:color="5C6670"/>
            </w:tcBorders>
          </w:tcPr>
          <w:p w14:paraId="491796E3" w14:textId="71DD5FCD" w:rsidR="001525D2" w:rsidRDefault="001525D2" w:rsidP="006805B7">
            <w:r>
              <w:t>Native Hawaiian or Other Pacific Islander</w:t>
            </w:r>
          </w:p>
        </w:tc>
        <w:tc>
          <w:tcPr>
            <w:tcW w:w="1530" w:type="dxa"/>
            <w:tcBorders>
              <w:bottom w:val="single" w:sz="4" w:space="0" w:color="5C6670"/>
            </w:tcBorders>
          </w:tcPr>
          <w:p w14:paraId="290467EB" w14:textId="41B500D0" w:rsidR="001525D2" w:rsidRDefault="0035081B" w:rsidP="00C37F37">
            <w:pPr>
              <w:jc w:val="center"/>
            </w:pPr>
            <w:r>
              <w:t>61.1%</w:t>
            </w:r>
          </w:p>
        </w:tc>
        <w:tc>
          <w:tcPr>
            <w:tcW w:w="1530" w:type="dxa"/>
            <w:tcBorders>
              <w:bottom w:val="single" w:sz="4" w:space="0" w:color="5C6670"/>
            </w:tcBorders>
          </w:tcPr>
          <w:p w14:paraId="291379F7" w14:textId="1EE93FC4" w:rsidR="001525D2" w:rsidRDefault="004C3DF0" w:rsidP="00C37F37">
            <w:pPr>
              <w:jc w:val="center"/>
            </w:pPr>
            <w:r>
              <w:t>70.9%</w:t>
            </w:r>
          </w:p>
        </w:tc>
        <w:tc>
          <w:tcPr>
            <w:tcW w:w="3055" w:type="dxa"/>
            <w:tcBorders>
              <w:bottom w:val="single" w:sz="4" w:space="0" w:color="5C6670"/>
            </w:tcBorders>
          </w:tcPr>
          <w:p w14:paraId="6B3AB92B" w14:textId="059C8A10" w:rsidR="001525D2" w:rsidRDefault="004C3DF0" w:rsidP="00C37F37">
            <w:pPr>
              <w:jc w:val="center"/>
            </w:pPr>
            <w:r>
              <w:t>+9.</w:t>
            </w:r>
            <w:r w:rsidR="0035081B">
              <w:t>8</w:t>
            </w:r>
          </w:p>
        </w:tc>
      </w:tr>
      <w:tr w:rsidR="001525D2" w14:paraId="6CD2EEB5" w14:textId="77777777" w:rsidTr="003C2019">
        <w:trPr>
          <w:trHeight w:val="56"/>
        </w:trPr>
        <w:tc>
          <w:tcPr>
            <w:tcW w:w="3955" w:type="dxa"/>
            <w:tcBorders>
              <w:bottom w:val="double" w:sz="4" w:space="0" w:color="auto"/>
            </w:tcBorders>
          </w:tcPr>
          <w:p w14:paraId="4F294AE3" w14:textId="058CBD4F" w:rsidR="001525D2" w:rsidRDefault="001525D2" w:rsidP="006805B7">
            <w:r>
              <w:t>Two or More Races</w:t>
            </w:r>
          </w:p>
        </w:tc>
        <w:tc>
          <w:tcPr>
            <w:tcW w:w="1530" w:type="dxa"/>
            <w:tcBorders>
              <w:bottom w:val="double" w:sz="4" w:space="0" w:color="auto"/>
            </w:tcBorders>
          </w:tcPr>
          <w:p w14:paraId="7E2AB510" w14:textId="19FB3C5B" w:rsidR="001525D2" w:rsidRDefault="0035081B" w:rsidP="00C37F37">
            <w:pPr>
              <w:jc w:val="center"/>
            </w:pPr>
            <w:r>
              <w:t>81.3%</w:t>
            </w:r>
          </w:p>
        </w:tc>
        <w:tc>
          <w:tcPr>
            <w:tcW w:w="1530" w:type="dxa"/>
            <w:tcBorders>
              <w:bottom w:val="double" w:sz="4" w:space="0" w:color="auto"/>
            </w:tcBorders>
          </w:tcPr>
          <w:p w14:paraId="47711568" w14:textId="715907E0" w:rsidR="001525D2" w:rsidRDefault="004C3DF0" w:rsidP="00C37F37">
            <w:pPr>
              <w:jc w:val="center"/>
            </w:pPr>
            <w:r>
              <w:t>83.5%</w:t>
            </w:r>
          </w:p>
        </w:tc>
        <w:tc>
          <w:tcPr>
            <w:tcW w:w="3055" w:type="dxa"/>
            <w:tcBorders>
              <w:bottom w:val="double" w:sz="4" w:space="0" w:color="auto"/>
            </w:tcBorders>
          </w:tcPr>
          <w:p w14:paraId="584F1484" w14:textId="77B8A438" w:rsidR="001525D2" w:rsidRDefault="004C3DF0" w:rsidP="00C37F37">
            <w:pPr>
              <w:jc w:val="center"/>
            </w:pPr>
            <w:r>
              <w:t>+2.2</w:t>
            </w:r>
          </w:p>
        </w:tc>
      </w:tr>
      <w:tr w:rsidR="001525D2" w14:paraId="6ED5BC6B" w14:textId="77777777" w:rsidTr="003C2019">
        <w:trPr>
          <w:trHeight w:val="56"/>
        </w:trPr>
        <w:tc>
          <w:tcPr>
            <w:tcW w:w="3955" w:type="dxa"/>
            <w:tcBorders>
              <w:top w:val="double" w:sz="4" w:space="0" w:color="auto"/>
            </w:tcBorders>
          </w:tcPr>
          <w:p w14:paraId="01AB3056" w14:textId="461808E6" w:rsidR="001525D2" w:rsidRDefault="001525D2" w:rsidP="006805B7">
            <w:r>
              <w:t>Students with Disabilities</w:t>
            </w:r>
          </w:p>
        </w:tc>
        <w:tc>
          <w:tcPr>
            <w:tcW w:w="1530" w:type="dxa"/>
            <w:tcBorders>
              <w:top w:val="double" w:sz="4" w:space="0" w:color="auto"/>
            </w:tcBorders>
          </w:tcPr>
          <w:p w14:paraId="1F6A151B" w14:textId="1B6D2C59" w:rsidR="001525D2" w:rsidRDefault="00536C38" w:rsidP="00C37F37">
            <w:pPr>
              <w:jc w:val="center"/>
            </w:pPr>
            <w:r>
              <w:t>67.9%</w:t>
            </w:r>
          </w:p>
        </w:tc>
        <w:tc>
          <w:tcPr>
            <w:tcW w:w="1530" w:type="dxa"/>
            <w:tcBorders>
              <w:top w:val="double" w:sz="4" w:space="0" w:color="auto"/>
            </w:tcBorders>
          </w:tcPr>
          <w:p w14:paraId="43B879B0" w14:textId="3272CE0E" w:rsidR="001525D2" w:rsidRDefault="004C3DF0" w:rsidP="00C37F37">
            <w:pPr>
              <w:jc w:val="center"/>
            </w:pPr>
            <w:r>
              <w:t>69.3%</w:t>
            </w:r>
          </w:p>
        </w:tc>
        <w:tc>
          <w:tcPr>
            <w:tcW w:w="3055" w:type="dxa"/>
            <w:tcBorders>
              <w:top w:val="double" w:sz="4" w:space="0" w:color="auto"/>
            </w:tcBorders>
          </w:tcPr>
          <w:p w14:paraId="17212D5B" w14:textId="5541E64F" w:rsidR="001525D2" w:rsidRDefault="004C3DF0" w:rsidP="00C37F37">
            <w:pPr>
              <w:jc w:val="center"/>
            </w:pPr>
            <w:r>
              <w:t>+1.4</w:t>
            </w:r>
          </w:p>
        </w:tc>
      </w:tr>
      <w:tr w:rsidR="001525D2" w14:paraId="42CE4FC5" w14:textId="77777777" w:rsidTr="002A3DDD">
        <w:trPr>
          <w:trHeight w:val="56"/>
        </w:trPr>
        <w:tc>
          <w:tcPr>
            <w:tcW w:w="3955" w:type="dxa"/>
          </w:tcPr>
          <w:p w14:paraId="27358C97" w14:textId="6AECEBBC" w:rsidR="001525D2" w:rsidRDefault="001525D2" w:rsidP="006805B7">
            <w:r>
              <w:t>English Learner</w:t>
            </w:r>
          </w:p>
        </w:tc>
        <w:tc>
          <w:tcPr>
            <w:tcW w:w="1530" w:type="dxa"/>
          </w:tcPr>
          <w:p w14:paraId="4C5F51C0" w14:textId="3F6B6818" w:rsidR="001525D2" w:rsidRDefault="00BA22F4" w:rsidP="00C37F37">
            <w:pPr>
              <w:jc w:val="center"/>
            </w:pPr>
            <w:r>
              <w:t>69.4%</w:t>
            </w:r>
          </w:p>
        </w:tc>
        <w:tc>
          <w:tcPr>
            <w:tcW w:w="1530" w:type="dxa"/>
          </w:tcPr>
          <w:p w14:paraId="7FD004DE" w14:textId="06F9820E" w:rsidR="001525D2" w:rsidRDefault="004C3DF0" w:rsidP="00C37F37">
            <w:pPr>
              <w:jc w:val="center"/>
            </w:pPr>
            <w:r>
              <w:t>69.4%</w:t>
            </w:r>
          </w:p>
        </w:tc>
        <w:tc>
          <w:tcPr>
            <w:tcW w:w="3055" w:type="dxa"/>
          </w:tcPr>
          <w:p w14:paraId="6A57BBD8" w14:textId="70A2B4DD" w:rsidR="001525D2" w:rsidRDefault="004C3DF0" w:rsidP="00C37F37">
            <w:pPr>
              <w:jc w:val="center"/>
            </w:pPr>
            <w:r>
              <w:t>0.0</w:t>
            </w:r>
          </w:p>
        </w:tc>
      </w:tr>
      <w:tr w:rsidR="001525D2" w14:paraId="673AEB7B" w14:textId="77777777" w:rsidTr="002A3DDD">
        <w:trPr>
          <w:trHeight w:val="56"/>
        </w:trPr>
        <w:tc>
          <w:tcPr>
            <w:tcW w:w="3955" w:type="dxa"/>
          </w:tcPr>
          <w:p w14:paraId="5A9AF982" w14:textId="67952B7E" w:rsidR="001525D2" w:rsidRDefault="001525D2" w:rsidP="006805B7">
            <w:r>
              <w:t>Economically Disadvantaged</w:t>
            </w:r>
          </w:p>
        </w:tc>
        <w:tc>
          <w:tcPr>
            <w:tcW w:w="1530" w:type="dxa"/>
          </w:tcPr>
          <w:p w14:paraId="0662E3C5" w14:textId="4079B1AC" w:rsidR="001525D2" w:rsidRDefault="00BA22F4" w:rsidP="00C37F37">
            <w:pPr>
              <w:jc w:val="center"/>
            </w:pPr>
            <w:r>
              <w:t>71.9%</w:t>
            </w:r>
          </w:p>
        </w:tc>
        <w:tc>
          <w:tcPr>
            <w:tcW w:w="1530" w:type="dxa"/>
          </w:tcPr>
          <w:p w14:paraId="1AC8B37E" w14:textId="5E24C1B5" w:rsidR="001525D2" w:rsidRDefault="00B96AD7" w:rsidP="00C37F37">
            <w:pPr>
              <w:jc w:val="center"/>
            </w:pPr>
            <w:r>
              <w:t>73.3%</w:t>
            </w:r>
          </w:p>
        </w:tc>
        <w:tc>
          <w:tcPr>
            <w:tcW w:w="3055" w:type="dxa"/>
          </w:tcPr>
          <w:p w14:paraId="209AA1B9" w14:textId="6A867109" w:rsidR="001525D2" w:rsidRDefault="00B96AD7" w:rsidP="00C37F37">
            <w:pPr>
              <w:jc w:val="center"/>
            </w:pPr>
            <w:r>
              <w:t>+1.</w:t>
            </w:r>
            <w:r w:rsidR="0035081B">
              <w:t>4</w:t>
            </w:r>
          </w:p>
        </w:tc>
      </w:tr>
      <w:tr w:rsidR="001525D2" w14:paraId="39B16E37" w14:textId="77777777" w:rsidTr="002A3DDD">
        <w:trPr>
          <w:trHeight w:val="56"/>
        </w:trPr>
        <w:tc>
          <w:tcPr>
            <w:tcW w:w="3955" w:type="dxa"/>
          </w:tcPr>
          <w:p w14:paraId="34D974DD" w14:textId="4B9E0C76" w:rsidR="001525D2" w:rsidRDefault="001525D2" w:rsidP="006805B7">
            <w:r>
              <w:t>Migrant</w:t>
            </w:r>
          </w:p>
        </w:tc>
        <w:tc>
          <w:tcPr>
            <w:tcW w:w="1530" w:type="dxa"/>
          </w:tcPr>
          <w:p w14:paraId="156500C7" w14:textId="191F578D" w:rsidR="001525D2" w:rsidRDefault="00BA22F4" w:rsidP="00C37F37">
            <w:pPr>
              <w:jc w:val="center"/>
            </w:pPr>
            <w:r>
              <w:t>69.0%</w:t>
            </w:r>
          </w:p>
        </w:tc>
        <w:tc>
          <w:tcPr>
            <w:tcW w:w="1530" w:type="dxa"/>
          </w:tcPr>
          <w:p w14:paraId="5EDB9880" w14:textId="284A71E9" w:rsidR="001525D2" w:rsidRDefault="00000F27" w:rsidP="00C37F37">
            <w:pPr>
              <w:jc w:val="center"/>
            </w:pPr>
            <w:r>
              <w:t>67.2%</w:t>
            </w:r>
          </w:p>
        </w:tc>
        <w:tc>
          <w:tcPr>
            <w:tcW w:w="3055" w:type="dxa"/>
          </w:tcPr>
          <w:p w14:paraId="297647E9" w14:textId="41BE21B4" w:rsidR="001525D2" w:rsidRDefault="00007745" w:rsidP="00C37F37">
            <w:pPr>
              <w:jc w:val="center"/>
            </w:pPr>
            <w:r>
              <w:t>-1.</w:t>
            </w:r>
            <w:r w:rsidR="0035081B">
              <w:t>8</w:t>
            </w:r>
          </w:p>
        </w:tc>
      </w:tr>
      <w:tr w:rsidR="001525D2" w14:paraId="4CD34EB1" w14:textId="77777777" w:rsidTr="002A3DDD">
        <w:trPr>
          <w:trHeight w:val="56"/>
        </w:trPr>
        <w:tc>
          <w:tcPr>
            <w:tcW w:w="3955" w:type="dxa"/>
          </w:tcPr>
          <w:p w14:paraId="04A1A526" w14:textId="0F78B7BD" w:rsidR="001525D2" w:rsidRDefault="001525D2" w:rsidP="006805B7">
            <w:r>
              <w:t>Title 1</w:t>
            </w:r>
          </w:p>
        </w:tc>
        <w:tc>
          <w:tcPr>
            <w:tcW w:w="1530" w:type="dxa"/>
          </w:tcPr>
          <w:p w14:paraId="48496378" w14:textId="5DBD71A1" w:rsidR="001525D2" w:rsidRDefault="00BA22F4" w:rsidP="00C37F37">
            <w:pPr>
              <w:jc w:val="center"/>
            </w:pPr>
            <w:r>
              <w:t>66.9%</w:t>
            </w:r>
          </w:p>
        </w:tc>
        <w:tc>
          <w:tcPr>
            <w:tcW w:w="1530" w:type="dxa"/>
          </w:tcPr>
          <w:p w14:paraId="4279C311" w14:textId="54D29210" w:rsidR="001525D2" w:rsidRDefault="00007745" w:rsidP="00C37F37">
            <w:pPr>
              <w:jc w:val="center"/>
            </w:pPr>
            <w:r>
              <w:t>68.2%</w:t>
            </w:r>
          </w:p>
        </w:tc>
        <w:tc>
          <w:tcPr>
            <w:tcW w:w="3055" w:type="dxa"/>
          </w:tcPr>
          <w:p w14:paraId="543D4029" w14:textId="2F26F902" w:rsidR="001525D2" w:rsidRDefault="00007745" w:rsidP="00C37F37">
            <w:pPr>
              <w:jc w:val="center"/>
            </w:pPr>
            <w:r>
              <w:t>+1.3</w:t>
            </w:r>
          </w:p>
        </w:tc>
      </w:tr>
      <w:tr w:rsidR="001525D2" w14:paraId="6142CA4E" w14:textId="77777777" w:rsidTr="002A3DDD">
        <w:trPr>
          <w:trHeight w:val="56"/>
        </w:trPr>
        <w:tc>
          <w:tcPr>
            <w:tcW w:w="3955" w:type="dxa"/>
          </w:tcPr>
          <w:p w14:paraId="3CFFBD54" w14:textId="0E5D0C13" w:rsidR="001525D2" w:rsidRDefault="001525D2" w:rsidP="006805B7">
            <w:r>
              <w:t>Homeless</w:t>
            </w:r>
          </w:p>
        </w:tc>
        <w:tc>
          <w:tcPr>
            <w:tcW w:w="1530" w:type="dxa"/>
          </w:tcPr>
          <w:p w14:paraId="3A0F0A85" w14:textId="0624FE19" w:rsidR="001525D2" w:rsidRDefault="00BA22F4" w:rsidP="00C37F37">
            <w:pPr>
              <w:jc w:val="center"/>
            </w:pPr>
            <w:r>
              <w:t>55.4%</w:t>
            </w:r>
          </w:p>
        </w:tc>
        <w:tc>
          <w:tcPr>
            <w:tcW w:w="1530" w:type="dxa"/>
          </w:tcPr>
          <w:p w14:paraId="6E136356" w14:textId="5C48CEC0" w:rsidR="001525D2" w:rsidRDefault="00007745" w:rsidP="00C37F37">
            <w:pPr>
              <w:jc w:val="center"/>
            </w:pPr>
            <w:r>
              <w:t>58.0%</w:t>
            </w:r>
          </w:p>
        </w:tc>
        <w:tc>
          <w:tcPr>
            <w:tcW w:w="3055" w:type="dxa"/>
          </w:tcPr>
          <w:p w14:paraId="78D6BDF8" w14:textId="1E4FFD1C" w:rsidR="001525D2" w:rsidRDefault="006B6FFB" w:rsidP="00C37F37">
            <w:pPr>
              <w:jc w:val="center"/>
            </w:pPr>
            <w:r>
              <w:t>+2.6</w:t>
            </w:r>
          </w:p>
        </w:tc>
      </w:tr>
      <w:tr w:rsidR="001525D2" w14:paraId="1A519D4D" w14:textId="77777777" w:rsidTr="002A3DDD">
        <w:trPr>
          <w:trHeight w:val="56"/>
        </w:trPr>
        <w:tc>
          <w:tcPr>
            <w:tcW w:w="3955" w:type="dxa"/>
          </w:tcPr>
          <w:p w14:paraId="24C78708" w14:textId="421C473B" w:rsidR="001525D2" w:rsidRDefault="001525D2" w:rsidP="006805B7">
            <w:r>
              <w:t>Gifted and Talented</w:t>
            </w:r>
          </w:p>
        </w:tc>
        <w:tc>
          <w:tcPr>
            <w:tcW w:w="1530" w:type="dxa"/>
          </w:tcPr>
          <w:p w14:paraId="15940132" w14:textId="296F7E8B" w:rsidR="001525D2" w:rsidRDefault="00B27BFE" w:rsidP="00C37F37">
            <w:pPr>
              <w:jc w:val="center"/>
            </w:pPr>
            <w:r>
              <w:t>94.6%</w:t>
            </w:r>
          </w:p>
        </w:tc>
        <w:tc>
          <w:tcPr>
            <w:tcW w:w="1530" w:type="dxa"/>
          </w:tcPr>
          <w:p w14:paraId="69FE92FC" w14:textId="342438DA" w:rsidR="001525D2" w:rsidRDefault="006B6FFB" w:rsidP="00C37F37">
            <w:pPr>
              <w:jc w:val="center"/>
            </w:pPr>
            <w:r>
              <w:t>95.4%</w:t>
            </w:r>
          </w:p>
        </w:tc>
        <w:tc>
          <w:tcPr>
            <w:tcW w:w="3055" w:type="dxa"/>
          </w:tcPr>
          <w:p w14:paraId="6659B3BF" w14:textId="3055A686" w:rsidR="001525D2" w:rsidRDefault="00893C81" w:rsidP="00C37F37">
            <w:pPr>
              <w:jc w:val="center"/>
            </w:pPr>
            <w:r>
              <w:t>+0.8</w:t>
            </w:r>
          </w:p>
        </w:tc>
      </w:tr>
      <w:tr w:rsidR="001525D2" w14:paraId="58605E2F" w14:textId="77777777" w:rsidTr="002A3DDD">
        <w:trPr>
          <w:trHeight w:val="56"/>
        </w:trPr>
        <w:tc>
          <w:tcPr>
            <w:tcW w:w="3955" w:type="dxa"/>
          </w:tcPr>
          <w:p w14:paraId="5C41244E" w14:textId="15C072D7" w:rsidR="001525D2" w:rsidRDefault="001525D2" w:rsidP="006805B7">
            <w:r>
              <w:t>Military Connected</w:t>
            </w:r>
          </w:p>
        </w:tc>
        <w:tc>
          <w:tcPr>
            <w:tcW w:w="1530" w:type="dxa"/>
          </w:tcPr>
          <w:p w14:paraId="4A1AB148" w14:textId="41DC9FA0" w:rsidR="001525D2" w:rsidRDefault="008E6D21" w:rsidP="00C37F37">
            <w:pPr>
              <w:jc w:val="center"/>
            </w:pPr>
            <w:r>
              <w:t>89.7%</w:t>
            </w:r>
          </w:p>
        </w:tc>
        <w:tc>
          <w:tcPr>
            <w:tcW w:w="1530" w:type="dxa"/>
          </w:tcPr>
          <w:p w14:paraId="7D0FF50A" w14:textId="5E0C3AC3" w:rsidR="001525D2" w:rsidRDefault="005840B2" w:rsidP="00C37F37">
            <w:pPr>
              <w:jc w:val="center"/>
            </w:pPr>
            <w:r>
              <w:t>90.4%</w:t>
            </w:r>
          </w:p>
        </w:tc>
        <w:tc>
          <w:tcPr>
            <w:tcW w:w="3055" w:type="dxa"/>
          </w:tcPr>
          <w:p w14:paraId="68387153" w14:textId="68E23CC2" w:rsidR="005840B2" w:rsidRDefault="005840B2" w:rsidP="005840B2">
            <w:pPr>
              <w:jc w:val="center"/>
            </w:pPr>
            <w:r>
              <w:t>+0.7</w:t>
            </w:r>
          </w:p>
        </w:tc>
      </w:tr>
      <w:tr w:rsidR="001525D2" w14:paraId="3424E6F9" w14:textId="77777777" w:rsidTr="002A3DDD">
        <w:trPr>
          <w:trHeight w:val="56"/>
        </w:trPr>
        <w:tc>
          <w:tcPr>
            <w:tcW w:w="3955" w:type="dxa"/>
          </w:tcPr>
          <w:p w14:paraId="38E42D8B" w14:textId="5D4E9843" w:rsidR="001525D2" w:rsidRDefault="001525D2" w:rsidP="006805B7">
            <w:r>
              <w:t>Foster</w:t>
            </w:r>
          </w:p>
        </w:tc>
        <w:tc>
          <w:tcPr>
            <w:tcW w:w="1530" w:type="dxa"/>
          </w:tcPr>
          <w:p w14:paraId="24B409CF" w14:textId="6FD45CC8" w:rsidR="001525D2" w:rsidRDefault="008E6D21" w:rsidP="00C37F37">
            <w:pPr>
              <w:jc w:val="center"/>
            </w:pPr>
            <w:r>
              <w:t>30.0%</w:t>
            </w:r>
          </w:p>
        </w:tc>
        <w:tc>
          <w:tcPr>
            <w:tcW w:w="1530" w:type="dxa"/>
          </w:tcPr>
          <w:p w14:paraId="29E91BA6" w14:textId="59E28932" w:rsidR="001525D2" w:rsidRDefault="005840B2" w:rsidP="00C37F37">
            <w:pPr>
              <w:jc w:val="center"/>
            </w:pPr>
            <w:r>
              <w:t>36.2%</w:t>
            </w:r>
          </w:p>
        </w:tc>
        <w:tc>
          <w:tcPr>
            <w:tcW w:w="3055" w:type="dxa"/>
          </w:tcPr>
          <w:p w14:paraId="6ED673C9" w14:textId="5C45C95C" w:rsidR="001525D2" w:rsidRDefault="005840B2" w:rsidP="00C37F37">
            <w:pPr>
              <w:jc w:val="center"/>
            </w:pPr>
            <w:r>
              <w:t>+6.2</w:t>
            </w:r>
            <w:permStart w:id="324337817" w:edGrp="everyone"/>
            <w:permEnd w:id="324337817"/>
          </w:p>
        </w:tc>
      </w:tr>
    </w:tbl>
    <w:p w14:paraId="7CFF003A" w14:textId="25111443" w:rsidR="009256FD" w:rsidRDefault="68DAACAE" w:rsidP="009256FD">
      <w:pPr>
        <w:pStyle w:val="Heading2"/>
      </w:pPr>
      <w:r>
        <w:t xml:space="preserve">7-year </w:t>
      </w:r>
      <w:r w:rsidR="00BD6CDE">
        <w:t>c</w:t>
      </w:r>
      <w:r w:rsidR="00382958">
        <w:t>ompletion</w:t>
      </w:r>
      <w:r w:rsidR="009256FD">
        <w:t xml:space="preserve"> </w:t>
      </w:r>
      <w:r w:rsidR="00006450">
        <w:t xml:space="preserve">by </w:t>
      </w:r>
      <w:r w:rsidR="00BD6CDE">
        <w:t>s</w:t>
      </w:r>
      <w:r w:rsidR="00006450">
        <w:t>ubgroups</w:t>
      </w:r>
    </w:p>
    <w:p w14:paraId="5DB8AA14" w14:textId="62881C03" w:rsidR="009256FD" w:rsidRDefault="040547F6" w:rsidP="00040435">
      <w:pPr>
        <w:spacing w:after="240"/>
      </w:pPr>
      <w:r>
        <w:t>When given more time to graduate</w:t>
      </w:r>
      <w:r w:rsidR="0ABD3E8D">
        <w:t xml:space="preserve"> or complete high school</w:t>
      </w:r>
      <w:r>
        <w:t>, many students are more successful.</w:t>
      </w:r>
      <w:r w:rsidR="490173CF">
        <w:t xml:space="preserve"> </w:t>
      </w:r>
      <w:r w:rsidR="0C8A27FA">
        <w:t xml:space="preserve">When comparing the 7-year graduation rate for AYG 2020 to the 4-year graduation rate for AYG 2020, </w:t>
      </w:r>
      <w:r w:rsidR="13AC755A">
        <w:t xml:space="preserve">many subgroups show more students </w:t>
      </w:r>
      <w:r w:rsidR="3C8D9908">
        <w:t>graduating by their 7</w:t>
      </w:r>
      <w:r w:rsidR="3C8D9908" w:rsidRPr="0B57A813">
        <w:rPr>
          <w:vertAlign w:val="superscript"/>
        </w:rPr>
        <w:t>th</w:t>
      </w:r>
      <w:r w:rsidR="3C8D9908">
        <w:t xml:space="preserve"> year.</w:t>
      </w:r>
      <w:r w:rsidR="121816D9">
        <w:t xml:space="preserve"> </w:t>
      </w:r>
      <w:r w:rsidR="19942FC6">
        <w:t>In addition, w</w:t>
      </w:r>
      <w:r w:rsidR="121816D9">
        <w:t xml:space="preserve">ith this additional time, some gaps </w:t>
      </w:r>
      <w:r w:rsidR="7F1E00AC">
        <w:t>narrow</w:t>
      </w:r>
      <w:r w:rsidR="0203165D">
        <w:t xml:space="preserve"> but not at a high enough rate to </w:t>
      </w:r>
      <w:r w:rsidR="56689C22">
        <w:t>completely</w:t>
      </w:r>
      <w:r w:rsidR="0203165D">
        <w:t xml:space="preserve"> close the gap</w:t>
      </w:r>
      <w:r w:rsidR="3B74FD43">
        <w:t>s</w:t>
      </w:r>
      <w:r w:rsidR="0203165D">
        <w:t>.</w:t>
      </w:r>
    </w:p>
    <w:p w14:paraId="3B624F2A" w14:textId="30AD6A31" w:rsidR="006B22FE" w:rsidRDefault="003C0A24" w:rsidP="00280873">
      <w:r w:rsidRPr="003C0A24">
        <w:rPr>
          <w:noProof/>
        </w:rPr>
        <w:drawing>
          <wp:inline distT="0" distB="0" distL="0" distR="0" wp14:anchorId="07CFAF73" wp14:editId="14DA70C8">
            <wp:extent cx="6400800" cy="2194560"/>
            <wp:effectExtent l="0" t="0" r="0" b="15240"/>
            <wp:docPr id="1056002796" name="Chart 1" descr="Comparison of 4 and 7-year completion rates by IPST for AYG 2020. Shows that all subgroups have a higher completion rate after 7 years than 4 years with some subgroups growing more than the state and others less than the state. For specific completion rates for each IPST, see the Colorado Education Statistics website.">
              <a:extLst xmlns:a="http://schemas.openxmlformats.org/drawingml/2006/main">
                <a:ext uri="{FF2B5EF4-FFF2-40B4-BE49-F238E27FC236}">
                  <a16:creationId xmlns:a16="http://schemas.microsoft.com/office/drawing/2014/main" id="{8A0B3440-0DA1-902C-A9DB-E67ED6EB6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1CDC7D" w14:textId="6EF83732" w:rsidR="0031003D" w:rsidRDefault="0031003D" w:rsidP="00577BEB">
      <w:pPr>
        <w:spacing w:before="240" w:after="240"/>
      </w:pPr>
      <w:r w:rsidRPr="0031003D">
        <w:rPr>
          <w:noProof/>
        </w:rPr>
        <w:lastRenderedPageBreak/>
        <w:drawing>
          <wp:inline distT="0" distB="0" distL="0" distR="0" wp14:anchorId="436A6224" wp14:editId="23425A1B">
            <wp:extent cx="6400800" cy="1828800"/>
            <wp:effectExtent l="0" t="0" r="0" b="0"/>
            <wp:docPr id="499666727" name="Chart 1" descr="Comparison of 4 and 7-year completion rates by Gender and Race/Ethnicity for AYG 2020. Shows that all subgroups have a higher completion rate after 7 years than 4 years with some subgroups growing more than the state and others less than the state. For specific completion rates for each IPST, see the Colorado Education Statistics website.">
              <a:extLst xmlns:a="http://schemas.openxmlformats.org/drawingml/2006/main">
                <a:ext uri="{FF2B5EF4-FFF2-40B4-BE49-F238E27FC236}">
                  <a16:creationId xmlns:a16="http://schemas.microsoft.com/office/drawing/2014/main" id="{8A0B3440-0DA1-902C-A9DB-E67ED6EB6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586F1C" w14:textId="3CA7FFA7" w:rsidR="00EA6762" w:rsidRDefault="0090237D" w:rsidP="00577BEB">
      <w:pPr>
        <w:pStyle w:val="Heading2"/>
        <w:spacing w:before="0"/>
      </w:pPr>
      <w:r>
        <w:t xml:space="preserve">Additional </w:t>
      </w:r>
      <w:r w:rsidR="00BD6CDE">
        <w:t>a</w:t>
      </w:r>
      <w:r>
        <w:t>nalysis</w:t>
      </w:r>
      <w:r w:rsidR="00740D74">
        <w:t>/</w:t>
      </w:r>
      <w:r w:rsidR="00BD6CDE">
        <w:t>d</w:t>
      </w:r>
      <w:r w:rsidR="00740D74">
        <w:t xml:space="preserve">ata </w:t>
      </w:r>
      <w:r w:rsidR="00BD6CDE">
        <w:t>t</w:t>
      </w:r>
      <w:r w:rsidR="00740D74">
        <w:t>rends</w:t>
      </w:r>
    </w:p>
    <w:p w14:paraId="077FC9BD" w14:textId="41821868" w:rsidR="00E9699A" w:rsidRDefault="1A7A0243" w:rsidP="00E9699A">
      <w:r>
        <w:t xml:space="preserve">CDE is committed to supporting </w:t>
      </w:r>
      <w:r w:rsidR="6BFE416F">
        <w:t>all students across all districts</w:t>
      </w:r>
      <w:r w:rsidR="28245196">
        <w:t xml:space="preserve"> within Colorado so they may successfully graduate</w:t>
      </w:r>
      <w:r w:rsidR="1538FD49">
        <w:t xml:space="preserve"> </w:t>
      </w:r>
      <w:r w:rsidR="00BD6CDE">
        <w:t>or complete</w:t>
      </w:r>
      <w:r w:rsidR="28245196">
        <w:t xml:space="preserve"> high school. When analyzing </w:t>
      </w:r>
      <w:r w:rsidR="6982278A">
        <w:t>graduation</w:t>
      </w:r>
      <w:r w:rsidR="44BF6EC8">
        <w:t xml:space="preserve"> and </w:t>
      </w:r>
      <w:r w:rsidR="6982278A">
        <w:t>completion data, a few other notable trends appear in the data</w:t>
      </w:r>
      <w:r w:rsidR="204D967B">
        <w:t>:</w:t>
      </w:r>
    </w:p>
    <w:p w14:paraId="064019FE" w14:textId="06DE7298" w:rsidR="00BE21CB" w:rsidRDefault="44881D5E" w:rsidP="7EBDC918">
      <w:pPr>
        <w:pStyle w:val="ListParagraph"/>
        <w:numPr>
          <w:ilvl w:val="0"/>
          <w:numId w:val="15"/>
        </w:numPr>
      </w:pPr>
      <w:r>
        <w:t>The AYG 2021 cohort</w:t>
      </w:r>
      <w:r w:rsidR="30491B87">
        <w:t xml:space="preserve"> was the first cohort to show a lower 4-year graduation rate than the previous AYG </w:t>
      </w:r>
      <w:r w:rsidR="1B353D3C">
        <w:t xml:space="preserve">cohort. This trend has continued into the 5-year and 6-year rates of AYG 2021. </w:t>
      </w:r>
      <w:r w:rsidR="2AB3252D">
        <w:t>These students were in their 3</w:t>
      </w:r>
      <w:r w:rsidR="2AB3252D" w:rsidRPr="0B57A813">
        <w:rPr>
          <w:vertAlign w:val="superscript"/>
        </w:rPr>
        <w:t>rd</w:t>
      </w:r>
      <w:r w:rsidR="2AB3252D">
        <w:t xml:space="preserve"> year of high school during the 2019-20 school year when</w:t>
      </w:r>
      <w:r w:rsidR="584A6C05">
        <w:t xml:space="preserve"> the</w:t>
      </w:r>
      <w:r w:rsidR="2AB3252D">
        <w:t xml:space="preserve"> COVID-19 </w:t>
      </w:r>
      <w:r w:rsidR="0EC4634D">
        <w:t xml:space="preserve">pandemic </w:t>
      </w:r>
      <w:r w:rsidR="2AB3252D">
        <w:t>began. It appears they were the most impacted by the</w:t>
      </w:r>
      <w:r w:rsidR="173E8DA2">
        <w:t xml:space="preserve"> interruptions to their high school career in the 2019-20 and 2020-21 school years.</w:t>
      </w:r>
    </w:p>
    <w:p w14:paraId="1C2F0C44" w14:textId="2C5DB0D6" w:rsidR="55D9DD3D" w:rsidRPr="00053F50" w:rsidRDefault="0416C7B1">
      <w:pPr>
        <w:pStyle w:val="ListParagraph"/>
        <w:numPr>
          <w:ilvl w:val="0"/>
          <w:numId w:val="15"/>
        </w:numPr>
      </w:pPr>
      <w:r>
        <w:t>Some regions of our state show higher 4-year graduation rates than others</w:t>
      </w:r>
      <w:r w:rsidR="2FABFCF7">
        <w:t>.</w:t>
      </w:r>
      <w:r w:rsidR="751147D6">
        <w:t xml:space="preserve"> Districts in the </w:t>
      </w:r>
      <w:r w:rsidR="1522D44B">
        <w:t>North Central</w:t>
      </w:r>
      <w:r w:rsidR="721AB116">
        <w:t>, Northwest, and Metro regions</w:t>
      </w:r>
      <w:r w:rsidR="755B8740">
        <w:t xml:space="preserve"> had </w:t>
      </w:r>
      <w:r w:rsidR="0B17FE24">
        <w:t xml:space="preserve">higher 4-year graduation rates than the state </w:t>
      </w:r>
      <w:r w:rsidR="755B8740">
        <w:t>the past three years. Districts</w:t>
      </w:r>
      <w:r w:rsidR="4D7092E8">
        <w:t xml:space="preserve"> in the Pikes Peak, Northeast, and not affiliated with a region </w:t>
      </w:r>
      <w:r w:rsidR="3922136C">
        <w:t>show a substantial gap between their 4-year graduation rates and the state for the past three years.</w:t>
      </w:r>
    </w:p>
    <w:p w14:paraId="022B1046" w14:textId="4338D618" w:rsidR="005C4F42" w:rsidRDefault="00401835" w:rsidP="00053F50">
      <w:r w:rsidRPr="00401835">
        <w:rPr>
          <w:noProof/>
        </w:rPr>
        <w:drawing>
          <wp:inline distT="0" distB="0" distL="0" distR="0" wp14:anchorId="1D9F4B2B" wp14:editId="45E18C4C">
            <wp:extent cx="3511296" cy="1920240"/>
            <wp:effectExtent l="0" t="0" r="13335" b="3810"/>
            <wp:docPr id="889863244" name="Chart 1" descr="Line graph showing trends in the 4-year graduation rate by Colorado region. The Metro, Northwest, and North Central regions consistently show higher 4-year rates than the state. The Northeast region is consistently below the state and declining. The Southwest region dipped below the state for two years and has recovered to be slightly above the state. The West Central, Pikes Peak, Southeast, and Not Applicable regions are consistently below the state.">
              <a:extLst xmlns:a="http://schemas.openxmlformats.org/drawingml/2006/main">
                <a:ext uri="{FF2B5EF4-FFF2-40B4-BE49-F238E27FC236}">
                  <a16:creationId xmlns:a16="http://schemas.microsoft.com/office/drawing/2014/main" id="{A2F210C6-DA8A-A51D-F9DC-8B22F9BEC3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4296B">
        <w:t xml:space="preserve">     </w:t>
      </w:r>
      <w:r w:rsidR="009D3767">
        <w:rPr>
          <w:noProof/>
        </w:rPr>
        <w:drawing>
          <wp:inline distT="0" distB="0" distL="0" distR="0" wp14:anchorId="767A2371" wp14:editId="6B0C7BAA">
            <wp:extent cx="2428875" cy="1892017"/>
            <wp:effectExtent l="0" t="0" r="0" b="0"/>
            <wp:docPr id="2068339347" name="Picture 2068339347" descr="Map of the state of Colorado showing school districts color coded by reg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39347" name="Picture 2068339347" descr="Map of the state of Colorado showing school districts color coded by region. "/>
                    <pic:cNvPicPr/>
                  </pic:nvPicPr>
                  <pic:blipFill>
                    <a:blip r:embed="rId15"/>
                    <a:stretch>
                      <a:fillRect/>
                    </a:stretch>
                  </pic:blipFill>
                  <pic:spPr>
                    <a:xfrm>
                      <a:off x="0" y="0"/>
                      <a:ext cx="2475735" cy="1928520"/>
                    </a:xfrm>
                    <a:prstGeom prst="rect">
                      <a:avLst/>
                    </a:prstGeom>
                  </pic:spPr>
                </pic:pic>
              </a:graphicData>
            </a:graphic>
          </wp:inline>
        </w:drawing>
      </w:r>
    </w:p>
    <w:p w14:paraId="42D1E69F" w14:textId="5EC93D07" w:rsidR="005A2134" w:rsidRPr="00BF6BB6" w:rsidRDefault="005A2134" w:rsidP="00053F50">
      <w:pPr>
        <w:rPr>
          <w:sz w:val="16"/>
          <w:szCs w:val="18"/>
        </w:rPr>
      </w:pPr>
      <w:r w:rsidRPr="00BF6BB6">
        <w:rPr>
          <w:sz w:val="14"/>
          <w:szCs w:val="16"/>
        </w:rPr>
        <w:t xml:space="preserve">*See the </w:t>
      </w:r>
      <w:hyperlink r:id="rId16" w:history="1">
        <w:r w:rsidR="00BF6BB6" w:rsidRPr="00BF6BB6">
          <w:rPr>
            <w:rStyle w:val="Hyperlink"/>
            <w:sz w:val="14"/>
            <w:szCs w:val="16"/>
          </w:rPr>
          <w:t>Field Services—Regions webpage</w:t>
        </w:r>
      </w:hyperlink>
      <w:r w:rsidR="00BF6BB6" w:rsidRPr="00BF6BB6">
        <w:rPr>
          <w:sz w:val="14"/>
          <w:szCs w:val="16"/>
        </w:rPr>
        <w:t xml:space="preserve"> for a list of districts that comprise each region.</w:t>
      </w:r>
    </w:p>
    <w:p w14:paraId="43AC390C" w14:textId="641E7405" w:rsidR="006B22FE" w:rsidRDefault="006B22FE" w:rsidP="006B22FE">
      <w:pPr>
        <w:pStyle w:val="Heading2"/>
      </w:pPr>
      <w:r>
        <w:t>Resources</w:t>
      </w:r>
    </w:p>
    <w:p w14:paraId="7648B750" w14:textId="23629711" w:rsidR="003C32C3" w:rsidRDefault="006B4067" w:rsidP="0B57A813">
      <w:pPr>
        <w:pStyle w:val="ListParagraph"/>
        <w:numPr>
          <w:ilvl w:val="0"/>
          <w:numId w:val="11"/>
        </w:numPr>
        <w:spacing w:after="160" w:line="259" w:lineRule="auto"/>
        <w:rPr>
          <w:szCs w:val="22"/>
        </w:rPr>
      </w:pPr>
      <w:hyperlink r:id="rId17">
        <w:r w:rsidR="0F44004A" w:rsidRPr="0B57A813">
          <w:rPr>
            <w:rStyle w:val="Hyperlink"/>
            <w:rFonts w:eastAsia="Calibri" w:cs="Calibri"/>
          </w:rPr>
          <w:t xml:space="preserve">CDE’s </w:t>
        </w:r>
        <w:r w:rsidR="24F8C894" w:rsidRPr="0B57A813">
          <w:rPr>
            <w:rStyle w:val="Hyperlink"/>
            <w:rFonts w:eastAsia="Calibri" w:cs="Calibri"/>
          </w:rPr>
          <w:t>O</w:t>
        </w:r>
        <w:r w:rsidR="0F44004A" w:rsidRPr="0B57A813">
          <w:rPr>
            <w:rStyle w:val="Hyperlink"/>
            <w:rFonts w:eastAsia="Calibri" w:cs="Calibri"/>
          </w:rPr>
          <w:t>ffice of Dropout Prevention and Student Re-engagement</w:t>
        </w:r>
      </w:hyperlink>
      <w:r w:rsidR="0F44004A" w:rsidRPr="0B57A813">
        <w:rPr>
          <w:rFonts w:eastAsia="Calibri" w:cs="Calibri"/>
          <w:color w:val="000000" w:themeColor="text1"/>
        </w:rPr>
        <w:t xml:space="preserve"> </w:t>
      </w:r>
      <w:r w:rsidR="0549A2F5" w:rsidRPr="0B57A813">
        <w:rPr>
          <w:rFonts w:eastAsia="Calibri" w:cs="Calibri"/>
          <w:color w:val="000000" w:themeColor="text1"/>
        </w:rPr>
        <w:t xml:space="preserve">supports programs, identifies </w:t>
      </w:r>
      <w:r w:rsidR="0F44004A" w:rsidRPr="0B57A813">
        <w:rPr>
          <w:rFonts w:eastAsia="Calibri" w:cs="Calibri"/>
          <w:color w:val="000000" w:themeColor="text1"/>
        </w:rPr>
        <w:t>resources</w:t>
      </w:r>
      <w:r w:rsidR="6AF2A08A" w:rsidRPr="0B57A813">
        <w:rPr>
          <w:rFonts w:eastAsia="Calibri" w:cs="Calibri"/>
          <w:color w:val="000000" w:themeColor="text1"/>
        </w:rPr>
        <w:t>, and facilitates learning sessions focused</w:t>
      </w:r>
      <w:r w:rsidR="0F44004A" w:rsidRPr="0B57A813">
        <w:rPr>
          <w:rFonts w:eastAsia="Calibri" w:cs="Calibri"/>
          <w:color w:val="000000" w:themeColor="text1"/>
        </w:rPr>
        <w:t xml:space="preserve"> on evidence-based practices to improve attendance</w:t>
      </w:r>
      <w:r w:rsidR="4CD650A8" w:rsidRPr="0B57A813">
        <w:rPr>
          <w:rFonts w:eastAsia="Calibri" w:cs="Calibri"/>
          <w:color w:val="000000" w:themeColor="text1"/>
        </w:rPr>
        <w:t xml:space="preserve">, </w:t>
      </w:r>
      <w:r w:rsidR="7797084C" w:rsidRPr="0B57A813">
        <w:rPr>
          <w:rFonts w:eastAsia="Calibri" w:cs="Calibri"/>
          <w:color w:val="000000" w:themeColor="text1"/>
        </w:rPr>
        <w:t xml:space="preserve">student </w:t>
      </w:r>
      <w:r w:rsidR="4CD650A8" w:rsidRPr="0B57A813">
        <w:rPr>
          <w:rFonts w:eastAsia="Calibri" w:cs="Calibri"/>
          <w:color w:val="000000" w:themeColor="text1"/>
        </w:rPr>
        <w:t>engagement</w:t>
      </w:r>
      <w:r w:rsidR="0F44004A" w:rsidRPr="0B57A813">
        <w:rPr>
          <w:rFonts w:eastAsia="Calibri" w:cs="Calibri"/>
          <w:color w:val="000000" w:themeColor="text1"/>
        </w:rPr>
        <w:t xml:space="preserve"> and </w:t>
      </w:r>
      <w:r w:rsidR="62066867" w:rsidRPr="0B57A813">
        <w:rPr>
          <w:rFonts w:eastAsia="Calibri" w:cs="Calibri"/>
          <w:color w:val="000000" w:themeColor="text1"/>
        </w:rPr>
        <w:t>connections</w:t>
      </w:r>
      <w:r w:rsidR="2615968D" w:rsidRPr="0B57A813">
        <w:rPr>
          <w:rFonts w:eastAsia="Calibri" w:cs="Calibri"/>
          <w:color w:val="000000" w:themeColor="text1"/>
        </w:rPr>
        <w:t xml:space="preserve"> to learning</w:t>
      </w:r>
      <w:r w:rsidR="62066867" w:rsidRPr="0B57A813">
        <w:rPr>
          <w:rFonts w:eastAsia="Calibri" w:cs="Calibri"/>
          <w:color w:val="000000" w:themeColor="text1"/>
        </w:rPr>
        <w:t xml:space="preserve">.  </w:t>
      </w:r>
    </w:p>
    <w:p w14:paraId="47A94789" w14:textId="67328A1C" w:rsidR="003C32C3" w:rsidRDefault="006B4067" w:rsidP="0B57A813">
      <w:pPr>
        <w:pStyle w:val="ListParagraph"/>
        <w:numPr>
          <w:ilvl w:val="0"/>
          <w:numId w:val="11"/>
        </w:numPr>
        <w:spacing w:after="160" w:line="259" w:lineRule="auto"/>
        <w:rPr>
          <w:szCs w:val="22"/>
        </w:rPr>
      </w:pPr>
      <w:hyperlink r:id="rId18">
        <w:r w:rsidR="3D85786D" w:rsidRPr="0B57A813">
          <w:rPr>
            <w:rStyle w:val="Hyperlink"/>
          </w:rPr>
          <w:t>CDE’s Office of Postsecondary and Workforce Readiness</w:t>
        </w:r>
      </w:hyperlink>
      <w:r w:rsidR="3D85786D">
        <w:t xml:space="preserve"> supports programs and strategies that support student access to career-connected learning options.</w:t>
      </w:r>
    </w:p>
    <w:p w14:paraId="442A292A" w14:textId="77777777" w:rsidR="003C32C3" w:rsidRDefault="006B4067" w:rsidP="003C32C3">
      <w:pPr>
        <w:pStyle w:val="ListParagraph"/>
        <w:numPr>
          <w:ilvl w:val="1"/>
          <w:numId w:val="11"/>
        </w:numPr>
      </w:pPr>
      <w:hyperlink r:id="rId19" w:history="1">
        <w:r w:rsidR="003C32C3" w:rsidRPr="00333EBF">
          <w:rPr>
            <w:rStyle w:val="Hyperlink"/>
          </w:rPr>
          <w:t>Colorado’s Graduation Guidelines information.</w:t>
        </w:r>
      </w:hyperlink>
    </w:p>
    <w:p w14:paraId="16C438CF" w14:textId="2D65E8FE" w:rsidR="002B7237" w:rsidRPr="002B7237" w:rsidRDefault="006B4067" w:rsidP="00A65B93">
      <w:pPr>
        <w:pStyle w:val="ListParagraph"/>
        <w:numPr>
          <w:ilvl w:val="0"/>
          <w:numId w:val="11"/>
        </w:numPr>
        <w:spacing w:after="160" w:line="259" w:lineRule="auto"/>
      </w:pPr>
      <w:hyperlink r:id="rId20" w:history="1">
        <w:r w:rsidR="00A65B93" w:rsidRPr="00A65B93">
          <w:rPr>
            <w:rStyle w:val="Hyperlink"/>
            <w:rFonts w:eastAsia="Calibri" w:cs="Calibri"/>
          </w:rPr>
          <w:t>CDE’s Data Services team</w:t>
        </w:r>
      </w:hyperlink>
      <w:r w:rsidR="00A65B93" w:rsidRPr="00A65B93">
        <w:rPr>
          <w:rFonts w:eastAsia="Calibri" w:cs="Calibri"/>
          <w:color w:val="000000"/>
        </w:rPr>
        <w:t xml:space="preserve"> collects and publishes </w:t>
      </w:r>
      <w:r w:rsidR="000366EE">
        <w:rPr>
          <w:rFonts w:eastAsia="Calibri" w:cs="Calibri"/>
          <w:color w:val="000000"/>
        </w:rPr>
        <w:t xml:space="preserve">annual graduation/completion </w:t>
      </w:r>
      <w:r w:rsidR="0090237D">
        <w:rPr>
          <w:rFonts w:eastAsia="Calibri" w:cs="Calibri"/>
          <w:color w:val="000000"/>
        </w:rPr>
        <w:t>data</w:t>
      </w:r>
      <w:r w:rsidR="00A65B93" w:rsidRPr="00A65B93">
        <w:rPr>
          <w:rFonts w:eastAsia="Calibri" w:cs="Calibri"/>
          <w:color w:val="000000"/>
        </w:rPr>
        <w:t>.</w:t>
      </w:r>
    </w:p>
    <w:sectPr w:rsidR="002B7237" w:rsidRPr="002B7237" w:rsidSect="005B6825">
      <w:headerReference w:type="even" r:id="rId21"/>
      <w:headerReference w:type="default" r:id="rId22"/>
      <w:footerReference w:type="even" r:id="rId23"/>
      <w:footerReference w:type="default" r:id="rId24"/>
      <w:headerReference w:type="first" r:id="rId25"/>
      <w:footerReference w:type="first" r:id="rId26"/>
      <w:pgSz w:w="12240" w:h="15840"/>
      <w:pgMar w:top="720" w:right="1080" w:bottom="720" w:left="108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B679" w14:textId="77777777" w:rsidR="00203987" w:rsidRDefault="00203987" w:rsidP="00764158">
      <w:r>
        <w:separator/>
      </w:r>
    </w:p>
  </w:endnote>
  <w:endnote w:type="continuationSeparator" w:id="0">
    <w:p w14:paraId="03FA0AF3" w14:textId="77777777" w:rsidR="00203987" w:rsidRDefault="00203987" w:rsidP="00764158">
      <w:r>
        <w:continuationSeparator/>
      </w:r>
    </w:p>
  </w:endnote>
  <w:endnote w:type="continuationNotice" w:id="1">
    <w:p w14:paraId="721D8226" w14:textId="77777777" w:rsidR="00203987" w:rsidRDefault="00203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PalatinoLinotype-Bold">
    <w:altName w:val="Palatino Linotype"/>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C137" w14:textId="6AF1B2CC" w:rsidR="005B6825" w:rsidRPr="005840B2" w:rsidRDefault="005840B2" w:rsidP="005840B2">
    <w:pPr>
      <w:pStyle w:val="Footer"/>
      <w:jc w:val="right"/>
    </w:pPr>
    <w:r>
      <w:rPr>
        <w:rFonts w:ascii="Trebuchet MS" w:hAnsi="Trebuchet MS"/>
        <w:color w:val="5D6770"/>
        <w:sz w:val="18"/>
        <w:szCs w:val="18"/>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B260" w14:textId="1CB5D859" w:rsidR="008B64D8" w:rsidRPr="00E741AE" w:rsidRDefault="008B64D8" w:rsidP="008B64D8">
    <w:pPr>
      <w:pStyle w:val="BasicParagraph"/>
      <w:rPr>
        <w:rFonts w:ascii="Museo Slab 500" w:hAnsi="Museo Slab 500" w:cs="Calibri"/>
        <w:color w:val="5D6770"/>
      </w:rPr>
    </w:pPr>
    <w:r w:rsidRPr="00E741AE">
      <w:rPr>
        <w:rFonts w:ascii="Museo Slab 500" w:hAnsi="Museo Slab 500" w:cs="PalatinoLinotype-Bold"/>
        <w:bCs/>
        <w:color w:val="5D6770"/>
      </w:rPr>
      <w:t>Colorado Department of Education</w:t>
    </w:r>
    <w:r w:rsidRPr="00E741AE">
      <w:rPr>
        <w:color w:val="5D6770"/>
        <w:sz w:val="18"/>
        <w:szCs w:val="18"/>
      </w:rPr>
      <w:t xml:space="preserve"> </w:t>
    </w:r>
    <w:r w:rsidRPr="00E741AE">
      <w:rPr>
        <w:color w:val="5D6770"/>
        <w:sz w:val="18"/>
        <w:szCs w:val="18"/>
      </w:rPr>
      <w:tab/>
    </w:r>
    <w:r w:rsidRPr="00E741AE">
      <w:rPr>
        <w:color w:val="5D6770"/>
        <w:sz w:val="18"/>
        <w:szCs w:val="18"/>
      </w:rPr>
      <w:tab/>
    </w:r>
    <w:r w:rsidRPr="00E741AE">
      <w:rPr>
        <w:color w:val="5D6770"/>
        <w:sz w:val="18"/>
        <w:szCs w:val="18"/>
      </w:rPr>
      <w:tab/>
    </w:r>
    <w:r w:rsidRPr="00E741AE">
      <w:rPr>
        <w:color w:val="5D6770"/>
        <w:sz w:val="18"/>
        <w:szCs w:val="18"/>
      </w:rPr>
      <w:tab/>
    </w:r>
    <w:r w:rsidRPr="00E741AE">
      <w:rPr>
        <w:color w:val="5D6770"/>
        <w:sz w:val="18"/>
        <w:szCs w:val="18"/>
      </w:rPr>
      <w:tab/>
    </w:r>
    <w:r w:rsidRPr="00E741AE">
      <w:rPr>
        <w:color w:val="5D6770"/>
        <w:sz w:val="18"/>
        <w:szCs w:val="18"/>
      </w:rPr>
      <w:tab/>
    </w:r>
    <w:r w:rsidRPr="00E741AE">
      <w:rPr>
        <w:color w:val="5D6770"/>
        <w:sz w:val="18"/>
        <w:szCs w:val="18"/>
      </w:rPr>
      <w:tab/>
    </w:r>
    <w:r w:rsidRPr="00E741AE">
      <w:rPr>
        <w:color w:val="5D6770"/>
        <w:sz w:val="18"/>
        <w:szCs w:val="18"/>
      </w:rPr>
      <w:tab/>
    </w:r>
    <w:r w:rsidR="00F2315D">
      <w:rPr>
        <w:rFonts w:ascii="Trebuchet MS" w:hAnsi="Trebuchet MS"/>
        <w:color w:val="5D6770"/>
        <w:sz w:val="18"/>
        <w:szCs w:val="18"/>
      </w:rPr>
      <w:t>JANUARY 2024</w:t>
    </w:r>
  </w:p>
  <w:p w14:paraId="058B460F" w14:textId="055D41F3" w:rsidR="00320356" w:rsidRPr="008B64D8" w:rsidRDefault="008B64D8" w:rsidP="008B64D8">
    <w:pPr>
      <w:pStyle w:val="Footer"/>
      <w:rPr>
        <w:color w:val="5D6770"/>
      </w:rPr>
    </w:pPr>
    <w:r w:rsidRPr="00E741AE">
      <w:rPr>
        <w:rFonts w:cs="Calibri"/>
        <w:color w:val="5D6770"/>
        <w:sz w:val="18"/>
        <w:szCs w:val="18"/>
      </w:rPr>
      <w:t>201 E. Colfax Ave., Denver, CO 80203</w:t>
    </w:r>
    <w:r w:rsidRPr="00E741AE">
      <w:rPr>
        <w:rFonts w:cs="Calibri"/>
        <w:color w:val="5D6770"/>
        <w:sz w:val="18"/>
        <w:szCs w:val="18"/>
      </w:rPr>
      <w:tab/>
    </w:r>
    <w:r w:rsidRPr="00E741AE">
      <w:rPr>
        <w:rFonts w:cs="Calibri"/>
        <w:color w:val="5D677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7F4F" w14:textId="7953B5CA" w:rsidR="005E3BA8" w:rsidRPr="008B64D8" w:rsidRDefault="00F2315D" w:rsidP="00320356">
    <w:pPr>
      <w:pStyle w:val="Footer"/>
      <w:jc w:val="right"/>
      <w:rPr>
        <w:sz w:val="18"/>
        <w:szCs w:val="18"/>
      </w:rPr>
    </w:pPr>
    <w:r>
      <w:rPr>
        <w:sz w:val="18"/>
        <w:szCs w:val="18"/>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6633" w14:textId="77777777" w:rsidR="00203987" w:rsidRDefault="00203987" w:rsidP="00764158">
      <w:r>
        <w:separator/>
      </w:r>
    </w:p>
  </w:footnote>
  <w:footnote w:type="continuationSeparator" w:id="0">
    <w:p w14:paraId="13E92B66" w14:textId="77777777" w:rsidR="00203987" w:rsidRDefault="00203987" w:rsidP="00764158">
      <w:r>
        <w:continuationSeparator/>
      </w:r>
    </w:p>
  </w:footnote>
  <w:footnote w:type="continuationNotice" w:id="1">
    <w:p w14:paraId="76B68B63" w14:textId="77777777" w:rsidR="00203987" w:rsidRDefault="00203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EF7D" w14:textId="77777777" w:rsidR="005B6825" w:rsidRDefault="005B6825" w:rsidP="005B6825">
    <w:pPr>
      <w:pStyle w:val="Header"/>
      <w:tabs>
        <w:tab w:val="clear" w:pos="4320"/>
        <w:tab w:val="clear" w:pos="8640"/>
        <w:tab w:val="left" w:pos="5400"/>
      </w:tabs>
    </w:pPr>
    <w:r>
      <w:rPr>
        <w:noProof/>
      </w:rPr>
      <w:drawing>
        <wp:inline distT="0" distB="0" distL="0" distR="0" wp14:anchorId="339713C9" wp14:editId="45DECDA7">
          <wp:extent cx="1085850" cy="457200"/>
          <wp:effectExtent l="0" t="0" r="0" b="0"/>
          <wp:docPr id="1890552310" name="Picture 1890552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457200"/>
                  </a:xfrm>
                  <a:prstGeom prst="rect">
                    <a:avLst/>
                  </a:prstGeom>
                  <a:noFill/>
                  <a:ln>
                    <a:noFill/>
                  </a:ln>
                </pic:spPr>
              </pic:pic>
            </a:graphicData>
          </a:graphic>
        </wp:inline>
      </w:drawing>
    </w:r>
    <w:r>
      <w:rPr>
        <w:rFonts w:ascii="Trebuchet MS" w:hAnsi="Trebuchet MS"/>
        <w:b/>
        <w:bCs/>
        <w:color w:val="5D6770"/>
        <w:sz w:val="18"/>
        <w:szCs w:val="18"/>
      </w:rPr>
      <w:tab/>
      <w:t>2022-23 Graduation/Completion Release Summary</w:t>
    </w:r>
    <w:r w:rsidRPr="009E40B4">
      <w:rPr>
        <w:rFonts w:ascii="Trebuchet MS" w:hAnsi="Trebuchet MS"/>
        <w:b/>
        <w:bCs/>
        <w:color w:val="919BA5"/>
        <w:sz w:val="18"/>
        <w:szCs w:val="18"/>
      </w:rPr>
      <w:t xml:space="preserve">     </w:t>
    </w:r>
    <w:r w:rsidRPr="009E40B4">
      <w:rPr>
        <w:rFonts w:ascii="Trebuchet MS" w:hAnsi="Trebuchet MS"/>
        <w:b/>
        <w:color w:val="5D6770"/>
        <w:szCs w:val="20"/>
      </w:rPr>
      <w:fldChar w:fldCharType="begin"/>
    </w:r>
    <w:r w:rsidRPr="009E40B4">
      <w:rPr>
        <w:rFonts w:ascii="Trebuchet MS" w:hAnsi="Trebuchet MS"/>
        <w:b/>
        <w:color w:val="5D6770"/>
        <w:szCs w:val="20"/>
      </w:rPr>
      <w:instrText xml:space="preserve"> PAGE   \* MERGEFORMAT </w:instrText>
    </w:r>
    <w:r w:rsidRPr="009E40B4">
      <w:rPr>
        <w:rFonts w:ascii="Trebuchet MS" w:hAnsi="Trebuchet MS"/>
        <w:b/>
        <w:color w:val="5D6770"/>
        <w:szCs w:val="20"/>
      </w:rPr>
      <w:fldChar w:fldCharType="separate"/>
    </w:r>
    <w:r>
      <w:rPr>
        <w:rFonts w:ascii="Trebuchet MS" w:hAnsi="Trebuchet MS"/>
        <w:b/>
        <w:color w:val="5D6770"/>
        <w:szCs w:val="20"/>
      </w:rPr>
      <w:t>3</w:t>
    </w:r>
    <w:r w:rsidRPr="009E40B4">
      <w:rPr>
        <w:rFonts w:ascii="Trebuchet MS" w:hAnsi="Trebuchet MS"/>
        <w:b/>
        <w:color w:val="5D6770"/>
        <w:szCs w:val="20"/>
      </w:rPr>
      <w:fldChar w:fldCharType="end"/>
    </w:r>
  </w:p>
  <w:p w14:paraId="54B4675B" w14:textId="034F59A1" w:rsidR="005B6825" w:rsidRDefault="006B4067" w:rsidP="005B6825">
    <w:pPr>
      <w:pStyle w:val="Header"/>
      <w:tabs>
        <w:tab w:val="clear" w:pos="4320"/>
        <w:tab w:val="clear" w:pos="8640"/>
        <w:tab w:val="left" w:pos="4373"/>
      </w:tabs>
    </w:pPr>
    <w:r>
      <w:pict w14:anchorId="110C0900">
        <v:rect id="_x0000_i1025" style="width:540pt;height:1pt" o:hralign="center" o:hrstd="t" o:hr="t" fillcolor="#aaa"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7681" w14:textId="6A11E79E" w:rsidR="00B83063" w:rsidRDefault="007A6945" w:rsidP="00D35F93">
    <w:pPr>
      <w:pStyle w:val="Header"/>
      <w:tabs>
        <w:tab w:val="clear" w:pos="4320"/>
        <w:tab w:val="clear" w:pos="8640"/>
        <w:tab w:val="left" w:pos="5400"/>
      </w:tabs>
    </w:pPr>
    <w:r>
      <w:rPr>
        <w:noProof/>
      </w:rPr>
      <w:drawing>
        <wp:inline distT="0" distB="0" distL="0" distR="0" wp14:anchorId="4E400898" wp14:editId="5F4B015D">
          <wp:extent cx="1085850" cy="457200"/>
          <wp:effectExtent l="0" t="0" r="0" b="0"/>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457200"/>
                  </a:xfrm>
                  <a:prstGeom prst="rect">
                    <a:avLst/>
                  </a:prstGeom>
                  <a:noFill/>
                  <a:ln>
                    <a:noFill/>
                  </a:ln>
                </pic:spPr>
              </pic:pic>
            </a:graphicData>
          </a:graphic>
        </wp:inline>
      </w:drawing>
    </w:r>
    <w:r w:rsidR="009E40B4">
      <w:rPr>
        <w:rFonts w:ascii="Trebuchet MS" w:hAnsi="Trebuchet MS"/>
        <w:b/>
        <w:bCs/>
        <w:color w:val="5D6770"/>
        <w:sz w:val="18"/>
        <w:szCs w:val="18"/>
      </w:rPr>
      <w:tab/>
      <w:t xml:space="preserve">2022-23 </w:t>
    </w:r>
    <w:r w:rsidR="00D35F93">
      <w:rPr>
        <w:rFonts w:ascii="Trebuchet MS" w:hAnsi="Trebuchet MS"/>
        <w:b/>
        <w:bCs/>
        <w:color w:val="5D6770"/>
        <w:sz w:val="18"/>
        <w:szCs w:val="18"/>
      </w:rPr>
      <w:t>Graduation/Completion</w:t>
    </w:r>
    <w:r w:rsidR="009E40B4">
      <w:rPr>
        <w:rFonts w:ascii="Trebuchet MS" w:hAnsi="Trebuchet MS"/>
        <w:b/>
        <w:bCs/>
        <w:color w:val="5D6770"/>
        <w:sz w:val="18"/>
        <w:szCs w:val="18"/>
      </w:rPr>
      <w:t xml:space="preserve"> Release Summary</w:t>
    </w:r>
    <w:r w:rsidR="00680A43" w:rsidRPr="009E40B4">
      <w:rPr>
        <w:rFonts w:ascii="Trebuchet MS" w:hAnsi="Trebuchet MS"/>
        <w:b/>
        <w:bCs/>
        <w:color w:val="919BA5"/>
        <w:sz w:val="18"/>
        <w:szCs w:val="18"/>
      </w:rPr>
      <w:t xml:space="preserve">     </w:t>
    </w:r>
    <w:r w:rsidR="00D31D03" w:rsidRPr="009E40B4">
      <w:rPr>
        <w:rFonts w:ascii="Trebuchet MS" w:hAnsi="Trebuchet MS"/>
        <w:b/>
        <w:color w:val="5D6770"/>
        <w:szCs w:val="20"/>
      </w:rPr>
      <w:fldChar w:fldCharType="begin"/>
    </w:r>
    <w:r w:rsidR="00D31D03" w:rsidRPr="009E40B4">
      <w:rPr>
        <w:rFonts w:ascii="Trebuchet MS" w:hAnsi="Trebuchet MS"/>
        <w:b/>
        <w:color w:val="5D6770"/>
        <w:szCs w:val="20"/>
      </w:rPr>
      <w:instrText xml:space="preserve"> PAGE   \* MERGEFORMAT </w:instrText>
    </w:r>
    <w:r w:rsidR="00D31D03" w:rsidRPr="009E40B4">
      <w:rPr>
        <w:rFonts w:ascii="Trebuchet MS" w:hAnsi="Trebuchet MS"/>
        <w:b/>
        <w:color w:val="5D6770"/>
        <w:szCs w:val="20"/>
      </w:rPr>
      <w:fldChar w:fldCharType="separate"/>
    </w:r>
    <w:r w:rsidR="00680A43" w:rsidRPr="009E40B4">
      <w:rPr>
        <w:rFonts w:ascii="Trebuchet MS" w:hAnsi="Trebuchet MS"/>
        <w:b/>
        <w:noProof/>
        <w:color w:val="5D6770"/>
        <w:szCs w:val="20"/>
      </w:rPr>
      <w:t>2</w:t>
    </w:r>
    <w:r w:rsidR="00D31D03" w:rsidRPr="009E40B4">
      <w:rPr>
        <w:rFonts w:ascii="Trebuchet MS" w:hAnsi="Trebuchet MS"/>
        <w:b/>
        <w:color w:val="5D6770"/>
        <w:szCs w:val="20"/>
      </w:rPr>
      <w:fldChar w:fldCharType="end"/>
    </w:r>
  </w:p>
  <w:p w14:paraId="2F3DFFD1" w14:textId="77777777" w:rsidR="00B83063" w:rsidRDefault="006B4067" w:rsidP="00B83063">
    <w:pPr>
      <w:pStyle w:val="Header"/>
      <w:tabs>
        <w:tab w:val="clear" w:pos="4320"/>
        <w:tab w:val="clear" w:pos="8640"/>
        <w:tab w:val="left" w:pos="4373"/>
      </w:tabs>
    </w:pPr>
    <w:r>
      <w:pict w14:anchorId="09968B3C">
        <v:rect id="_x0000_i1026" style="width:540pt;height:1pt" o:hralign="center" o:hrstd="t" o:hr="t" fillcolor="#aaa"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1C86" w14:textId="3E72D869" w:rsidR="00C12323" w:rsidRDefault="00FA6CFC" w:rsidP="007E32BD">
    <w:pPr>
      <w:pStyle w:val="Header"/>
      <w:tabs>
        <w:tab w:val="clear" w:pos="8640"/>
        <w:tab w:val="left" w:pos="6647"/>
        <w:tab w:val="left" w:pos="8492"/>
      </w:tabs>
    </w:pPr>
    <w:r w:rsidRPr="0005455B">
      <w:rPr>
        <w:rFonts w:ascii="Museo Slab 500" w:hAnsi="Museo Slab 500"/>
        <w:noProof/>
        <w:sz w:val="36"/>
        <w:szCs w:val="36"/>
      </w:rPr>
      <w:drawing>
        <wp:inline distT="0" distB="0" distL="0" distR="0" wp14:anchorId="15AC2BE7" wp14:editId="5E6416CD">
          <wp:extent cx="2847975" cy="476250"/>
          <wp:effectExtent l="0" t="0" r="0" b="0"/>
          <wp:docPr id="2"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476250"/>
                  </a:xfrm>
                  <a:prstGeom prst="rect">
                    <a:avLst/>
                  </a:prstGeom>
                  <a:noFill/>
                  <a:ln>
                    <a:noFill/>
                  </a:ln>
                </pic:spPr>
              </pic:pic>
            </a:graphicData>
          </a:graphic>
        </wp:inline>
      </w:drawing>
    </w:r>
    <w:r w:rsidR="004267A4">
      <w:rPr>
        <w:noProof/>
      </w:rPr>
      <mc:AlternateContent>
        <mc:Choice Requires="wps">
          <w:drawing>
            <wp:anchor distT="0" distB="0" distL="114300" distR="114300" simplePos="0" relativeHeight="251658240" behindDoc="1" locked="1" layoutInCell="1" allowOverlap="1" wp14:anchorId="0B213CD5" wp14:editId="315D76E4">
              <wp:simplePos x="0" y="0"/>
              <wp:positionH relativeFrom="column">
                <wp:posOffset>4565650</wp:posOffset>
              </wp:positionH>
              <wp:positionV relativeFrom="page">
                <wp:posOffset>-11430</wp:posOffset>
              </wp:positionV>
              <wp:extent cx="2514600" cy="10058400"/>
              <wp:effectExtent l="38100" t="19050" r="38100" b="5715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0058400"/>
                      </a:xfrm>
                      <a:prstGeom prst="rect">
                        <a:avLst/>
                      </a:prstGeom>
                      <a:solidFill>
                        <a:srgbClr val="96D5EE"/>
                      </a:solidFill>
                      <a:ln w="10000" cap="flat" cmpd="sng" algn="ctr">
                        <a:noFill/>
                        <a:prstDash val="solid"/>
                      </a:ln>
                      <a:effectLst>
                        <a:outerShdw blurRad="31750" dist="25400" dir="5400000" rotWithShape="0">
                          <a:srgbClr val="000000">
                            <a:alpha val="50000"/>
                          </a:srgbClr>
                        </a:outerShdw>
                      </a:effectLst>
                      <a:extLst>
                        <a:ext uri="{FAA26D3D-D897-4be2-8F04-BA451C77F1D7}"/>
                        <a:ext uri="{C572A759-6A51-4108-AA02-DFA0A04FC94B}"/>
                      </a:extLst>
                    </wps:spPr>
                    <wps:txbx>
                      <w:txbxContent>
                        <w:p w14:paraId="0AE33119" w14:textId="1C714A3E" w:rsidR="00630F54" w:rsidRDefault="009256FD" w:rsidP="00630F54">
                          <w:pPr>
                            <w:pStyle w:val="Heading2"/>
                            <w:spacing w:after="240"/>
                          </w:pPr>
                          <w:r>
                            <w:t>Graduation/Completion</w:t>
                          </w:r>
                          <w:r w:rsidR="00630F54">
                            <w:t xml:space="preserve"> Definitions:</w:t>
                          </w:r>
                        </w:p>
                        <w:p w14:paraId="48DF4D1F" w14:textId="694099BA" w:rsidR="00630F54" w:rsidRDefault="009256FD" w:rsidP="00630F54">
                          <w:r>
                            <w:t>Graduate</w:t>
                          </w:r>
                          <w:r w:rsidR="00630F54">
                            <w:t xml:space="preserve"> – </w:t>
                          </w:r>
                          <w:r w:rsidR="003756AF">
                            <w:t>A student who finishes their education with a high-school diploma.</w:t>
                          </w:r>
                        </w:p>
                        <w:p w14:paraId="399E6B37" w14:textId="77777777" w:rsidR="00630F54" w:rsidRDefault="00630F54" w:rsidP="00630F54"/>
                        <w:p w14:paraId="21A8F936" w14:textId="554DFCC0" w:rsidR="009256FD" w:rsidRDefault="009256FD" w:rsidP="00630F54">
                          <w:r>
                            <w:t>Completer</w:t>
                          </w:r>
                          <w:r w:rsidR="003756AF">
                            <w:t xml:space="preserve"> – A student who finishes their education with </w:t>
                          </w:r>
                          <w:r w:rsidR="00154287">
                            <w:t>a certificate of completion</w:t>
                          </w:r>
                          <w:r w:rsidR="00F805C6">
                            <w:t xml:space="preserve"> or a </w:t>
                          </w:r>
                          <w:r w:rsidR="00A83B89">
                            <w:t xml:space="preserve">High-School Equivalency </w:t>
                          </w:r>
                          <w:r w:rsidR="005429CA">
                            <w:t>D</w:t>
                          </w:r>
                          <w:r w:rsidR="00A83B89">
                            <w:t>iploma</w:t>
                          </w:r>
                          <w:r w:rsidR="005429CA">
                            <w:t xml:space="preserve"> (HSED)</w:t>
                          </w:r>
                          <w:r w:rsidR="00F805C6">
                            <w:t>.</w:t>
                          </w:r>
                        </w:p>
                        <w:p w14:paraId="58F528A0" w14:textId="77777777" w:rsidR="009256FD" w:rsidRDefault="009256FD" w:rsidP="00630F54"/>
                        <w:p w14:paraId="5AAF26D6" w14:textId="42AB653D" w:rsidR="009256FD" w:rsidRDefault="009256FD" w:rsidP="00630F54">
                          <w:r>
                            <w:t>Anticipated Year of Graduation</w:t>
                          </w:r>
                          <w:r w:rsidR="00C776B5">
                            <w:t xml:space="preserve"> (AYG)</w:t>
                          </w:r>
                          <w:r>
                            <w:t xml:space="preserve"> – </w:t>
                          </w:r>
                          <w:r w:rsidR="00D91DC4">
                            <w:t>The year a student is expected to graduate</w:t>
                          </w:r>
                          <w:r w:rsidR="00DF79A2">
                            <w:t xml:space="preserve"> based upon the year they enter high school for the first time</w:t>
                          </w:r>
                          <w:r w:rsidR="00D91DC4">
                            <w:t>. Students are assigned</w:t>
                          </w:r>
                          <w:r w:rsidR="00C776B5">
                            <w:t xml:space="preserve"> an unchanging AYG when they enter ninth grade</w:t>
                          </w:r>
                          <w:r w:rsidR="00353F35">
                            <w:t xml:space="preserve"> by adding three years to the school year they entered ninth grade.</w:t>
                          </w:r>
                          <w:r w:rsidR="009D1AD0">
                            <w:t xml:space="preserve"> AYG is represented by the 4-digit Spring semester</w:t>
                          </w:r>
                          <w:r w:rsidR="00704803">
                            <w:t xml:space="preserve"> of a year (e.g. 2022-2023</w:t>
                          </w:r>
                          <w:r w:rsidR="008A7208">
                            <w:t xml:space="preserve"> is AYG 2023).</w:t>
                          </w:r>
                        </w:p>
                        <w:p w14:paraId="79361E74" w14:textId="77777777" w:rsidR="00630F54" w:rsidRDefault="00630F54" w:rsidP="00630F54"/>
                        <w:p w14:paraId="75CEA117" w14:textId="0C9C7314" w:rsidR="00630F54" w:rsidRDefault="009256FD" w:rsidP="009256FD">
                          <w:r>
                            <w:t>AYG Cohort</w:t>
                          </w:r>
                          <w:r w:rsidR="00630F54">
                            <w:t xml:space="preserve"> – </w:t>
                          </w:r>
                          <w:r w:rsidR="007B58EA">
                            <w:t xml:space="preserve">Students with the same AYG are grouped together to create the </w:t>
                          </w:r>
                          <w:r w:rsidR="006825E2">
                            <w:t>AYG Cohort used in graduation and completion rate calculations.</w:t>
                          </w:r>
                        </w:p>
                        <w:p w14:paraId="677512C1" w14:textId="77777777" w:rsidR="009256FD" w:rsidRDefault="009256FD" w:rsidP="009256FD"/>
                        <w:p w14:paraId="483DA25C" w14:textId="67E698E4" w:rsidR="009256FD" w:rsidRDefault="009256FD" w:rsidP="009256FD">
                          <w:r>
                            <w:t>Graduation Rate –</w:t>
                          </w:r>
                          <w:r w:rsidR="006825E2">
                            <w:t xml:space="preserve"> Number of graduates divided by the </w:t>
                          </w:r>
                          <w:r w:rsidR="00800334">
                            <w:t>number of students with the same assigned AYG (AYG Cohort).</w:t>
                          </w:r>
                        </w:p>
                        <w:p w14:paraId="1DEA0424" w14:textId="77777777" w:rsidR="009256FD" w:rsidRDefault="009256FD" w:rsidP="009256FD"/>
                        <w:p w14:paraId="4CF2F698" w14:textId="7D37CC63" w:rsidR="009256FD" w:rsidRDefault="009256FD" w:rsidP="009256FD">
                          <w:r>
                            <w:t xml:space="preserve">Completion Rate – </w:t>
                          </w:r>
                          <w:r w:rsidR="00800334">
                            <w:t xml:space="preserve">Number of </w:t>
                          </w:r>
                          <w:r w:rsidR="00F805C6">
                            <w:t>graduates and completers</w:t>
                          </w:r>
                          <w:r w:rsidR="00800334">
                            <w:t xml:space="preserve"> divided by the number of students with the same assigned AYG (AYG Cohort).</w:t>
                          </w:r>
                        </w:p>
                        <w:p w14:paraId="620EB631" w14:textId="77777777" w:rsidR="009256FD" w:rsidRDefault="009256FD" w:rsidP="009256FD"/>
                        <w:p w14:paraId="1306D6AF" w14:textId="77777777" w:rsidR="00630F54" w:rsidRDefault="00630F54" w:rsidP="00630F54"/>
                        <w:p w14:paraId="0866BDA3" w14:textId="39872D5D" w:rsidR="00630F54" w:rsidRDefault="006B4067" w:rsidP="00630F54">
                          <w:pPr>
                            <w:jc w:val="center"/>
                            <w:rPr>
                              <w:rStyle w:val="Hyperlink"/>
                            </w:rPr>
                          </w:pPr>
                          <w:hyperlink r:id="rId2" w:history="1">
                            <w:r w:rsidR="00630F54" w:rsidRPr="00D91F59">
                              <w:rPr>
                                <w:rStyle w:val="Hyperlink"/>
                              </w:rPr>
                              <w:t>Dropout Prevention and Student Reengagement Website</w:t>
                            </w:r>
                          </w:hyperlink>
                        </w:p>
                        <w:p w14:paraId="7EB32A9B" w14:textId="77777777" w:rsidR="003F7FBA" w:rsidRDefault="003F7FBA" w:rsidP="00630F54">
                          <w:pPr>
                            <w:jc w:val="center"/>
                            <w:rPr>
                              <w:rStyle w:val="Hyperlink"/>
                            </w:rPr>
                          </w:pPr>
                        </w:p>
                        <w:p w14:paraId="6CE732AE" w14:textId="4A87AAF6" w:rsidR="003F7FBA" w:rsidRDefault="006B4067" w:rsidP="00630F54">
                          <w:pPr>
                            <w:jc w:val="center"/>
                          </w:pPr>
                          <w:hyperlink r:id="rId3" w:history="1">
                            <w:r w:rsidR="003F7FBA" w:rsidRPr="003F7FBA">
                              <w:rPr>
                                <w:rStyle w:val="Hyperlink"/>
                              </w:rPr>
                              <w:t>Postsecondary and Workforce Readiness Website</w:t>
                            </w:r>
                          </w:hyperlink>
                        </w:p>
                        <w:p w14:paraId="38D92061" w14:textId="77777777" w:rsidR="00406BDE" w:rsidRDefault="00406BDE" w:rsidP="00630F54">
                          <w:pPr>
                            <w:jc w:val="center"/>
                          </w:pPr>
                        </w:p>
                        <w:p w14:paraId="6885C352" w14:textId="54A835D4" w:rsidR="00630F54" w:rsidRPr="0087037E" w:rsidRDefault="0087037E" w:rsidP="00630F54">
                          <w:pPr>
                            <w:jc w:val="center"/>
                            <w:rPr>
                              <w:rStyle w:val="Hyperlink"/>
                            </w:rPr>
                          </w:pPr>
                          <w:r>
                            <w:fldChar w:fldCharType="begin"/>
                          </w:r>
                          <w:r>
                            <w:instrText>HYPERLINK "https://www.cde.state.co.us/cdereval/gradratecurrent"</w:instrText>
                          </w:r>
                          <w:r>
                            <w:fldChar w:fldCharType="separate"/>
                          </w:r>
                          <w:r w:rsidR="003F7FBA" w:rsidRPr="0087037E">
                            <w:rPr>
                              <w:rStyle w:val="Hyperlink"/>
                            </w:rPr>
                            <w:t xml:space="preserve">Graduation/Completion </w:t>
                          </w:r>
                          <w:r w:rsidR="00630F54" w:rsidRPr="0087037E">
                            <w:rPr>
                              <w:rStyle w:val="Hyperlink"/>
                            </w:rPr>
                            <w:t>Statistics Website</w:t>
                          </w:r>
                        </w:p>
                        <w:p w14:paraId="3F49A518" w14:textId="545E1C71" w:rsidR="004267A4" w:rsidRDefault="0087037E" w:rsidP="004267A4">
                          <w:r>
                            <w:fldChar w:fldCharType="end"/>
                          </w:r>
                        </w:p>
                      </w:txbxContent>
                    </wps:txbx>
                    <wps:bodyPr rot="0" spcFirstLastPara="0" vertOverflow="overflow" horzOverflow="overflow" vert="horz" wrap="square" lIns="182880" tIns="0" rIns="1828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13CD5" id="Rectangle 1" o:spid="_x0000_s1026" alt="&quot;&quot;" style="position:absolute;margin-left:359.5pt;margin-top:-.9pt;width:198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" fillcolor="#96d5ee" stroked="f" strokeweight=".27778mm">
              <v:shadow on="t" color="black" opacity=".5" origin=",.5" offset="0"/>
              <v:textbox inset="14.4pt,0,14.4pt,0">
                <w:txbxContent>
                  <w:p w14:paraId="0AE33119" w14:textId="1C714A3E" w:rsidR="00630F54" w:rsidRDefault="009256FD" w:rsidP="00630F54">
                    <w:pPr>
                      <w:pStyle w:val="Heading2"/>
                      <w:spacing w:after="240"/>
                    </w:pPr>
                    <w:r>
                      <w:t>Graduation/Completion</w:t>
                    </w:r>
                    <w:r w:rsidR="00630F54">
                      <w:t xml:space="preserve"> Definitions:</w:t>
                    </w:r>
                  </w:p>
                  <w:p w14:paraId="48DF4D1F" w14:textId="694099BA" w:rsidR="00630F54" w:rsidRDefault="009256FD" w:rsidP="00630F54">
                    <w:r>
                      <w:t>Graduate</w:t>
                    </w:r>
                    <w:r w:rsidR="00630F54">
                      <w:t xml:space="preserve"> – </w:t>
                    </w:r>
                    <w:r w:rsidR="003756AF">
                      <w:t>A student who finishes their education with a high-school diploma.</w:t>
                    </w:r>
                  </w:p>
                  <w:p w14:paraId="399E6B37" w14:textId="77777777" w:rsidR="00630F54" w:rsidRDefault="00630F54" w:rsidP="00630F54"/>
                  <w:p w14:paraId="21A8F936" w14:textId="554DFCC0" w:rsidR="009256FD" w:rsidRDefault="009256FD" w:rsidP="00630F54">
                    <w:r>
                      <w:t>Completer</w:t>
                    </w:r>
                    <w:r w:rsidR="003756AF">
                      <w:t xml:space="preserve"> – A student who finishes their education with </w:t>
                    </w:r>
                    <w:r w:rsidR="00154287">
                      <w:t>a certificate of completion</w:t>
                    </w:r>
                    <w:r w:rsidR="00F805C6">
                      <w:t xml:space="preserve"> or a </w:t>
                    </w:r>
                    <w:r w:rsidR="00A83B89">
                      <w:t xml:space="preserve">High-School Equivalency </w:t>
                    </w:r>
                    <w:r w:rsidR="005429CA">
                      <w:t>D</w:t>
                    </w:r>
                    <w:r w:rsidR="00A83B89">
                      <w:t>iploma</w:t>
                    </w:r>
                    <w:r w:rsidR="005429CA">
                      <w:t xml:space="preserve"> (HSED)</w:t>
                    </w:r>
                    <w:r w:rsidR="00F805C6">
                      <w:t>.</w:t>
                    </w:r>
                  </w:p>
                  <w:p w14:paraId="58F528A0" w14:textId="77777777" w:rsidR="009256FD" w:rsidRDefault="009256FD" w:rsidP="00630F54"/>
                  <w:p w14:paraId="5AAF26D6" w14:textId="42AB653D" w:rsidR="009256FD" w:rsidRDefault="009256FD" w:rsidP="00630F54">
                    <w:r>
                      <w:t>Anticipated Year of Graduation</w:t>
                    </w:r>
                    <w:r w:rsidR="00C776B5">
                      <w:t xml:space="preserve"> (AYG)</w:t>
                    </w:r>
                    <w:r>
                      <w:t xml:space="preserve"> – </w:t>
                    </w:r>
                    <w:r w:rsidR="00D91DC4">
                      <w:t>The year a student is expected to graduate</w:t>
                    </w:r>
                    <w:r w:rsidR="00DF79A2">
                      <w:t xml:space="preserve"> based upon the year they enter high school for the first time</w:t>
                    </w:r>
                    <w:r w:rsidR="00D91DC4">
                      <w:t>. Students are assigned</w:t>
                    </w:r>
                    <w:r w:rsidR="00C776B5">
                      <w:t xml:space="preserve"> an unchanging AYG when they enter ninth grade</w:t>
                    </w:r>
                    <w:r w:rsidR="00353F35">
                      <w:t xml:space="preserve"> by adding three years to the school year they entered ninth grade.</w:t>
                    </w:r>
                    <w:r w:rsidR="009D1AD0">
                      <w:t xml:space="preserve"> AYG is represented by the 4-digit Spring semester</w:t>
                    </w:r>
                    <w:r w:rsidR="00704803">
                      <w:t xml:space="preserve"> of a year (e.g. 2022-2023</w:t>
                    </w:r>
                    <w:r w:rsidR="008A7208">
                      <w:t xml:space="preserve"> is AYG 2023).</w:t>
                    </w:r>
                  </w:p>
                  <w:p w14:paraId="79361E74" w14:textId="77777777" w:rsidR="00630F54" w:rsidRDefault="00630F54" w:rsidP="00630F54"/>
                  <w:p w14:paraId="75CEA117" w14:textId="0C9C7314" w:rsidR="00630F54" w:rsidRDefault="009256FD" w:rsidP="009256FD">
                    <w:r>
                      <w:t>AYG Cohort</w:t>
                    </w:r>
                    <w:r w:rsidR="00630F54">
                      <w:t xml:space="preserve"> – </w:t>
                    </w:r>
                    <w:r w:rsidR="007B58EA">
                      <w:t xml:space="preserve">Students with the same AYG are grouped together to create the </w:t>
                    </w:r>
                    <w:r w:rsidR="006825E2">
                      <w:t>AYG Cohort used in graduation and completion rate calculations.</w:t>
                    </w:r>
                  </w:p>
                  <w:p w14:paraId="677512C1" w14:textId="77777777" w:rsidR="009256FD" w:rsidRDefault="009256FD" w:rsidP="009256FD"/>
                  <w:p w14:paraId="483DA25C" w14:textId="67E698E4" w:rsidR="009256FD" w:rsidRDefault="009256FD" w:rsidP="009256FD">
                    <w:r>
                      <w:t>Graduation Rate –</w:t>
                    </w:r>
                    <w:r w:rsidR="006825E2">
                      <w:t xml:space="preserve"> Number of graduates divided by the </w:t>
                    </w:r>
                    <w:r w:rsidR="00800334">
                      <w:t>number of students with the same assigned AYG (AYG Cohort).</w:t>
                    </w:r>
                  </w:p>
                  <w:p w14:paraId="1DEA0424" w14:textId="77777777" w:rsidR="009256FD" w:rsidRDefault="009256FD" w:rsidP="009256FD"/>
                  <w:p w14:paraId="4CF2F698" w14:textId="7D37CC63" w:rsidR="009256FD" w:rsidRDefault="009256FD" w:rsidP="009256FD">
                    <w:r>
                      <w:t xml:space="preserve">Completion Rate – </w:t>
                    </w:r>
                    <w:r w:rsidR="00800334">
                      <w:t xml:space="preserve">Number of </w:t>
                    </w:r>
                    <w:r w:rsidR="00F805C6">
                      <w:t>graduates and completers</w:t>
                    </w:r>
                    <w:r w:rsidR="00800334">
                      <w:t xml:space="preserve"> divided by the number of students with the same assigned AYG (AYG Cohort).</w:t>
                    </w:r>
                  </w:p>
                  <w:p w14:paraId="620EB631" w14:textId="77777777" w:rsidR="009256FD" w:rsidRDefault="009256FD" w:rsidP="009256FD"/>
                  <w:p w14:paraId="1306D6AF" w14:textId="77777777" w:rsidR="00630F54" w:rsidRDefault="00630F54" w:rsidP="00630F54"/>
                  <w:p w14:paraId="0866BDA3" w14:textId="39872D5D" w:rsidR="00630F54" w:rsidRDefault="006B4067" w:rsidP="00630F54">
                    <w:pPr>
                      <w:jc w:val="center"/>
                      <w:rPr>
                        <w:rStyle w:val="Hyperlink"/>
                      </w:rPr>
                    </w:pPr>
                    <w:hyperlink r:id="rId4" w:history="1">
                      <w:r w:rsidR="00630F54" w:rsidRPr="00D91F59">
                        <w:rPr>
                          <w:rStyle w:val="Hyperlink"/>
                        </w:rPr>
                        <w:t>Dropout Prevention and Student Reengagement Website</w:t>
                      </w:r>
                    </w:hyperlink>
                  </w:p>
                  <w:p w14:paraId="7EB32A9B" w14:textId="77777777" w:rsidR="003F7FBA" w:rsidRDefault="003F7FBA" w:rsidP="00630F54">
                    <w:pPr>
                      <w:jc w:val="center"/>
                      <w:rPr>
                        <w:rStyle w:val="Hyperlink"/>
                      </w:rPr>
                    </w:pPr>
                  </w:p>
                  <w:p w14:paraId="6CE732AE" w14:textId="4A87AAF6" w:rsidR="003F7FBA" w:rsidRDefault="006B4067" w:rsidP="00630F54">
                    <w:pPr>
                      <w:jc w:val="center"/>
                    </w:pPr>
                    <w:hyperlink r:id="rId5" w:history="1">
                      <w:r w:rsidR="003F7FBA" w:rsidRPr="003F7FBA">
                        <w:rPr>
                          <w:rStyle w:val="Hyperlink"/>
                        </w:rPr>
                        <w:t>Postsecondary and Workforce Readiness Website</w:t>
                      </w:r>
                    </w:hyperlink>
                  </w:p>
                  <w:p w14:paraId="38D92061" w14:textId="77777777" w:rsidR="00406BDE" w:rsidRDefault="00406BDE" w:rsidP="00630F54">
                    <w:pPr>
                      <w:jc w:val="center"/>
                    </w:pPr>
                  </w:p>
                  <w:p w14:paraId="6885C352" w14:textId="54A835D4" w:rsidR="00630F54" w:rsidRPr="0087037E" w:rsidRDefault="0087037E" w:rsidP="00630F54">
                    <w:pPr>
                      <w:jc w:val="center"/>
                      <w:rPr>
                        <w:rStyle w:val="Hyperlink"/>
                      </w:rPr>
                    </w:pPr>
                    <w:r>
                      <w:fldChar w:fldCharType="begin"/>
                    </w:r>
                    <w:r>
                      <w:instrText>HYPERLINK "https://www.cde.state.co.us/cdereval/gradratecurrent"</w:instrText>
                    </w:r>
                    <w:r>
                      <w:fldChar w:fldCharType="separate"/>
                    </w:r>
                    <w:r w:rsidR="003F7FBA" w:rsidRPr="0087037E">
                      <w:rPr>
                        <w:rStyle w:val="Hyperlink"/>
                      </w:rPr>
                      <w:t xml:space="preserve">Graduation/Completion </w:t>
                    </w:r>
                    <w:r w:rsidR="00630F54" w:rsidRPr="0087037E">
                      <w:rPr>
                        <w:rStyle w:val="Hyperlink"/>
                      </w:rPr>
                      <w:t>Statistics Website</w:t>
                    </w:r>
                  </w:p>
                  <w:p w14:paraId="3F49A518" w14:textId="545E1C71" w:rsidR="004267A4" w:rsidRDefault="0087037E" w:rsidP="004267A4">
                    <w:r>
                      <w:fldChar w:fldCharType="end"/>
                    </w:r>
                  </w:p>
                </w:txbxContent>
              </v:textbox>
              <w10:wrap anchory="page"/>
              <w10:anchorlock/>
            </v:rect>
          </w:pict>
        </mc:Fallback>
      </mc:AlternateContent>
    </w:r>
    <w:r w:rsidR="00630F54">
      <w:tab/>
    </w:r>
    <w:r w:rsidR="007E32B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39C7"/>
    <w:multiLevelType w:val="hybridMultilevel"/>
    <w:tmpl w:val="74A08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7567"/>
    <w:multiLevelType w:val="hybridMultilevel"/>
    <w:tmpl w:val="D396C0C4"/>
    <w:lvl w:ilvl="0" w:tplc="C13EF0EA">
      <w:start w:val="1"/>
      <w:numFmt w:val="bullet"/>
      <w:lvlText w:val=""/>
      <w:lvlJc w:val="left"/>
      <w:pPr>
        <w:ind w:left="720" w:hanging="360"/>
      </w:pPr>
      <w:rPr>
        <w:rFonts w:ascii="Symbol" w:hAnsi="Symbol" w:hint="default"/>
      </w:rPr>
    </w:lvl>
    <w:lvl w:ilvl="1" w:tplc="D7FC8F32">
      <w:start w:val="1"/>
      <w:numFmt w:val="bullet"/>
      <w:lvlText w:val="o"/>
      <w:lvlJc w:val="left"/>
      <w:pPr>
        <w:ind w:left="1440" w:hanging="360"/>
      </w:pPr>
      <w:rPr>
        <w:rFonts w:ascii="Courier New" w:hAnsi="Courier New" w:hint="default"/>
      </w:rPr>
    </w:lvl>
    <w:lvl w:ilvl="2" w:tplc="FEB28394">
      <w:start w:val="1"/>
      <w:numFmt w:val="bullet"/>
      <w:lvlText w:val=""/>
      <w:lvlJc w:val="left"/>
      <w:pPr>
        <w:ind w:left="2160" w:hanging="360"/>
      </w:pPr>
      <w:rPr>
        <w:rFonts w:ascii="Wingdings" w:hAnsi="Wingdings" w:hint="default"/>
      </w:rPr>
    </w:lvl>
    <w:lvl w:ilvl="3" w:tplc="443C1758">
      <w:start w:val="1"/>
      <w:numFmt w:val="bullet"/>
      <w:lvlText w:val=""/>
      <w:lvlJc w:val="left"/>
      <w:pPr>
        <w:ind w:left="2880" w:hanging="360"/>
      </w:pPr>
      <w:rPr>
        <w:rFonts w:ascii="Symbol" w:hAnsi="Symbol" w:hint="default"/>
      </w:rPr>
    </w:lvl>
    <w:lvl w:ilvl="4" w:tplc="D23601CA">
      <w:start w:val="1"/>
      <w:numFmt w:val="bullet"/>
      <w:lvlText w:val="o"/>
      <w:lvlJc w:val="left"/>
      <w:pPr>
        <w:ind w:left="3600" w:hanging="360"/>
      </w:pPr>
      <w:rPr>
        <w:rFonts w:ascii="Courier New" w:hAnsi="Courier New" w:hint="default"/>
      </w:rPr>
    </w:lvl>
    <w:lvl w:ilvl="5" w:tplc="09D0D010">
      <w:start w:val="1"/>
      <w:numFmt w:val="bullet"/>
      <w:lvlText w:val=""/>
      <w:lvlJc w:val="left"/>
      <w:pPr>
        <w:ind w:left="4320" w:hanging="360"/>
      </w:pPr>
      <w:rPr>
        <w:rFonts w:ascii="Wingdings" w:hAnsi="Wingdings" w:hint="default"/>
      </w:rPr>
    </w:lvl>
    <w:lvl w:ilvl="6" w:tplc="B1F0D7C6">
      <w:start w:val="1"/>
      <w:numFmt w:val="bullet"/>
      <w:lvlText w:val=""/>
      <w:lvlJc w:val="left"/>
      <w:pPr>
        <w:ind w:left="5040" w:hanging="360"/>
      </w:pPr>
      <w:rPr>
        <w:rFonts w:ascii="Symbol" w:hAnsi="Symbol" w:hint="default"/>
      </w:rPr>
    </w:lvl>
    <w:lvl w:ilvl="7" w:tplc="45621194">
      <w:start w:val="1"/>
      <w:numFmt w:val="bullet"/>
      <w:lvlText w:val="o"/>
      <w:lvlJc w:val="left"/>
      <w:pPr>
        <w:ind w:left="5760" w:hanging="360"/>
      </w:pPr>
      <w:rPr>
        <w:rFonts w:ascii="Courier New" w:hAnsi="Courier New" w:hint="default"/>
      </w:rPr>
    </w:lvl>
    <w:lvl w:ilvl="8" w:tplc="A91AC51C">
      <w:start w:val="1"/>
      <w:numFmt w:val="bullet"/>
      <w:lvlText w:val=""/>
      <w:lvlJc w:val="left"/>
      <w:pPr>
        <w:ind w:left="6480" w:hanging="360"/>
      </w:pPr>
      <w:rPr>
        <w:rFonts w:ascii="Wingdings" w:hAnsi="Wingdings" w:hint="default"/>
      </w:rPr>
    </w:lvl>
  </w:abstractNum>
  <w:abstractNum w:abstractNumId="2" w15:restartNumberingAfterBreak="0">
    <w:nsid w:val="12A02570"/>
    <w:multiLevelType w:val="hybridMultilevel"/>
    <w:tmpl w:val="C3F8B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B2873"/>
    <w:multiLevelType w:val="hybridMultilevel"/>
    <w:tmpl w:val="EA98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9523B"/>
    <w:multiLevelType w:val="hybridMultilevel"/>
    <w:tmpl w:val="EFB2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25EAA"/>
    <w:multiLevelType w:val="hybridMultilevel"/>
    <w:tmpl w:val="74127816"/>
    <w:lvl w:ilvl="0" w:tplc="4D12FCAE">
      <w:start w:val="1"/>
      <w:numFmt w:val="bullet"/>
      <w:lvlText w:val=""/>
      <w:lvlJc w:val="left"/>
      <w:pPr>
        <w:ind w:left="720" w:hanging="360"/>
      </w:pPr>
      <w:rPr>
        <w:rFonts w:ascii="Symbol" w:hAnsi="Symbol" w:hint="default"/>
      </w:rPr>
    </w:lvl>
    <w:lvl w:ilvl="1" w:tplc="22CE9170">
      <w:start w:val="1"/>
      <w:numFmt w:val="bullet"/>
      <w:lvlText w:val="o"/>
      <w:lvlJc w:val="left"/>
      <w:pPr>
        <w:ind w:left="1440" w:hanging="360"/>
      </w:pPr>
      <w:rPr>
        <w:rFonts w:ascii="Courier New" w:hAnsi="Courier New" w:hint="default"/>
      </w:rPr>
    </w:lvl>
    <w:lvl w:ilvl="2" w:tplc="23C82C32">
      <w:start w:val="1"/>
      <w:numFmt w:val="bullet"/>
      <w:lvlText w:val=""/>
      <w:lvlJc w:val="left"/>
      <w:pPr>
        <w:ind w:left="2160" w:hanging="360"/>
      </w:pPr>
      <w:rPr>
        <w:rFonts w:ascii="Wingdings" w:hAnsi="Wingdings" w:hint="default"/>
      </w:rPr>
    </w:lvl>
    <w:lvl w:ilvl="3" w:tplc="03FA096C">
      <w:start w:val="1"/>
      <w:numFmt w:val="bullet"/>
      <w:lvlText w:val=""/>
      <w:lvlJc w:val="left"/>
      <w:pPr>
        <w:ind w:left="2880" w:hanging="360"/>
      </w:pPr>
      <w:rPr>
        <w:rFonts w:ascii="Symbol" w:hAnsi="Symbol" w:hint="default"/>
      </w:rPr>
    </w:lvl>
    <w:lvl w:ilvl="4" w:tplc="C7D6DF28">
      <w:start w:val="1"/>
      <w:numFmt w:val="bullet"/>
      <w:lvlText w:val="o"/>
      <w:lvlJc w:val="left"/>
      <w:pPr>
        <w:ind w:left="3600" w:hanging="360"/>
      </w:pPr>
      <w:rPr>
        <w:rFonts w:ascii="Courier New" w:hAnsi="Courier New" w:hint="default"/>
      </w:rPr>
    </w:lvl>
    <w:lvl w:ilvl="5" w:tplc="BE14B4B4">
      <w:start w:val="1"/>
      <w:numFmt w:val="bullet"/>
      <w:lvlText w:val=""/>
      <w:lvlJc w:val="left"/>
      <w:pPr>
        <w:ind w:left="4320" w:hanging="360"/>
      </w:pPr>
      <w:rPr>
        <w:rFonts w:ascii="Wingdings" w:hAnsi="Wingdings" w:hint="default"/>
      </w:rPr>
    </w:lvl>
    <w:lvl w:ilvl="6" w:tplc="CB82B6DC">
      <w:start w:val="1"/>
      <w:numFmt w:val="bullet"/>
      <w:lvlText w:val=""/>
      <w:lvlJc w:val="left"/>
      <w:pPr>
        <w:ind w:left="5040" w:hanging="360"/>
      </w:pPr>
      <w:rPr>
        <w:rFonts w:ascii="Symbol" w:hAnsi="Symbol" w:hint="default"/>
      </w:rPr>
    </w:lvl>
    <w:lvl w:ilvl="7" w:tplc="AD0C2016">
      <w:start w:val="1"/>
      <w:numFmt w:val="bullet"/>
      <w:lvlText w:val="o"/>
      <w:lvlJc w:val="left"/>
      <w:pPr>
        <w:ind w:left="5760" w:hanging="360"/>
      </w:pPr>
      <w:rPr>
        <w:rFonts w:ascii="Courier New" w:hAnsi="Courier New" w:hint="default"/>
      </w:rPr>
    </w:lvl>
    <w:lvl w:ilvl="8" w:tplc="39BE85B8">
      <w:start w:val="1"/>
      <w:numFmt w:val="bullet"/>
      <w:lvlText w:val=""/>
      <w:lvlJc w:val="left"/>
      <w:pPr>
        <w:ind w:left="6480" w:hanging="360"/>
      </w:pPr>
      <w:rPr>
        <w:rFonts w:ascii="Wingdings" w:hAnsi="Wingdings" w:hint="default"/>
      </w:rPr>
    </w:lvl>
  </w:abstractNum>
  <w:abstractNum w:abstractNumId="6" w15:restartNumberingAfterBreak="0">
    <w:nsid w:val="47C231A3"/>
    <w:multiLevelType w:val="hybridMultilevel"/>
    <w:tmpl w:val="4BCAFB68"/>
    <w:lvl w:ilvl="0" w:tplc="6D4093D2">
      <w:start w:val="89"/>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30E2F"/>
    <w:multiLevelType w:val="hybridMultilevel"/>
    <w:tmpl w:val="9A0C5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580E546"/>
    <w:multiLevelType w:val="hybridMultilevel"/>
    <w:tmpl w:val="13B68964"/>
    <w:lvl w:ilvl="0" w:tplc="5F5CDD90">
      <w:start w:val="1"/>
      <w:numFmt w:val="bullet"/>
      <w:lvlText w:val=""/>
      <w:lvlJc w:val="left"/>
      <w:pPr>
        <w:ind w:left="720" w:hanging="360"/>
      </w:pPr>
      <w:rPr>
        <w:rFonts w:ascii="Symbol" w:hAnsi="Symbol" w:hint="default"/>
      </w:rPr>
    </w:lvl>
    <w:lvl w:ilvl="1" w:tplc="58647072">
      <w:start w:val="1"/>
      <w:numFmt w:val="bullet"/>
      <w:lvlText w:val="o"/>
      <w:lvlJc w:val="left"/>
      <w:pPr>
        <w:ind w:left="1440" w:hanging="360"/>
      </w:pPr>
      <w:rPr>
        <w:rFonts w:ascii="Courier New" w:hAnsi="Courier New" w:hint="default"/>
      </w:rPr>
    </w:lvl>
    <w:lvl w:ilvl="2" w:tplc="5986CFF4">
      <w:start w:val="1"/>
      <w:numFmt w:val="bullet"/>
      <w:lvlText w:val=""/>
      <w:lvlJc w:val="left"/>
      <w:pPr>
        <w:ind w:left="2160" w:hanging="360"/>
      </w:pPr>
      <w:rPr>
        <w:rFonts w:ascii="Wingdings" w:hAnsi="Wingdings" w:hint="default"/>
      </w:rPr>
    </w:lvl>
    <w:lvl w:ilvl="3" w:tplc="802E027E">
      <w:start w:val="1"/>
      <w:numFmt w:val="bullet"/>
      <w:lvlText w:val=""/>
      <w:lvlJc w:val="left"/>
      <w:pPr>
        <w:ind w:left="2880" w:hanging="360"/>
      </w:pPr>
      <w:rPr>
        <w:rFonts w:ascii="Symbol" w:hAnsi="Symbol" w:hint="default"/>
      </w:rPr>
    </w:lvl>
    <w:lvl w:ilvl="4" w:tplc="E35E390A">
      <w:start w:val="1"/>
      <w:numFmt w:val="bullet"/>
      <w:lvlText w:val="o"/>
      <w:lvlJc w:val="left"/>
      <w:pPr>
        <w:ind w:left="3600" w:hanging="360"/>
      </w:pPr>
      <w:rPr>
        <w:rFonts w:ascii="Courier New" w:hAnsi="Courier New" w:hint="default"/>
      </w:rPr>
    </w:lvl>
    <w:lvl w:ilvl="5" w:tplc="BDEE0C62">
      <w:start w:val="1"/>
      <w:numFmt w:val="bullet"/>
      <w:lvlText w:val=""/>
      <w:lvlJc w:val="left"/>
      <w:pPr>
        <w:ind w:left="4320" w:hanging="360"/>
      </w:pPr>
      <w:rPr>
        <w:rFonts w:ascii="Wingdings" w:hAnsi="Wingdings" w:hint="default"/>
      </w:rPr>
    </w:lvl>
    <w:lvl w:ilvl="6" w:tplc="6B94698C">
      <w:start w:val="1"/>
      <w:numFmt w:val="bullet"/>
      <w:lvlText w:val=""/>
      <w:lvlJc w:val="left"/>
      <w:pPr>
        <w:ind w:left="5040" w:hanging="360"/>
      </w:pPr>
      <w:rPr>
        <w:rFonts w:ascii="Symbol" w:hAnsi="Symbol" w:hint="default"/>
      </w:rPr>
    </w:lvl>
    <w:lvl w:ilvl="7" w:tplc="AEC691C8">
      <w:start w:val="1"/>
      <w:numFmt w:val="bullet"/>
      <w:lvlText w:val="o"/>
      <w:lvlJc w:val="left"/>
      <w:pPr>
        <w:ind w:left="5760" w:hanging="360"/>
      </w:pPr>
      <w:rPr>
        <w:rFonts w:ascii="Courier New" w:hAnsi="Courier New" w:hint="default"/>
      </w:rPr>
    </w:lvl>
    <w:lvl w:ilvl="8" w:tplc="3C5CFDAA">
      <w:start w:val="1"/>
      <w:numFmt w:val="bullet"/>
      <w:lvlText w:val=""/>
      <w:lvlJc w:val="left"/>
      <w:pPr>
        <w:ind w:left="6480" w:hanging="360"/>
      </w:pPr>
      <w:rPr>
        <w:rFonts w:ascii="Wingdings" w:hAnsi="Wingdings" w:hint="default"/>
      </w:rPr>
    </w:lvl>
  </w:abstractNum>
  <w:abstractNum w:abstractNumId="11" w15:restartNumberingAfterBreak="0">
    <w:nsid w:val="7A573E62"/>
    <w:multiLevelType w:val="hybridMultilevel"/>
    <w:tmpl w:val="71122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714454">
    <w:abstractNumId w:val="1"/>
  </w:num>
  <w:num w:numId="2" w16cid:durableId="1559704670">
    <w:abstractNumId w:val="5"/>
  </w:num>
  <w:num w:numId="3" w16cid:durableId="1808815067">
    <w:abstractNumId w:val="8"/>
  </w:num>
  <w:num w:numId="4" w16cid:durableId="1014452750">
    <w:abstractNumId w:val="8"/>
  </w:num>
  <w:num w:numId="5" w16cid:durableId="900677004">
    <w:abstractNumId w:val="9"/>
  </w:num>
  <w:num w:numId="6" w16cid:durableId="1643123192">
    <w:abstractNumId w:val="8"/>
  </w:num>
  <w:num w:numId="7" w16cid:durableId="482236608">
    <w:abstractNumId w:val="9"/>
  </w:num>
  <w:num w:numId="8" w16cid:durableId="537396884">
    <w:abstractNumId w:val="2"/>
  </w:num>
  <w:num w:numId="9" w16cid:durableId="393702995">
    <w:abstractNumId w:val="10"/>
  </w:num>
  <w:num w:numId="10" w16cid:durableId="900795505">
    <w:abstractNumId w:val="11"/>
  </w:num>
  <w:num w:numId="11" w16cid:durableId="1649893328">
    <w:abstractNumId w:val="0"/>
  </w:num>
  <w:num w:numId="12" w16cid:durableId="1253973018">
    <w:abstractNumId w:val="6"/>
  </w:num>
  <w:num w:numId="13" w16cid:durableId="1857772697">
    <w:abstractNumId w:val="3"/>
  </w:num>
  <w:num w:numId="14" w16cid:durableId="1473868780">
    <w:abstractNumId w:val="7"/>
  </w:num>
  <w:num w:numId="15" w16cid:durableId="911282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documentProtection w:edit="readOnly" w:enforcement="1" w:cryptProviderType="rsaAES" w:cryptAlgorithmClass="hash" w:cryptAlgorithmType="typeAny" w:cryptAlgorithmSid="14" w:cryptSpinCount="100000" w:hash="45GqEiPz8Yb1JZ7SvDKknzr9ZYuG8u6BVUVnxAvpIQYJrkykv5dk8oRcVHNb6osG52G7dVpKg7yWXeBvQ4I1ZA==" w:salt="3I0Qv6bNdWMzVMQGnvTiaA=="/>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00D8B"/>
    <w:rsid w:val="00000F27"/>
    <w:rsid w:val="000027DD"/>
    <w:rsid w:val="00006450"/>
    <w:rsid w:val="00007745"/>
    <w:rsid w:val="00016357"/>
    <w:rsid w:val="00016ACA"/>
    <w:rsid w:val="0002274B"/>
    <w:rsid w:val="00025E0A"/>
    <w:rsid w:val="00035899"/>
    <w:rsid w:val="000366EE"/>
    <w:rsid w:val="00040435"/>
    <w:rsid w:val="000424F0"/>
    <w:rsid w:val="00053F50"/>
    <w:rsid w:val="0005455B"/>
    <w:rsid w:val="0005527D"/>
    <w:rsid w:val="00061EB0"/>
    <w:rsid w:val="00062DF9"/>
    <w:rsid w:val="0007114D"/>
    <w:rsid w:val="00072438"/>
    <w:rsid w:val="000816D4"/>
    <w:rsid w:val="00082DD4"/>
    <w:rsid w:val="00087C80"/>
    <w:rsid w:val="00096AD1"/>
    <w:rsid w:val="000A1ED3"/>
    <w:rsid w:val="000B2230"/>
    <w:rsid w:val="000B6672"/>
    <w:rsid w:val="000E0F9C"/>
    <w:rsid w:val="000F72BD"/>
    <w:rsid w:val="00111560"/>
    <w:rsid w:val="00114257"/>
    <w:rsid w:val="0013491C"/>
    <w:rsid w:val="00137449"/>
    <w:rsid w:val="00144C8B"/>
    <w:rsid w:val="001505F0"/>
    <w:rsid w:val="001525D2"/>
    <w:rsid w:val="00154287"/>
    <w:rsid w:val="00156640"/>
    <w:rsid w:val="001567CB"/>
    <w:rsid w:val="001656CD"/>
    <w:rsid w:val="001708EC"/>
    <w:rsid w:val="0017616E"/>
    <w:rsid w:val="00181338"/>
    <w:rsid w:val="001833A7"/>
    <w:rsid w:val="00185832"/>
    <w:rsid w:val="001A189F"/>
    <w:rsid w:val="001C3BE7"/>
    <w:rsid w:val="001C4EF4"/>
    <w:rsid w:val="001D7382"/>
    <w:rsid w:val="001E04AC"/>
    <w:rsid w:val="001E7162"/>
    <w:rsid w:val="001F4228"/>
    <w:rsid w:val="001F7C4A"/>
    <w:rsid w:val="0020392A"/>
    <w:rsid w:val="00203987"/>
    <w:rsid w:val="00205629"/>
    <w:rsid w:val="002127C5"/>
    <w:rsid w:val="0021728D"/>
    <w:rsid w:val="0022039F"/>
    <w:rsid w:val="00222672"/>
    <w:rsid w:val="00226528"/>
    <w:rsid w:val="00226AEA"/>
    <w:rsid w:val="002306A4"/>
    <w:rsid w:val="0023298D"/>
    <w:rsid w:val="0024020A"/>
    <w:rsid w:val="00243DA4"/>
    <w:rsid w:val="00245799"/>
    <w:rsid w:val="00250D08"/>
    <w:rsid w:val="0025309C"/>
    <w:rsid w:val="00253A0A"/>
    <w:rsid w:val="00261916"/>
    <w:rsid w:val="002673BA"/>
    <w:rsid w:val="00277F79"/>
    <w:rsid w:val="00280873"/>
    <w:rsid w:val="00290948"/>
    <w:rsid w:val="00294F34"/>
    <w:rsid w:val="002A3DDD"/>
    <w:rsid w:val="002B11A6"/>
    <w:rsid w:val="002B1664"/>
    <w:rsid w:val="002B6351"/>
    <w:rsid w:val="002B6BE8"/>
    <w:rsid w:val="002B7237"/>
    <w:rsid w:val="002C2061"/>
    <w:rsid w:val="002C4D3A"/>
    <w:rsid w:val="002D72F9"/>
    <w:rsid w:val="002E6B12"/>
    <w:rsid w:val="002F3706"/>
    <w:rsid w:val="003017FA"/>
    <w:rsid w:val="0030231E"/>
    <w:rsid w:val="0031003D"/>
    <w:rsid w:val="00310F0E"/>
    <w:rsid w:val="00320356"/>
    <w:rsid w:val="00320EED"/>
    <w:rsid w:val="003226C4"/>
    <w:rsid w:val="00331297"/>
    <w:rsid w:val="00332E3F"/>
    <w:rsid w:val="0033740D"/>
    <w:rsid w:val="00342215"/>
    <w:rsid w:val="00344DB5"/>
    <w:rsid w:val="00346066"/>
    <w:rsid w:val="003473A9"/>
    <w:rsid w:val="0035081B"/>
    <w:rsid w:val="00353F35"/>
    <w:rsid w:val="00355067"/>
    <w:rsid w:val="00366433"/>
    <w:rsid w:val="003678F9"/>
    <w:rsid w:val="0037382A"/>
    <w:rsid w:val="003756AF"/>
    <w:rsid w:val="003771DC"/>
    <w:rsid w:val="0038219E"/>
    <w:rsid w:val="00382958"/>
    <w:rsid w:val="003C0A24"/>
    <w:rsid w:val="003C2019"/>
    <w:rsid w:val="003C32C3"/>
    <w:rsid w:val="003C59E3"/>
    <w:rsid w:val="003D547F"/>
    <w:rsid w:val="003E1CD2"/>
    <w:rsid w:val="003E2238"/>
    <w:rsid w:val="003E5E15"/>
    <w:rsid w:val="003F3103"/>
    <w:rsid w:val="003F387D"/>
    <w:rsid w:val="003F7FBA"/>
    <w:rsid w:val="00401835"/>
    <w:rsid w:val="004025CB"/>
    <w:rsid w:val="00403097"/>
    <w:rsid w:val="004038C5"/>
    <w:rsid w:val="004064F7"/>
    <w:rsid w:val="00406BDE"/>
    <w:rsid w:val="00410D63"/>
    <w:rsid w:val="0041475A"/>
    <w:rsid w:val="004150D4"/>
    <w:rsid w:val="004165A1"/>
    <w:rsid w:val="004171D6"/>
    <w:rsid w:val="0042582B"/>
    <w:rsid w:val="00425BA8"/>
    <w:rsid w:val="004267A4"/>
    <w:rsid w:val="00430977"/>
    <w:rsid w:val="00441C25"/>
    <w:rsid w:val="004522D0"/>
    <w:rsid w:val="00452781"/>
    <w:rsid w:val="00461D22"/>
    <w:rsid w:val="00470FD9"/>
    <w:rsid w:val="004734E4"/>
    <w:rsid w:val="00476A2F"/>
    <w:rsid w:val="00476DF3"/>
    <w:rsid w:val="004772F6"/>
    <w:rsid w:val="00481810"/>
    <w:rsid w:val="004A0249"/>
    <w:rsid w:val="004A19DF"/>
    <w:rsid w:val="004B044D"/>
    <w:rsid w:val="004B5963"/>
    <w:rsid w:val="004C3DF0"/>
    <w:rsid w:val="004E724D"/>
    <w:rsid w:val="004E777C"/>
    <w:rsid w:val="004F7EBD"/>
    <w:rsid w:val="00500425"/>
    <w:rsid w:val="00502221"/>
    <w:rsid w:val="005240A2"/>
    <w:rsid w:val="00536C38"/>
    <w:rsid w:val="005429CA"/>
    <w:rsid w:val="005574F8"/>
    <w:rsid w:val="00564E08"/>
    <w:rsid w:val="0056538D"/>
    <w:rsid w:val="00565FA3"/>
    <w:rsid w:val="00566DEB"/>
    <w:rsid w:val="00577BEB"/>
    <w:rsid w:val="0058108B"/>
    <w:rsid w:val="005815CA"/>
    <w:rsid w:val="005835B0"/>
    <w:rsid w:val="005840B2"/>
    <w:rsid w:val="005919CE"/>
    <w:rsid w:val="005A1256"/>
    <w:rsid w:val="005A2134"/>
    <w:rsid w:val="005B6825"/>
    <w:rsid w:val="005C4F42"/>
    <w:rsid w:val="005E1436"/>
    <w:rsid w:val="005E3BA8"/>
    <w:rsid w:val="005F0982"/>
    <w:rsid w:val="00600EEE"/>
    <w:rsid w:val="00607281"/>
    <w:rsid w:val="00622BBE"/>
    <w:rsid w:val="006238D7"/>
    <w:rsid w:val="00624562"/>
    <w:rsid w:val="0062465F"/>
    <w:rsid w:val="00624CCA"/>
    <w:rsid w:val="00626E23"/>
    <w:rsid w:val="00630F54"/>
    <w:rsid w:val="006354CB"/>
    <w:rsid w:val="00644291"/>
    <w:rsid w:val="00647BAA"/>
    <w:rsid w:val="00650877"/>
    <w:rsid w:val="00650995"/>
    <w:rsid w:val="0065618F"/>
    <w:rsid w:val="0066743C"/>
    <w:rsid w:val="00670098"/>
    <w:rsid w:val="00672A87"/>
    <w:rsid w:val="006805B7"/>
    <w:rsid w:val="00680A43"/>
    <w:rsid w:val="006825E2"/>
    <w:rsid w:val="006A04F4"/>
    <w:rsid w:val="006A0E28"/>
    <w:rsid w:val="006A3F0E"/>
    <w:rsid w:val="006B22FE"/>
    <w:rsid w:val="006B4067"/>
    <w:rsid w:val="006B4635"/>
    <w:rsid w:val="006B4A80"/>
    <w:rsid w:val="006B6FFB"/>
    <w:rsid w:val="006B75E8"/>
    <w:rsid w:val="006C5505"/>
    <w:rsid w:val="006D5688"/>
    <w:rsid w:val="006E71C1"/>
    <w:rsid w:val="006F7610"/>
    <w:rsid w:val="00701832"/>
    <w:rsid w:val="00701FD4"/>
    <w:rsid w:val="00704803"/>
    <w:rsid w:val="00730239"/>
    <w:rsid w:val="007402CD"/>
    <w:rsid w:val="00740D74"/>
    <w:rsid w:val="00751222"/>
    <w:rsid w:val="00752589"/>
    <w:rsid w:val="007551C1"/>
    <w:rsid w:val="0076342F"/>
    <w:rsid w:val="00764158"/>
    <w:rsid w:val="00764D6B"/>
    <w:rsid w:val="00766870"/>
    <w:rsid w:val="00767EE2"/>
    <w:rsid w:val="00777FF7"/>
    <w:rsid w:val="00780ACF"/>
    <w:rsid w:val="00783980"/>
    <w:rsid w:val="00786768"/>
    <w:rsid w:val="00793700"/>
    <w:rsid w:val="007970B3"/>
    <w:rsid w:val="00797FE6"/>
    <w:rsid w:val="007A6945"/>
    <w:rsid w:val="007B273B"/>
    <w:rsid w:val="007B58EA"/>
    <w:rsid w:val="007C0085"/>
    <w:rsid w:val="007C495D"/>
    <w:rsid w:val="007E2014"/>
    <w:rsid w:val="007E32BD"/>
    <w:rsid w:val="007E3E17"/>
    <w:rsid w:val="007E489B"/>
    <w:rsid w:val="007E7AB0"/>
    <w:rsid w:val="007F1724"/>
    <w:rsid w:val="007F290B"/>
    <w:rsid w:val="00800334"/>
    <w:rsid w:val="008160BE"/>
    <w:rsid w:val="00826133"/>
    <w:rsid w:val="008400ED"/>
    <w:rsid w:val="008428F4"/>
    <w:rsid w:val="00844996"/>
    <w:rsid w:val="00845438"/>
    <w:rsid w:val="00846456"/>
    <w:rsid w:val="00850BF3"/>
    <w:rsid w:val="00850E62"/>
    <w:rsid w:val="008545AB"/>
    <w:rsid w:val="00857468"/>
    <w:rsid w:val="0086052B"/>
    <w:rsid w:val="00862D9C"/>
    <w:rsid w:val="0087037E"/>
    <w:rsid w:val="008708DD"/>
    <w:rsid w:val="00870E97"/>
    <w:rsid w:val="0087461D"/>
    <w:rsid w:val="00876094"/>
    <w:rsid w:val="008770E9"/>
    <w:rsid w:val="00884765"/>
    <w:rsid w:val="00885377"/>
    <w:rsid w:val="008855F4"/>
    <w:rsid w:val="008925D2"/>
    <w:rsid w:val="00892CA7"/>
    <w:rsid w:val="00893C81"/>
    <w:rsid w:val="008977BF"/>
    <w:rsid w:val="008A37C2"/>
    <w:rsid w:val="008A3A77"/>
    <w:rsid w:val="008A7208"/>
    <w:rsid w:val="008B3147"/>
    <w:rsid w:val="008B3E75"/>
    <w:rsid w:val="008B64D8"/>
    <w:rsid w:val="008C6E0E"/>
    <w:rsid w:val="008D03A6"/>
    <w:rsid w:val="008D25E6"/>
    <w:rsid w:val="008D2EAA"/>
    <w:rsid w:val="008D3702"/>
    <w:rsid w:val="008E6D21"/>
    <w:rsid w:val="008F28DD"/>
    <w:rsid w:val="008F709D"/>
    <w:rsid w:val="009019D9"/>
    <w:rsid w:val="0090237D"/>
    <w:rsid w:val="00902C4F"/>
    <w:rsid w:val="009256FD"/>
    <w:rsid w:val="00927A23"/>
    <w:rsid w:val="00932936"/>
    <w:rsid w:val="009418FB"/>
    <w:rsid w:val="0094524E"/>
    <w:rsid w:val="009455DB"/>
    <w:rsid w:val="0094628A"/>
    <w:rsid w:val="00955B93"/>
    <w:rsid w:val="0097177B"/>
    <w:rsid w:val="00973D81"/>
    <w:rsid w:val="00974A8E"/>
    <w:rsid w:val="009759E0"/>
    <w:rsid w:val="009800F7"/>
    <w:rsid w:val="00985042"/>
    <w:rsid w:val="00985E67"/>
    <w:rsid w:val="00995932"/>
    <w:rsid w:val="00996223"/>
    <w:rsid w:val="009978C5"/>
    <w:rsid w:val="009A4DDD"/>
    <w:rsid w:val="009A73D2"/>
    <w:rsid w:val="009B2193"/>
    <w:rsid w:val="009B4785"/>
    <w:rsid w:val="009B49CA"/>
    <w:rsid w:val="009B5B23"/>
    <w:rsid w:val="009C181B"/>
    <w:rsid w:val="009C571D"/>
    <w:rsid w:val="009D1AD0"/>
    <w:rsid w:val="009D3767"/>
    <w:rsid w:val="009E3039"/>
    <w:rsid w:val="009E40B4"/>
    <w:rsid w:val="009E4989"/>
    <w:rsid w:val="009E6CDA"/>
    <w:rsid w:val="009F0A0E"/>
    <w:rsid w:val="009F552C"/>
    <w:rsid w:val="00A05811"/>
    <w:rsid w:val="00A0622A"/>
    <w:rsid w:val="00A17EB2"/>
    <w:rsid w:val="00A21AF4"/>
    <w:rsid w:val="00A27AF2"/>
    <w:rsid w:val="00A32565"/>
    <w:rsid w:val="00A371E8"/>
    <w:rsid w:val="00A401CC"/>
    <w:rsid w:val="00A5182F"/>
    <w:rsid w:val="00A5268F"/>
    <w:rsid w:val="00A61104"/>
    <w:rsid w:val="00A6523C"/>
    <w:rsid w:val="00A65B93"/>
    <w:rsid w:val="00A75A46"/>
    <w:rsid w:val="00A83B89"/>
    <w:rsid w:val="00A90349"/>
    <w:rsid w:val="00AB1500"/>
    <w:rsid w:val="00AC2B49"/>
    <w:rsid w:val="00AC36DE"/>
    <w:rsid w:val="00AC7F11"/>
    <w:rsid w:val="00AD5691"/>
    <w:rsid w:val="00AF5797"/>
    <w:rsid w:val="00B07E3F"/>
    <w:rsid w:val="00B20277"/>
    <w:rsid w:val="00B20B32"/>
    <w:rsid w:val="00B22AF4"/>
    <w:rsid w:val="00B2379B"/>
    <w:rsid w:val="00B244D5"/>
    <w:rsid w:val="00B27BFE"/>
    <w:rsid w:val="00B32EA6"/>
    <w:rsid w:val="00B44018"/>
    <w:rsid w:val="00B47740"/>
    <w:rsid w:val="00B655EA"/>
    <w:rsid w:val="00B67A09"/>
    <w:rsid w:val="00B75D0F"/>
    <w:rsid w:val="00B81EA5"/>
    <w:rsid w:val="00B83063"/>
    <w:rsid w:val="00B84DB9"/>
    <w:rsid w:val="00B9246C"/>
    <w:rsid w:val="00B93CB9"/>
    <w:rsid w:val="00B96AD7"/>
    <w:rsid w:val="00B97C4D"/>
    <w:rsid w:val="00BA0EE4"/>
    <w:rsid w:val="00BA22F4"/>
    <w:rsid w:val="00BA2C89"/>
    <w:rsid w:val="00BA63BD"/>
    <w:rsid w:val="00BA6F23"/>
    <w:rsid w:val="00BC082E"/>
    <w:rsid w:val="00BD6CDE"/>
    <w:rsid w:val="00BE08E9"/>
    <w:rsid w:val="00BE12A2"/>
    <w:rsid w:val="00BE17AC"/>
    <w:rsid w:val="00BE21CB"/>
    <w:rsid w:val="00BF6BB6"/>
    <w:rsid w:val="00C004AE"/>
    <w:rsid w:val="00C00C69"/>
    <w:rsid w:val="00C0102E"/>
    <w:rsid w:val="00C01318"/>
    <w:rsid w:val="00C04120"/>
    <w:rsid w:val="00C12323"/>
    <w:rsid w:val="00C15373"/>
    <w:rsid w:val="00C2054D"/>
    <w:rsid w:val="00C21553"/>
    <w:rsid w:val="00C37F37"/>
    <w:rsid w:val="00C413EE"/>
    <w:rsid w:val="00C446BF"/>
    <w:rsid w:val="00C45F43"/>
    <w:rsid w:val="00C60AD0"/>
    <w:rsid w:val="00C66C0E"/>
    <w:rsid w:val="00C66E85"/>
    <w:rsid w:val="00C67764"/>
    <w:rsid w:val="00C70CFE"/>
    <w:rsid w:val="00C776B5"/>
    <w:rsid w:val="00C93932"/>
    <w:rsid w:val="00C952F5"/>
    <w:rsid w:val="00CA0E63"/>
    <w:rsid w:val="00CA38E4"/>
    <w:rsid w:val="00CA7461"/>
    <w:rsid w:val="00CB10E5"/>
    <w:rsid w:val="00CB16B2"/>
    <w:rsid w:val="00CC23F0"/>
    <w:rsid w:val="00CC3672"/>
    <w:rsid w:val="00CF6246"/>
    <w:rsid w:val="00D01D91"/>
    <w:rsid w:val="00D075BD"/>
    <w:rsid w:val="00D118D2"/>
    <w:rsid w:val="00D14C6E"/>
    <w:rsid w:val="00D17135"/>
    <w:rsid w:val="00D269A2"/>
    <w:rsid w:val="00D27F5B"/>
    <w:rsid w:val="00D31D03"/>
    <w:rsid w:val="00D35F93"/>
    <w:rsid w:val="00D37F1C"/>
    <w:rsid w:val="00D4296B"/>
    <w:rsid w:val="00D43821"/>
    <w:rsid w:val="00D446B8"/>
    <w:rsid w:val="00D50CDC"/>
    <w:rsid w:val="00D74B76"/>
    <w:rsid w:val="00D85458"/>
    <w:rsid w:val="00D91DC4"/>
    <w:rsid w:val="00D91F59"/>
    <w:rsid w:val="00D964BC"/>
    <w:rsid w:val="00DA3F01"/>
    <w:rsid w:val="00DB05A8"/>
    <w:rsid w:val="00DC1689"/>
    <w:rsid w:val="00DD0C53"/>
    <w:rsid w:val="00DE191B"/>
    <w:rsid w:val="00DF6645"/>
    <w:rsid w:val="00DF79A2"/>
    <w:rsid w:val="00DF7B57"/>
    <w:rsid w:val="00E07B60"/>
    <w:rsid w:val="00E159C2"/>
    <w:rsid w:val="00E239C5"/>
    <w:rsid w:val="00E334EB"/>
    <w:rsid w:val="00E4029D"/>
    <w:rsid w:val="00E425C9"/>
    <w:rsid w:val="00E435AA"/>
    <w:rsid w:val="00E51882"/>
    <w:rsid w:val="00E535C1"/>
    <w:rsid w:val="00E62F62"/>
    <w:rsid w:val="00E64353"/>
    <w:rsid w:val="00E71E4C"/>
    <w:rsid w:val="00E72426"/>
    <w:rsid w:val="00E73EC7"/>
    <w:rsid w:val="00E85D4F"/>
    <w:rsid w:val="00E85F7F"/>
    <w:rsid w:val="00E9699A"/>
    <w:rsid w:val="00E97F2E"/>
    <w:rsid w:val="00EA64E1"/>
    <w:rsid w:val="00EA6762"/>
    <w:rsid w:val="00EB4B77"/>
    <w:rsid w:val="00EC36D8"/>
    <w:rsid w:val="00EC69AC"/>
    <w:rsid w:val="00ED4E3C"/>
    <w:rsid w:val="00EE6BBB"/>
    <w:rsid w:val="00EF27C3"/>
    <w:rsid w:val="00EF48ED"/>
    <w:rsid w:val="00F01938"/>
    <w:rsid w:val="00F17290"/>
    <w:rsid w:val="00F209B7"/>
    <w:rsid w:val="00F22E89"/>
    <w:rsid w:val="00F2315D"/>
    <w:rsid w:val="00F25E7C"/>
    <w:rsid w:val="00F25F4A"/>
    <w:rsid w:val="00F36C78"/>
    <w:rsid w:val="00F452A0"/>
    <w:rsid w:val="00F501C6"/>
    <w:rsid w:val="00F52D9D"/>
    <w:rsid w:val="00F56BBA"/>
    <w:rsid w:val="00F6440C"/>
    <w:rsid w:val="00F71157"/>
    <w:rsid w:val="00F73448"/>
    <w:rsid w:val="00F769EB"/>
    <w:rsid w:val="00F805C6"/>
    <w:rsid w:val="00F85B7D"/>
    <w:rsid w:val="00F87A7C"/>
    <w:rsid w:val="00FA54B6"/>
    <w:rsid w:val="00FA6CFC"/>
    <w:rsid w:val="00FD7884"/>
    <w:rsid w:val="00FE2E51"/>
    <w:rsid w:val="00FE3AA3"/>
    <w:rsid w:val="00FE3E0C"/>
    <w:rsid w:val="00FF253D"/>
    <w:rsid w:val="00FF5B45"/>
    <w:rsid w:val="010E3344"/>
    <w:rsid w:val="0203165D"/>
    <w:rsid w:val="032C4BBF"/>
    <w:rsid w:val="03FF268A"/>
    <w:rsid w:val="040547F6"/>
    <w:rsid w:val="0416C7B1"/>
    <w:rsid w:val="041F2DD9"/>
    <w:rsid w:val="04D43E89"/>
    <w:rsid w:val="0549A2F5"/>
    <w:rsid w:val="094A9C0D"/>
    <w:rsid w:val="094FD741"/>
    <w:rsid w:val="09521463"/>
    <w:rsid w:val="0ABD3E8D"/>
    <w:rsid w:val="0B17FE24"/>
    <w:rsid w:val="0B57A813"/>
    <w:rsid w:val="0BBB9AA1"/>
    <w:rsid w:val="0C8A27FA"/>
    <w:rsid w:val="0CE21199"/>
    <w:rsid w:val="0D7F1D09"/>
    <w:rsid w:val="0EC4634D"/>
    <w:rsid w:val="0F323B83"/>
    <w:rsid w:val="0F44004A"/>
    <w:rsid w:val="1078DA32"/>
    <w:rsid w:val="108FF6AA"/>
    <w:rsid w:val="121816D9"/>
    <w:rsid w:val="12B404B7"/>
    <w:rsid w:val="1312A89D"/>
    <w:rsid w:val="13AC755A"/>
    <w:rsid w:val="1522D44B"/>
    <w:rsid w:val="1538FD49"/>
    <w:rsid w:val="156DCB9D"/>
    <w:rsid w:val="1598C8B5"/>
    <w:rsid w:val="166C0B86"/>
    <w:rsid w:val="16DEBB5C"/>
    <w:rsid w:val="173E8DA2"/>
    <w:rsid w:val="183B1D5F"/>
    <w:rsid w:val="195569BF"/>
    <w:rsid w:val="19942FC6"/>
    <w:rsid w:val="1A7A0243"/>
    <w:rsid w:val="1B353D3C"/>
    <w:rsid w:val="1C4E6FC8"/>
    <w:rsid w:val="1CD816F8"/>
    <w:rsid w:val="1D40E5EB"/>
    <w:rsid w:val="1D513EAA"/>
    <w:rsid w:val="1DC18754"/>
    <w:rsid w:val="1DF1C0B5"/>
    <w:rsid w:val="1DFE94A8"/>
    <w:rsid w:val="204D967B"/>
    <w:rsid w:val="2162A844"/>
    <w:rsid w:val="21EB2B21"/>
    <w:rsid w:val="23DD6A33"/>
    <w:rsid w:val="24467230"/>
    <w:rsid w:val="24F8C894"/>
    <w:rsid w:val="2507133C"/>
    <w:rsid w:val="25EAA766"/>
    <w:rsid w:val="2615968D"/>
    <w:rsid w:val="270998D8"/>
    <w:rsid w:val="276BCFE0"/>
    <w:rsid w:val="28245196"/>
    <w:rsid w:val="284FF551"/>
    <w:rsid w:val="28B490DC"/>
    <w:rsid w:val="28F47906"/>
    <w:rsid w:val="2AB3252D"/>
    <w:rsid w:val="2C4DE536"/>
    <w:rsid w:val="2CD489D3"/>
    <w:rsid w:val="2CF62848"/>
    <w:rsid w:val="2EABB753"/>
    <w:rsid w:val="2FABFCF7"/>
    <w:rsid w:val="30491B87"/>
    <w:rsid w:val="31726A8B"/>
    <w:rsid w:val="3205E91B"/>
    <w:rsid w:val="32660699"/>
    <w:rsid w:val="32E05D43"/>
    <w:rsid w:val="335DF283"/>
    <w:rsid w:val="343816DC"/>
    <w:rsid w:val="36A2E68F"/>
    <w:rsid w:val="36B2A29E"/>
    <w:rsid w:val="3788DFFB"/>
    <w:rsid w:val="378DB4F8"/>
    <w:rsid w:val="380A9BD5"/>
    <w:rsid w:val="3922136C"/>
    <w:rsid w:val="39A66C36"/>
    <w:rsid w:val="3A931765"/>
    <w:rsid w:val="3B6E2B99"/>
    <w:rsid w:val="3B74FD43"/>
    <w:rsid w:val="3C7EFB6B"/>
    <w:rsid w:val="3C8D9908"/>
    <w:rsid w:val="3D400DEF"/>
    <w:rsid w:val="3D85786D"/>
    <w:rsid w:val="3E61F769"/>
    <w:rsid w:val="3F84488E"/>
    <w:rsid w:val="411699E4"/>
    <w:rsid w:val="4328A653"/>
    <w:rsid w:val="43D5DB94"/>
    <w:rsid w:val="44881D5E"/>
    <w:rsid w:val="44BF6EC8"/>
    <w:rsid w:val="4571ABF5"/>
    <w:rsid w:val="4571E27F"/>
    <w:rsid w:val="46F34888"/>
    <w:rsid w:val="473A8B85"/>
    <w:rsid w:val="490173CF"/>
    <w:rsid w:val="49895CCD"/>
    <w:rsid w:val="49FAF9CE"/>
    <w:rsid w:val="4A6D5BDC"/>
    <w:rsid w:val="4B1F5F9E"/>
    <w:rsid w:val="4BB13F1D"/>
    <w:rsid w:val="4CD650A8"/>
    <w:rsid w:val="4D7092E8"/>
    <w:rsid w:val="4DFD0A72"/>
    <w:rsid w:val="4FDB420C"/>
    <w:rsid w:val="50D3F240"/>
    <w:rsid w:val="5108ED3D"/>
    <w:rsid w:val="51608FF0"/>
    <w:rsid w:val="5288F3F7"/>
    <w:rsid w:val="52F295E4"/>
    <w:rsid w:val="554B1B6F"/>
    <w:rsid w:val="55D9DD3D"/>
    <w:rsid w:val="56689C22"/>
    <w:rsid w:val="572C4F8A"/>
    <w:rsid w:val="57CD2B94"/>
    <w:rsid w:val="584A6C05"/>
    <w:rsid w:val="587EEA38"/>
    <w:rsid w:val="5882BC31"/>
    <w:rsid w:val="58BB5BA3"/>
    <w:rsid w:val="58EA1023"/>
    <w:rsid w:val="59065957"/>
    <w:rsid w:val="59774B34"/>
    <w:rsid w:val="59C121A4"/>
    <w:rsid w:val="5A33800C"/>
    <w:rsid w:val="5A903D97"/>
    <w:rsid w:val="5AA28623"/>
    <w:rsid w:val="5C1C8DE8"/>
    <w:rsid w:val="5CCE7489"/>
    <w:rsid w:val="5E544737"/>
    <w:rsid w:val="5EAAC385"/>
    <w:rsid w:val="5F846382"/>
    <w:rsid w:val="5FC02835"/>
    <w:rsid w:val="60899933"/>
    <w:rsid w:val="60AD1082"/>
    <w:rsid w:val="60D95D88"/>
    <w:rsid w:val="61247D6A"/>
    <w:rsid w:val="61A5F905"/>
    <w:rsid w:val="61D5F468"/>
    <w:rsid w:val="61DA5D1D"/>
    <w:rsid w:val="62066867"/>
    <w:rsid w:val="62C04DCB"/>
    <w:rsid w:val="65E56E04"/>
    <w:rsid w:val="66A23B94"/>
    <w:rsid w:val="6712B3E7"/>
    <w:rsid w:val="681880E1"/>
    <w:rsid w:val="6894AB18"/>
    <w:rsid w:val="68DAACAE"/>
    <w:rsid w:val="69321072"/>
    <w:rsid w:val="6982278A"/>
    <w:rsid w:val="6A830D92"/>
    <w:rsid w:val="6A867E1C"/>
    <w:rsid w:val="6AF2A08A"/>
    <w:rsid w:val="6B454CAF"/>
    <w:rsid w:val="6BC62E5A"/>
    <w:rsid w:val="6BFE416F"/>
    <w:rsid w:val="6D681C3B"/>
    <w:rsid w:val="6DDBDDF5"/>
    <w:rsid w:val="6E961B74"/>
    <w:rsid w:val="6F2400C3"/>
    <w:rsid w:val="6F882999"/>
    <w:rsid w:val="721AB116"/>
    <w:rsid w:val="7264CC3A"/>
    <w:rsid w:val="72F5E3B8"/>
    <w:rsid w:val="730283E6"/>
    <w:rsid w:val="73444F50"/>
    <w:rsid w:val="7431ABBD"/>
    <w:rsid w:val="743CBF97"/>
    <w:rsid w:val="74F421F5"/>
    <w:rsid w:val="74FAECAF"/>
    <w:rsid w:val="751147D6"/>
    <w:rsid w:val="755B8740"/>
    <w:rsid w:val="763F4F20"/>
    <w:rsid w:val="7797084C"/>
    <w:rsid w:val="78836018"/>
    <w:rsid w:val="7B8C4B5D"/>
    <w:rsid w:val="7C1DA9BD"/>
    <w:rsid w:val="7D57EE71"/>
    <w:rsid w:val="7D6BA468"/>
    <w:rsid w:val="7DB0314C"/>
    <w:rsid w:val="7EBDC918"/>
    <w:rsid w:val="7F1E0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5A612F"/>
  <w14:defaultImageDpi w14:val="300"/>
  <w15:docId w15:val="{D8DD8790-31EF-4BEF-A721-5B00C5B4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basedOn w:val="Subhead"/>
    <w:next w:val="Normal"/>
    <w:link w:val="Heading1Char"/>
    <w:autoRedefine/>
    <w:uiPriority w:val="9"/>
    <w:qFormat/>
    <w:rsid w:val="00F452A0"/>
    <w:pPr>
      <w:ind w:right="2880"/>
      <w:outlineLvl w:val="0"/>
    </w:pPr>
  </w:style>
  <w:style w:type="paragraph" w:styleId="Heading2">
    <w:name w:val="heading 2"/>
    <w:basedOn w:val="Normal"/>
    <w:next w:val="Normal"/>
    <w:link w:val="Heading2Char"/>
    <w:uiPriority w:val="9"/>
    <w:unhideWhenUsed/>
    <w:qFormat/>
    <w:rsid w:val="00BE17AC"/>
    <w:pPr>
      <w:keepNext/>
      <w:keepLines/>
      <w:spacing w:before="200"/>
      <w:outlineLvl w:val="1"/>
    </w:pPr>
    <w:rPr>
      <w:rFonts w:ascii="Trebuchet MS" w:hAnsi="Trebuchet MS"/>
      <w:b/>
      <w:bCs/>
      <w:sz w:val="24"/>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00ED"/>
    <w:pPr>
      <w:spacing w:before="240" w:after="240"/>
      <w:ind w:right="2880"/>
    </w:pPr>
    <w:rPr>
      <w:rFonts w:ascii="Museo Slab 500" w:hAnsi="Museo Slab 500"/>
      <w:b/>
      <w:bCs/>
      <w:color w:val="5C6670"/>
      <w:sz w:val="40"/>
      <w:szCs w:val="36"/>
    </w:rPr>
  </w:style>
  <w:style w:type="character" w:customStyle="1" w:styleId="TitleChar">
    <w:name w:val="Title Char"/>
    <w:link w:val="Title"/>
    <w:rsid w:val="008400ED"/>
    <w:rPr>
      <w:rFonts w:ascii="Museo Slab 500" w:hAnsi="Museo Slab 500"/>
      <w:b/>
      <w:bCs/>
      <w:color w:val="5C6670"/>
      <w:sz w:val="40"/>
      <w:szCs w:val="36"/>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DA3F01"/>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pBdr>
      <w:spacing w:before="0"/>
    </w:pPr>
    <w:rPr>
      <w:b w:val="0"/>
      <w:sz w:val="36"/>
      <w:szCs w:val="36"/>
    </w:rPr>
  </w:style>
  <w:style w:type="character" w:customStyle="1" w:styleId="Heading1Char">
    <w:name w:val="Heading 1 Char"/>
    <w:link w:val="Heading1"/>
    <w:uiPriority w:val="9"/>
    <w:rsid w:val="00F452A0"/>
    <w:rPr>
      <w:rFonts w:ascii="Trebuchet MS" w:hAnsi="Trebuchet MS"/>
      <w:b/>
      <w:sz w:val="24"/>
      <w:szCs w:val="24"/>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6"/>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5"/>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BE17AC"/>
    <w:rPr>
      <w:rFonts w:ascii="Trebuchet MS" w:hAnsi="Trebuchet MS"/>
      <w:b/>
      <w:bCs/>
      <w:sz w:val="24"/>
      <w:szCs w:val="24"/>
    </w:rPr>
  </w:style>
  <w:style w:type="character" w:customStyle="1" w:styleId="Heading3Char">
    <w:name w:val="Heading 3 Char"/>
    <w:link w:val="Heading3"/>
    <w:uiPriority w:val="9"/>
    <w:semiHidden/>
    <w:rsid w:val="00846456"/>
    <w:rPr>
      <w:rFonts w:ascii="Calibri" w:eastAsia="MS PGothic" w:hAnsi="Calibri" w:cs="Times New Roman"/>
      <w:b/>
      <w:bCs/>
      <w:sz w:val="22"/>
    </w:rPr>
  </w:style>
  <w:style w:type="character" w:styleId="Hyperlink">
    <w:name w:val="Hyperlink"/>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3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p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spacing w:before="480" w:after="0"/>
      <w:outlineLvl w:val="9"/>
    </w:pPr>
    <w:rPr>
      <w:rFonts w:ascii="Calibri" w:hAnsi="Calibri"/>
      <w:b w:val="0"/>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character" w:styleId="UnresolvedMention">
    <w:name w:val="Unresolved Mention"/>
    <w:basedOn w:val="DefaultParagraphFont"/>
    <w:uiPriority w:val="99"/>
    <w:semiHidden/>
    <w:unhideWhenUsed/>
    <w:rsid w:val="00D91F59"/>
    <w:rPr>
      <w:color w:val="605E5C"/>
      <w:shd w:val="clear" w:color="auto" w:fill="E1DFDD"/>
    </w:rPr>
  </w:style>
  <w:style w:type="character" w:styleId="CommentReference">
    <w:name w:val="annotation reference"/>
    <w:basedOn w:val="DefaultParagraphFont"/>
    <w:uiPriority w:val="99"/>
    <w:semiHidden/>
    <w:unhideWhenUsed/>
    <w:rsid w:val="00870E97"/>
    <w:rPr>
      <w:sz w:val="16"/>
      <w:szCs w:val="16"/>
    </w:rPr>
  </w:style>
  <w:style w:type="paragraph" w:styleId="CommentText">
    <w:name w:val="annotation text"/>
    <w:basedOn w:val="Normal"/>
    <w:link w:val="CommentTextChar"/>
    <w:uiPriority w:val="99"/>
    <w:unhideWhenUsed/>
    <w:rsid w:val="00870E97"/>
    <w:rPr>
      <w:sz w:val="20"/>
      <w:szCs w:val="20"/>
    </w:rPr>
  </w:style>
  <w:style w:type="character" w:customStyle="1" w:styleId="CommentTextChar">
    <w:name w:val="Comment Text Char"/>
    <w:basedOn w:val="DefaultParagraphFont"/>
    <w:link w:val="CommentText"/>
    <w:uiPriority w:val="99"/>
    <w:rsid w:val="00870E97"/>
  </w:style>
  <w:style w:type="paragraph" w:styleId="CommentSubject">
    <w:name w:val="annotation subject"/>
    <w:basedOn w:val="CommentText"/>
    <w:next w:val="CommentText"/>
    <w:link w:val="CommentSubjectChar"/>
    <w:uiPriority w:val="99"/>
    <w:semiHidden/>
    <w:unhideWhenUsed/>
    <w:rsid w:val="00870E97"/>
    <w:rPr>
      <w:b/>
      <w:bCs/>
    </w:rPr>
  </w:style>
  <w:style w:type="character" w:customStyle="1" w:styleId="CommentSubjectChar">
    <w:name w:val="Comment Subject Char"/>
    <w:basedOn w:val="CommentTextChar"/>
    <w:link w:val="CommentSubject"/>
    <w:uiPriority w:val="99"/>
    <w:semiHidden/>
    <w:rsid w:val="00870E97"/>
    <w:rPr>
      <w:b/>
      <w:bCs/>
    </w:rPr>
  </w:style>
  <w:style w:type="character" w:styleId="Mention">
    <w:name w:val="Mention"/>
    <w:basedOn w:val="DefaultParagraphFont"/>
    <w:uiPriority w:val="99"/>
    <w:unhideWhenUsed/>
    <w:rsid w:val="00870E97"/>
    <w:rPr>
      <w:color w:val="2B579A"/>
      <w:shd w:val="clear" w:color="auto" w:fill="E1DFDD"/>
    </w:rPr>
  </w:style>
  <w:style w:type="table" w:styleId="GridTable5Dark-Accent1">
    <w:name w:val="Grid Table 5 Dark Accent 1"/>
    <w:basedOn w:val="TableNormal"/>
    <w:uiPriority w:val="50"/>
    <w:rsid w:val="00F172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CB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C6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C6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C6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C67" w:themeFill="accent1"/>
      </w:tcPr>
    </w:tblStylePr>
    <w:tblStylePr w:type="band1Vert">
      <w:tblPr/>
      <w:tcPr>
        <w:shd w:val="clear" w:color="auto" w:fill="8F99D9" w:themeFill="accent1" w:themeFillTint="66"/>
      </w:tcPr>
    </w:tblStylePr>
    <w:tblStylePr w:type="band1Horz">
      <w:tblPr/>
      <w:tcPr>
        <w:shd w:val="clear" w:color="auto" w:fill="8F99D9" w:themeFill="accent1" w:themeFillTint="66"/>
      </w:tcPr>
    </w:tblStylePr>
  </w:style>
  <w:style w:type="table" w:styleId="GridTable3-Accent1">
    <w:name w:val="Grid Table 3 Accent 1"/>
    <w:basedOn w:val="TableNormal"/>
    <w:uiPriority w:val="48"/>
    <w:rsid w:val="00F17290"/>
    <w:tblPr>
      <w:tblStyleRowBandSize w:val="1"/>
      <w:tblStyleColBandSize w:val="1"/>
      <w:tblBorders>
        <w:top w:val="single" w:sz="4" w:space="0" w:color="5866C6" w:themeColor="accent1" w:themeTint="99"/>
        <w:left w:val="single" w:sz="4" w:space="0" w:color="5866C6" w:themeColor="accent1" w:themeTint="99"/>
        <w:bottom w:val="single" w:sz="4" w:space="0" w:color="5866C6" w:themeColor="accent1" w:themeTint="99"/>
        <w:right w:val="single" w:sz="4" w:space="0" w:color="5866C6" w:themeColor="accent1" w:themeTint="99"/>
        <w:insideH w:val="single" w:sz="4" w:space="0" w:color="5866C6" w:themeColor="accent1" w:themeTint="99"/>
        <w:insideV w:val="single" w:sz="4" w:space="0" w:color="5866C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CBEC" w:themeFill="accent1" w:themeFillTint="33"/>
      </w:tcPr>
    </w:tblStylePr>
    <w:tblStylePr w:type="band1Horz">
      <w:tblPr/>
      <w:tcPr>
        <w:shd w:val="clear" w:color="auto" w:fill="C7CBEC" w:themeFill="accent1" w:themeFillTint="33"/>
      </w:tcPr>
    </w:tblStylePr>
    <w:tblStylePr w:type="neCell">
      <w:tblPr/>
      <w:tcPr>
        <w:tcBorders>
          <w:bottom w:val="single" w:sz="4" w:space="0" w:color="5866C6" w:themeColor="accent1" w:themeTint="99"/>
        </w:tcBorders>
      </w:tcPr>
    </w:tblStylePr>
    <w:tblStylePr w:type="nwCell">
      <w:tblPr/>
      <w:tcPr>
        <w:tcBorders>
          <w:bottom w:val="single" w:sz="4" w:space="0" w:color="5866C6" w:themeColor="accent1" w:themeTint="99"/>
        </w:tcBorders>
      </w:tcPr>
    </w:tblStylePr>
    <w:tblStylePr w:type="seCell">
      <w:tblPr/>
      <w:tcPr>
        <w:tcBorders>
          <w:top w:val="single" w:sz="4" w:space="0" w:color="5866C6" w:themeColor="accent1" w:themeTint="99"/>
        </w:tcBorders>
      </w:tcPr>
    </w:tblStylePr>
    <w:tblStylePr w:type="swCell">
      <w:tblPr/>
      <w:tcPr>
        <w:tcBorders>
          <w:top w:val="single" w:sz="4" w:space="0" w:color="5866C6" w:themeColor="accent1" w:themeTint="99"/>
        </w:tcBorders>
      </w:tcPr>
    </w:tblStylePr>
  </w:style>
  <w:style w:type="table" w:styleId="GridTable3-Accent6">
    <w:name w:val="Grid Table 3 Accent 6"/>
    <w:basedOn w:val="TableNormal"/>
    <w:uiPriority w:val="48"/>
    <w:rsid w:val="008D25E6"/>
    <w:tblPr>
      <w:tblStyleRowBandSize w:val="1"/>
      <w:tblStyleColBandSize w:val="1"/>
      <w:tblBorders>
        <w:top w:val="single" w:sz="4" w:space="0" w:color="E3E4E4" w:themeColor="accent6" w:themeTint="99"/>
        <w:left w:val="single" w:sz="4" w:space="0" w:color="E3E4E4" w:themeColor="accent6" w:themeTint="99"/>
        <w:bottom w:val="single" w:sz="4" w:space="0" w:color="E3E4E4" w:themeColor="accent6" w:themeTint="99"/>
        <w:right w:val="single" w:sz="4" w:space="0" w:color="E3E4E4" w:themeColor="accent6" w:themeTint="99"/>
        <w:insideH w:val="single" w:sz="4" w:space="0" w:color="E3E4E4" w:themeColor="accent6" w:themeTint="99"/>
        <w:insideV w:val="single" w:sz="4" w:space="0" w:color="E3E4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6F6" w:themeFill="accent6" w:themeFillTint="33"/>
      </w:tcPr>
    </w:tblStylePr>
    <w:tblStylePr w:type="band1Horz">
      <w:tblPr/>
      <w:tcPr>
        <w:shd w:val="clear" w:color="auto" w:fill="F5F6F6" w:themeFill="accent6" w:themeFillTint="33"/>
      </w:tcPr>
    </w:tblStylePr>
    <w:tblStylePr w:type="neCell">
      <w:tblPr/>
      <w:tcPr>
        <w:tcBorders>
          <w:bottom w:val="single" w:sz="4" w:space="0" w:color="E3E4E4" w:themeColor="accent6" w:themeTint="99"/>
        </w:tcBorders>
      </w:tcPr>
    </w:tblStylePr>
    <w:tblStylePr w:type="nwCell">
      <w:tblPr/>
      <w:tcPr>
        <w:tcBorders>
          <w:bottom w:val="single" w:sz="4" w:space="0" w:color="E3E4E4" w:themeColor="accent6" w:themeTint="99"/>
        </w:tcBorders>
      </w:tcPr>
    </w:tblStylePr>
    <w:tblStylePr w:type="seCell">
      <w:tblPr/>
      <w:tcPr>
        <w:tcBorders>
          <w:top w:val="single" w:sz="4" w:space="0" w:color="E3E4E4" w:themeColor="accent6" w:themeTint="99"/>
        </w:tcBorders>
      </w:tcPr>
    </w:tblStylePr>
    <w:tblStylePr w:type="swCell">
      <w:tblPr/>
      <w:tcPr>
        <w:tcBorders>
          <w:top w:val="single" w:sz="4" w:space="0" w:color="E3E4E4"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09459">
      <w:bodyDiv w:val="1"/>
      <w:marLeft w:val="0"/>
      <w:marRight w:val="0"/>
      <w:marTop w:val="0"/>
      <w:marBottom w:val="0"/>
      <w:divBdr>
        <w:top w:val="none" w:sz="0" w:space="0" w:color="auto"/>
        <w:left w:val="none" w:sz="0" w:space="0" w:color="auto"/>
        <w:bottom w:val="none" w:sz="0" w:space="0" w:color="auto"/>
        <w:right w:val="none" w:sz="0" w:space="0" w:color="auto"/>
      </w:divBdr>
      <w:divsChild>
        <w:div w:id="2142654408">
          <w:marLeft w:val="0"/>
          <w:marRight w:val="0"/>
          <w:marTop w:val="0"/>
          <w:marBottom w:val="0"/>
          <w:divBdr>
            <w:top w:val="none" w:sz="0" w:space="0" w:color="auto"/>
            <w:left w:val="none" w:sz="0" w:space="0" w:color="auto"/>
            <w:bottom w:val="none" w:sz="0" w:space="0" w:color="auto"/>
            <w:right w:val="none" w:sz="0" w:space="0" w:color="auto"/>
          </w:divBdr>
        </w:div>
      </w:divsChild>
    </w:div>
    <w:div w:id="1728336545">
      <w:bodyDiv w:val="1"/>
      <w:marLeft w:val="0"/>
      <w:marRight w:val="0"/>
      <w:marTop w:val="0"/>
      <w:marBottom w:val="0"/>
      <w:divBdr>
        <w:top w:val="none" w:sz="0" w:space="0" w:color="auto"/>
        <w:left w:val="none" w:sz="0" w:space="0" w:color="auto"/>
        <w:bottom w:val="none" w:sz="0" w:space="0" w:color="auto"/>
        <w:right w:val="none" w:sz="0" w:space="0" w:color="auto"/>
      </w:divBdr>
      <w:divsChild>
        <w:div w:id="13418573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yperlink" Target="https://www.cde.state.co.us/postsecondar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s://www.cde.state.co.us/dropoutprevention/attendanc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de.state.co.us/cdeedserv/rgmapage" TargetMode="External"/><Relationship Id="rId20" Type="http://schemas.openxmlformats.org/officeDocument/2006/relationships/hyperlink" Target="https://www.cde.state.co.us/cdereval/gradratecurr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e.state.co.us/postsecondary/graduation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https://www.cde.state.co.us/postsecondary" TargetMode="External"/><Relationship Id="rId2" Type="http://schemas.openxmlformats.org/officeDocument/2006/relationships/hyperlink" Target="https://www.cde.state.co.us/dropoutprevention" TargetMode="External"/><Relationship Id="rId1" Type="http://schemas.openxmlformats.org/officeDocument/2006/relationships/image" Target="media/image3.png"/><Relationship Id="rId5" Type="http://schemas.openxmlformats.org/officeDocument/2006/relationships/hyperlink" Target="https://www.cde.state.co.us/postsecondary" TargetMode="External"/><Relationship Id="rId4" Type="http://schemas.openxmlformats.org/officeDocument/2006/relationships/hyperlink" Target="https://www.cde.state.co.us/dropoutpreventio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State 4-year Graduation Rate</a:t>
            </a:r>
          </a:p>
        </c:rich>
      </c:tx>
      <c:layout>
        <c:manualLayout>
          <c:xMode val="edge"/>
          <c:yMode val="edge"/>
          <c:x val="0.29189895470383276"/>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821576308336317E-2"/>
          <c:y val="0.12136595708384612"/>
          <c:w val="0.89046506491530086"/>
          <c:h val="0.59498734533183362"/>
        </c:manualLayout>
      </c:layout>
      <c:lineChart>
        <c:grouping val="standard"/>
        <c:varyColors val="0"/>
        <c:ser>
          <c:idx val="0"/>
          <c:order val="0"/>
          <c:tx>
            <c:strRef>
              <c:f>Sheet1!$B$1</c:f>
              <c:strCache>
                <c:ptCount val="1"/>
                <c:pt idx="0">
                  <c:v>AYG Cohort…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Sheet1!$A$2:$A$15</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Sheet1!$B$2:$B$15</c:f>
              <c:numCache>
                <c:formatCode>0.0%</c:formatCode>
                <c:ptCount val="10"/>
                <c:pt idx="0">
                  <c:v>0.77300000000000002</c:v>
                </c:pt>
                <c:pt idx="1">
                  <c:v>0.77300000000000002</c:v>
                </c:pt>
                <c:pt idx="2">
                  <c:v>0.78900000000000003</c:v>
                </c:pt>
                <c:pt idx="3">
                  <c:v>0.79</c:v>
                </c:pt>
                <c:pt idx="4">
                  <c:v>0.80700000000000005</c:v>
                </c:pt>
                <c:pt idx="5">
                  <c:v>0.81100000000000005</c:v>
                </c:pt>
                <c:pt idx="6">
                  <c:v>0.81899999999999995</c:v>
                </c:pt>
                <c:pt idx="7">
                  <c:v>0.81699999999999995</c:v>
                </c:pt>
                <c:pt idx="8">
                  <c:v>0.82299999999999995</c:v>
                </c:pt>
                <c:pt idx="9">
                  <c:v>0.83099999999999996</c:v>
                </c:pt>
              </c:numCache>
              <c:extLst/>
            </c:numRef>
          </c:val>
          <c:smooth val="0"/>
          <c:extLst>
            <c:ext xmlns:c16="http://schemas.microsoft.com/office/drawing/2014/chart" uri="{C3380CC4-5D6E-409C-BE32-E72D297353CC}">
              <c16:uniqueId val="{0000000E-A9D9-4F6E-B35C-9671C041C8AD}"/>
            </c:ext>
          </c:extLst>
        </c:ser>
        <c:dLbls>
          <c:dLblPos val="t"/>
          <c:showLegendKey val="0"/>
          <c:showVal val="1"/>
          <c:showCatName val="0"/>
          <c:showSerName val="0"/>
          <c:showPercent val="0"/>
          <c:showBubbleSize val="0"/>
        </c:dLbls>
        <c:marker val="1"/>
        <c:smooth val="0"/>
        <c:axId val="439916952"/>
        <c:axId val="439917344"/>
      </c:lineChart>
      <c:catAx>
        <c:axId val="439916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AYG Cohort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917344"/>
        <c:crosses val="autoZero"/>
        <c:auto val="1"/>
        <c:lblAlgn val="ctr"/>
        <c:lblOffset val="100"/>
        <c:noMultiLvlLbl val="0"/>
      </c:catAx>
      <c:valAx>
        <c:axId val="439917344"/>
        <c:scaling>
          <c:orientation val="minMax"/>
          <c:min val="0.7600000000000001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916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sz="1000" b="1"/>
              <a:t>Colorado 4-year</a:t>
            </a:r>
            <a:r>
              <a:rPr lang="en-US" sz="1000" b="1" baseline="0"/>
              <a:t> and 7-year Completion Rates by IPST:</a:t>
            </a:r>
            <a:r>
              <a:rPr lang="en-US" sz="1000" b="1" u="none" baseline="0"/>
              <a:t> </a:t>
            </a:r>
            <a:r>
              <a:rPr lang="en-US" sz="1000" b="1" u="sng" baseline="0"/>
              <a:t>AYG 2020</a:t>
            </a:r>
            <a:r>
              <a:rPr lang="en-US" sz="1000" b="1" baseline="0"/>
              <a:t> </a:t>
            </a:r>
            <a:endParaRPr lang="en-US" sz="1000" b="1"/>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2.150755504651837E-2"/>
          <c:y val="0.11338033582622256"/>
          <c:w val="0.96613688382975604"/>
          <c:h val="0.70251229056618958"/>
        </c:manualLayout>
      </c:layout>
      <c:barChart>
        <c:barDir val="col"/>
        <c:grouping val="stacked"/>
        <c:varyColors val="0"/>
        <c:ser>
          <c:idx val="0"/>
          <c:order val="0"/>
          <c:tx>
            <c:strRef>
              <c:f>'Sheet 1'!$A$3</c:f>
              <c:strCache>
                <c:ptCount val="1"/>
                <c:pt idx="0">
                  <c:v>4-year</c:v>
                </c:pt>
              </c:strCache>
            </c:strRef>
          </c:tx>
          <c:spPr>
            <a:solidFill>
              <a:schemeClr val="accent4">
                <a:shade val="76000"/>
              </a:schemeClr>
            </a:solidFill>
            <a:ln>
              <a:solidFill>
                <a:schemeClr val="accent4"/>
              </a:solidFill>
            </a:ln>
            <a:effectLst/>
          </c:spPr>
          <c:invertIfNegative val="0"/>
          <c:dPt>
            <c:idx val="0"/>
            <c:invertIfNegative val="0"/>
            <c:bubble3D val="0"/>
            <c:spPr>
              <a:solidFill>
                <a:schemeClr val="accent2"/>
              </a:solidFill>
              <a:ln>
                <a:solidFill>
                  <a:schemeClr val="accent2"/>
                </a:solidFill>
              </a:ln>
              <a:effectLst/>
            </c:spPr>
            <c:extLst>
              <c:ext xmlns:c16="http://schemas.microsoft.com/office/drawing/2014/chart" uri="{C3380CC4-5D6E-409C-BE32-E72D297353CC}">
                <c16:uniqueId val="{00000001-8742-44CB-838A-482458FC838A}"/>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1'!$B$1:$K$2</c:f>
              <c:strCache>
                <c:ptCount val="10"/>
                <c:pt idx="0">
                  <c:v>State</c:v>
                </c:pt>
                <c:pt idx="1">
                  <c:v>Students with Disabilities</c:v>
                </c:pt>
                <c:pt idx="2">
                  <c:v>English Learners</c:v>
                </c:pt>
                <c:pt idx="3">
                  <c:v>Economically Disadvantaged</c:v>
                </c:pt>
                <c:pt idx="4">
                  <c:v>Migrant</c:v>
                </c:pt>
                <c:pt idx="5">
                  <c:v>Title 1</c:v>
                </c:pt>
                <c:pt idx="6">
                  <c:v>Homeless</c:v>
                </c:pt>
                <c:pt idx="7">
                  <c:v>Gifted &amp; Talented</c:v>
                </c:pt>
                <c:pt idx="8">
                  <c:v>Military Connected</c:v>
                </c:pt>
                <c:pt idx="9">
                  <c:v>Foster</c:v>
                </c:pt>
              </c:strCache>
            </c:strRef>
          </c:cat>
          <c:val>
            <c:numRef>
              <c:f>'Sheet 1'!$B$3:$K$3</c:f>
              <c:numCache>
                <c:formatCode>0.0%</c:formatCode>
                <c:ptCount val="10"/>
                <c:pt idx="0">
                  <c:v>0.83399999999999996</c:v>
                </c:pt>
                <c:pt idx="1">
                  <c:v>0.63900000000000001</c:v>
                </c:pt>
                <c:pt idx="2">
                  <c:v>0.71</c:v>
                </c:pt>
                <c:pt idx="3">
                  <c:v>0.74099999999999999</c:v>
                </c:pt>
                <c:pt idx="4">
                  <c:v>0.72799999999999998</c:v>
                </c:pt>
                <c:pt idx="5">
                  <c:v>0.67300000000000004</c:v>
                </c:pt>
                <c:pt idx="6">
                  <c:v>0.59299999999999997</c:v>
                </c:pt>
                <c:pt idx="7">
                  <c:v>0.95499999999999996</c:v>
                </c:pt>
                <c:pt idx="8">
                  <c:v>0.90300000000000002</c:v>
                </c:pt>
                <c:pt idx="9">
                  <c:v>0.39400000000000002</c:v>
                </c:pt>
              </c:numCache>
            </c:numRef>
          </c:val>
          <c:extLst>
            <c:ext xmlns:c16="http://schemas.microsoft.com/office/drawing/2014/chart" uri="{C3380CC4-5D6E-409C-BE32-E72D297353CC}">
              <c16:uniqueId val="{00000002-8742-44CB-838A-482458FC838A}"/>
            </c:ext>
          </c:extLst>
        </c:ser>
        <c:ser>
          <c:idx val="1"/>
          <c:order val="1"/>
          <c:tx>
            <c:strRef>
              <c:f>'Sheet 1'!$A$4</c:f>
              <c:strCache>
                <c:ptCount val="1"/>
                <c:pt idx="0">
                  <c:v>7-year</c:v>
                </c:pt>
              </c:strCache>
            </c:strRef>
          </c:tx>
          <c:spPr>
            <a:solidFill>
              <a:schemeClr val="accent4">
                <a:lumMod val="20000"/>
                <a:lumOff val="80000"/>
              </a:schemeClr>
            </a:solidFill>
            <a:ln>
              <a:solidFill>
                <a:schemeClr val="accent4"/>
              </a:solidFill>
            </a:ln>
            <a:effectLst/>
          </c:spPr>
          <c:invertIfNegative val="0"/>
          <c:dPt>
            <c:idx val="0"/>
            <c:invertIfNegative val="0"/>
            <c:bubble3D val="0"/>
            <c:spPr>
              <a:solidFill>
                <a:schemeClr val="accent2">
                  <a:lumMod val="20000"/>
                  <a:lumOff val="80000"/>
                </a:schemeClr>
              </a:solidFill>
              <a:ln>
                <a:solidFill>
                  <a:schemeClr val="accent2"/>
                </a:solidFill>
              </a:ln>
              <a:effectLst/>
            </c:spPr>
            <c:extLst>
              <c:ext xmlns:c16="http://schemas.microsoft.com/office/drawing/2014/chart" uri="{C3380CC4-5D6E-409C-BE32-E72D297353CC}">
                <c16:uniqueId val="{00000004-8742-44CB-838A-482458FC838A}"/>
              </c:ext>
            </c:extLst>
          </c:dPt>
          <c:dLbls>
            <c:dLbl>
              <c:idx val="0"/>
              <c:tx>
                <c:rich>
                  <a:bodyPr/>
                  <a:lstStyle/>
                  <a:p>
                    <a:fld id="{97B60F5F-26E9-4FFE-ACF9-5A3E63FC999A}"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742-44CB-838A-482458FC838A}"/>
                </c:ext>
              </c:extLst>
            </c:dLbl>
            <c:dLbl>
              <c:idx val="1"/>
              <c:layout>
                <c:manualLayout>
                  <c:x val="1.5253499957602478E-3"/>
                  <c:y val="1.9082682672078938E-2"/>
                </c:manualLayout>
              </c:layout>
              <c:tx>
                <c:rich>
                  <a:bodyPr/>
                  <a:lstStyle/>
                  <a:p>
                    <a:fld id="{190CF15C-FB9C-4669-943B-6D84D2F768FA}"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8742-44CB-838A-482458FC838A}"/>
                </c:ext>
              </c:extLst>
            </c:dLbl>
            <c:dLbl>
              <c:idx val="2"/>
              <c:tx>
                <c:rich>
                  <a:bodyPr/>
                  <a:lstStyle/>
                  <a:p>
                    <a:fld id="{3E61CA08-311F-4CDC-B6F7-770A94326B02}"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742-44CB-838A-482458FC838A}"/>
                </c:ext>
              </c:extLst>
            </c:dLbl>
            <c:dLbl>
              <c:idx val="3"/>
              <c:tx>
                <c:rich>
                  <a:bodyPr/>
                  <a:lstStyle/>
                  <a:p>
                    <a:fld id="{F2EE86C7-9C43-41CB-8CF4-76D45170BC2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742-44CB-838A-482458FC838A}"/>
                </c:ext>
              </c:extLst>
            </c:dLbl>
            <c:dLbl>
              <c:idx val="4"/>
              <c:tx>
                <c:rich>
                  <a:bodyPr/>
                  <a:lstStyle/>
                  <a:p>
                    <a:fld id="{303855A9-A592-4C01-8ECB-DC792DA74BDF}"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742-44CB-838A-482458FC838A}"/>
                </c:ext>
              </c:extLst>
            </c:dLbl>
            <c:dLbl>
              <c:idx val="5"/>
              <c:tx>
                <c:rich>
                  <a:bodyPr/>
                  <a:lstStyle/>
                  <a:p>
                    <a:fld id="{DB945436-085D-45D9-9393-86B4AF555B4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742-44CB-838A-482458FC838A}"/>
                </c:ext>
              </c:extLst>
            </c:dLbl>
            <c:dLbl>
              <c:idx val="6"/>
              <c:tx>
                <c:rich>
                  <a:bodyPr/>
                  <a:lstStyle/>
                  <a:p>
                    <a:fld id="{523883D9-D5B7-4821-9F22-F6CED1519E6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742-44CB-838A-482458FC838A}"/>
                </c:ext>
              </c:extLst>
            </c:dLbl>
            <c:dLbl>
              <c:idx val="7"/>
              <c:layout>
                <c:manualLayout>
                  <c:x val="1.0822084739407574E-3"/>
                  <c:y val="2.8155600236434118E-2"/>
                </c:manualLayout>
              </c:layout>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fld id="{D031D86F-A80C-49EC-8B46-4FAFB9F8169A}" type="CELLRANGE">
                      <a:rPr lang="en-US" sz="800">
                        <a:solidFill>
                          <a:schemeClr val="bg1"/>
                        </a:solidFill>
                      </a:rPr>
                      <a:pPr>
                        <a:defRPr sz="800">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8742-44CB-838A-482458FC838A}"/>
                </c:ext>
              </c:extLst>
            </c:dLbl>
            <c:dLbl>
              <c:idx val="8"/>
              <c:layout>
                <c:manualLayout>
                  <c:x val="0"/>
                  <c:y val="4.6789333624963549E-2"/>
                </c:manualLayout>
              </c:layout>
              <c:tx>
                <c:rich>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fld id="{CBF95B10-B0F4-4315-B7D5-75B721805E26}" type="CELLRANGE">
                      <a:rPr lang="en-US" sz="800">
                        <a:solidFill>
                          <a:schemeClr val="bg1"/>
                        </a:solidFill>
                      </a:rPr>
                      <a:pPr>
                        <a:defRPr sz="800">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8742-44CB-838A-482458FC838A}"/>
                </c:ext>
              </c:extLst>
            </c:dLbl>
            <c:dLbl>
              <c:idx val="9"/>
              <c:tx>
                <c:rich>
                  <a:bodyPr/>
                  <a:lstStyle/>
                  <a:p>
                    <a:fld id="{92F6C41E-523E-4373-850C-CE895104777F}"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8742-44CB-838A-482458FC838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 1'!$B$1:$K$2</c:f>
              <c:strCache>
                <c:ptCount val="10"/>
                <c:pt idx="0">
                  <c:v>State</c:v>
                </c:pt>
                <c:pt idx="1">
                  <c:v>Students with Disabilities</c:v>
                </c:pt>
                <c:pt idx="2">
                  <c:v>English Learners</c:v>
                </c:pt>
                <c:pt idx="3">
                  <c:v>Economically Disadvantaged</c:v>
                </c:pt>
                <c:pt idx="4">
                  <c:v>Migrant</c:v>
                </c:pt>
                <c:pt idx="5">
                  <c:v>Title 1</c:v>
                </c:pt>
                <c:pt idx="6">
                  <c:v>Homeless</c:v>
                </c:pt>
                <c:pt idx="7">
                  <c:v>Gifted &amp; Talented</c:v>
                </c:pt>
                <c:pt idx="8">
                  <c:v>Military Connected</c:v>
                </c:pt>
                <c:pt idx="9">
                  <c:v>Foster</c:v>
                </c:pt>
              </c:strCache>
            </c:strRef>
          </c:cat>
          <c:val>
            <c:numRef>
              <c:f>'Sheet 1'!$B$4:$K$4</c:f>
              <c:numCache>
                <c:formatCode>0.0%</c:formatCode>
                <c:ptCount val="10"/>
                <c:pt idx="0">
                  <c:v>6.5000000000000058E-2</c:v>
                </c:pt>
                <c:pt idx="1">
                  <c:v>0.16900000000000004</c:v>
                </c:pt>
                <c:pt idx="2">
                  <c:v>9.5000000000000084E-2</c:v>
                </c:pt>
                <c:pt idx="3">
                  <c:v>8.7999999999999967E-2</c:v>
                </c:pt>
                <c:pt idx="4">
                  <c:v>6.800000000000006E-2</c:v>
                </c:pt>
                <c:pt idx="5">
                  <c:v>9.4999999999999973E-2</c:v>
                </c:pt>
                <c:pt idx="6">
                  <c:v>0.11499999999999999</c:v>
                </c:pt>
                <c:pt idx="7">
                  <c:v>2.300000000000002E-2</c:v>
                </c:pt>
                <c:pt idx="8">
                  <c:v>4.3999999999999928E-2</c:v>
                </c:pt>
                <c:pt idx="9">
                  <c:v>0.122</c:v>
                </c:pt>
              </c:numCache>
            </c:numRef>
          </c:val>
          <c:extLst>
            <c:ext xmlns:c15="http://schemas.microsoft.com/office/drawing/2012/chart" uri="{02D57815-91ED-43cb-92C2-25804820EDAC}">
              <c15:datalabelsRange>
                <c15:f>'Sheet 1'!$B$6:$K$6</c15:f>
                <c15:dlblRangeCache>
                  <c:ptCount val="10"/>
                  <c:pt idx="0">
                    <c:v>89.9%</c:v>
                  </c:pt>
                  <c:pt idx="1">
                    <c:v>80.8%</c:v>
                  </c:pt>
                  <c:pt idx="2">
                    <c:v>80.5%</c:v>
                  </c:pt>
                  <c:pt idx="3">
                    <c:v>82.9%</c:v>
                  </c:pt>
                  <c:pt idx="4">
                    <c:v>79.6%</c:v>
                  </c:pt>
                  <c:pt idx="5">
                    <c:v>76.8%</c:v>
                  </c:pt>
                  <c:pt idx="6">
                    <c:v>70.8%</c:v>
                  </c:pt>
                  <c:pt idx="7">
                    <c:v>97.8%</c:v>
                  </c:pt>
                  <c:pt idx="8">
                    <c:v>94.7%</c:v>
                  </c:pt>
                  <c:pt idx="9">
                    <c:v>51.6%</c:v>
                  </c:pt>
                </c15:dlblRangeCache>
              </c15:datalabelsRange>
            </c:ext>
            <c:ext xmlns:c16="http://schemas.microsoft.com/office/drawing/2014/chart" uri="{C3380CC4-5D6E-409C-BE32-E72D297353CC}">
              <c16:uniqueId val="{0000000E-8742-44CB-838A-482458FC838A}"/>
            </c:ext>
          </c:extLst>
        </c:ser>
        <c:dLbls>
          <c:dLblPos val="ctr"/>
          <c:showLegendKey val="0"/>
          <c:showVal val="1"/>
          <c:showCatName val="0"/>
          <c:showSerName val="0"/>
          <c:showPercent val="0"/>
          <c:showBubbleSize val="0"/>
        </c:dLbls>
        <c:gapWidth val="95"/>
        <c:overlap val="100"/>
        <c:axId val="324189544"/>
        <c:axId val="324184056"/>
      </c:barChart>
      <c:catAx>
        <c:axId val="324189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US"/>
          </a:p>
        </c:txPr>
        <c:crossAx val="324184056"/>
        <c:crosses val="autoZero"/>
        <c:auto val="1"/>
        <c:lblAlgn val="ctr"/>
        <c:lblOffset val="100"/>
        <c:noMultiLvlLbl val="0"/>
      </c:catAx>
      <c:valAx>
        <c:axId val="324184056"/>
        <c:scaling>
          <c:orientation val="minMax"/>
          <c:max val="1"/>
        </c:scaling>
        <c:delete val="1"/>
        <c:axPos val="l"/>
        <c:numFmt formatCode="0.0%" sourceLinked="1"/>
        <c:majorTickMark val="none"/>
        <c:minorTickMark val="none"/>
        <c:tickLblPos val="nextTo"/>
        <c:crossAx val="324189544"/>
        <c:crosses val="autoZero"/>
        <c:crossBetween val="between"/>
      </c:valAx>
      <c:spPr>
        <a:noFill/>
        <a:ln>
          <a:noFill/>
        </a:ln>
        <a:effectLst/>
      </c:spPr>
    </c:plotArea>
    <c:legend>
      <c:legendPos val="b"/>
      <c:layout>
        <c:manualLayout>
          <c:xMode val="edge"/>
          <c:yMode val="edge"/>
          <c:x val="0.42093660167479063"/>
          <c:y val="0.92154756806026861"/>
          <c:w val="0.15812664041994751"/>
          <c:h val="7.845243193973137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200">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sz="1000" b="1"/>
              <a:t>Colorado 4-year and 7-year Completion Rates by Gender and Race/Ethnicity: </a:t>
            </a:r>
            <a:r>
              <a:rPr lang="en-US" sz="1000" b="1" u="sng"/>
              <a:t>AYG</a:t>
            </a:r>
            <a:r>
              <a:rPr lang="en-US" sz="1000" b="1" u="sng" baseline="0"/>
              <a:t> 2020</a:t>
            </a:r>
            <a:endParaRPr lang="en-US" sz="1000" b="1"/>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1.1943620683778165E-2"/>
          <c:y val="0.11338033582622256"/>
          <c:w val="0.98317252957016732"/>
          <c:h val="0.66732502187226594"/>
        </c:manualLayout>
      </c:layout>
      <c:barChart>
        <c:barDir val="col"/>
        <c:grouping val="stacked"/>
        <c:varyColors val="0"/>
        <c:ser>
          <c:idx val="0"/>
          <c:order val="0"/>
          <c:tx>
            <c:strRef>
              <c:f>'Sheet 1'!$A$3</c:f>
              <c:strCache>
                <c:ptCount val="1"/>
                <c:pt idx="0">
                  <c:v>4-year</c:v>
                </c:pt>
              </c:strCache>
            </c:strRef>
          </c:tx>
          <c:spPr>
            <a:solidFill>
              <a:schemeClr val="accent4">
                <a:shade val="76000"/>
              </a:schemeClr>
            </a:solidFill>
            <a:ln>
              <a:solidFill>
                <a:schemeClr val="accent4"/>
              </a:solidFill>
            </a:ln>
            <a:effectLst/>
          </c:spPr>
          <c:invertIfNegative val="0"/>
          <c:dPt>
            <c:idx val="0"/>
            <c:invertIfNegative val="0"/>
            <c:bubble3D val="0"/>
            <c:spPr>
              <a:solidFill>
                <a:schemeClr val="accent2"/>
              </a:solidFill>
              <a:ln>
                <a:solidFill>
                  <a:schemeClr val="accent2"/>
                </a:solidFill>
              </a:ln>
              <a:effectLst/>
            </c:spPr>
            <c:extLst>
              <c:ext xmlns:c16="http://schemas.microsoft.com/office/drawing/2014/chart" uri="{C3380CC4-5D6E-409C-BE32-E72D297353CC}">
                <c16:uniqueId val="{00000001-8F0F-486F-8A1B-297787D60D20}"/>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1'!$B$1:$K$2</c:f>
              <c:strCache>
                <c:ptCount val="10"/>
                <c:pt idx="0">
                  <c:v>State</c:v>
                </c:pt>
                <c:pt idx="1">
                  <c:v>Female</c:v>
                </c:pt>
                <c:pt idx="2">
                  <c:v>Male</c:v>
                </c:pt>
                <c:pt idx="3">
                  <c:v>American Indian or Alaska Native</c:v>
                </c:pt>
                <c:pt idx="4">
                  <c:v>Asian</c:v>
                </c:pt>
                <c:pt idx="5">
                  <c:v>Black or African American</c:v>
                </c:pt>
                <c:pt idx="6">
                  <c:v>Hispanic or Latino</c:v>
                </c:pt>
                <c:pt idx="7">
                  <c:v>White</c:v>
                </c:pt>
                <c:pt idx="8">
                  <c:v>Native Hawaiian or Other Pacific Islander</c:v>
                </c:pt>
                <c:pt idx="9">
                  <c:v>Two or More Races</c:v>
                </c:pt>
              </c:strCache>
            </c:strRef>
          </c:cat>
          <c:val>
            <c:numRef>
              <c:f>'Sheet 1'!$B$3:$K$3</c:f>
              <c:numCache>
                <c:formatCode>0.0%</c:formatCode>
                <c:ptCount val="10"/>
                <c:pt idx="0">
                  <c:v>0.83399999999999996</c:v>
                </c:pt>
                <c:pt idx="1">
                  <c:v>0.86499999999999999</c:v>
                </c:pt>
                <c:pt idx="2">
                  <c:v>0.80500000000000005</c:v>
                </c:pt>
                <c:pt idx="3">
                  <c:v>0.67300000000000004</c:v>
                </c:pt>
                <c:pt idx="4">
                  <c:v>0.91900000000000004</c:v>
                </c:pt>
                <c:pt idx="5">
                  <c:v>0.77600000000000002</c:v>
                </c:pt>
                <c:pt idx="6">
                  <c:v>0.76700000000000002</c:v>
                </c:pt>
                <c:pt idx="7">
                  <c:v>0.878</c:v>
                </c:pt>
                <c:pt idx="8">
                  <c:v>0.746</c:v>
                </c:pt>
                <c:pt idx="9">
                  <c:v>0.83799999999999997</c:v>
                </c:pt>
              </c:numCache>
            </c:numRef>
          </c:val>
          <c:extLst>
            <c:ext xmlns:c16="http://schemas.microsoft.com/office/drawing/2014/chart" uri="{C3380CC4-5D6E-409C-BE32-E72D297353CC}">
              <c16:uniqueId val="{00000002-8F0F-486F-8A1B-297787D60D20}"/>
            </c:ext>
          </c:extLst>
        </c:ser>
        <c:ser>
          <c:idx val="1"/>
          <c:order val="1"/>
          <c:tx>
            <c:strRef>
              <c:f>'Sheet 1'!$A$4</c:f>
              <c:strCache>
                <c:ptCount val="1"/>
                <c:pt idx="0">
                  <c:v>7-year</c:v>
                </c:pt>
              </c:strCache>
            </c:strRef>
          </c:tx>
          <c:spPr>
            <a:solidFill>
              <a:schemeClr val="accent4">
                <a:lumMod val="20000"/>
                <a:lumOff val="80000"/>
              </a:schemeClr>
            </a:solidFill>
            <a:ln>
              <a:solidFill>
                <a:schemeClr val="accent4"/>
              </a:solidFill>
            </a:ln>
            <a:effectLst/>
          </c:spPr>
          <c:invertIfNegative val="0"/>
          <c:dPt>
            <c:idx val="0"/>
            <c:invertIfNegative val="0"/>
            <c:bubble3D val="0"/>
            <c:spPr>
              <a:solidFill>
                <a:schemeClr val="accent2">
                  <a:lumMod val="20000"/>
                  <a:lumOff val="80000"/>
                </a:schemeClr>
              </a:solidFill>
              <a:ln>
                <a:solidFill>
                  <a:schemeClr val="accent2"/>
                </a:solidFill>
              </a:ln>
              <a:effectLst/>
            </c:spPr>
            <c:extLst>
              <c:ext xmlns:c16="http://schemas.microsoft.com/office/drawing/2014/chart" uri="{C3380CC4-5D6E-409C-BE32-E72D297353CC}">
                <c16:uniqueId val="{00000004-8F0F-486F-8A1B-297787D60D20}"/>
              </c:ext>
            </c:extLst>
          </c:dPt>
          <c:dLbls>
            <c:dLbl>
              <c:idx val="0"/>
              <c:tx>
                <c:rich>
                  <a:bodyPr/>
                  <a:lstStyle/>
                  <a:p>
                    <a:fld id="{E34C3178-0694-4738-A91D-448D5631917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F0F-486F-8A1B-297787D60D20}"/>
                </c:ext>
              </c:extLst>
            </c:dLbl>
            <c:dLbl>
              <c:idx val="1"/>
              <c:layout>
                <c:manualLayout>
                  <c:x val="-6.3912465487270622E-4"/>
                  <c:y val="1.3331169039902263E-3"/>
                </c:manualLayout>
              </c:layout>
              <c:tx>
                <c:rich>
                  <a:bodyPr/>
                  <a:lstStyle/>
                  <a:p>
                    <a:fld id="{A99F1F8C-CCE4-418B-80FC-7C59548E27FD}"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8F0F-486F-8A1B-297787D60D20}"/>
                </c:ext>
              </c:extLst>
            </c:dLbl>
            <c:dLbl>
              <c:idx val="2"/>
              <c:tx>
                <c:rich>
                  <a:bodyPr/>
                  <a:lstStyle/>
                  <a:p>
                    <a:fld id="{383B4649-FC3D-4038-A0EB-8E0EDA26943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F0F-486F-8A1B-297787D60D20}"/>
                </c:ext>
              </c:extLst>
            </c:dLbl>
            <c:dLbl>
              <c:idx val="3"/>
              <c:tx>
                <c:rich>
                  <a:bodyPr/>
                  <a:lstStyle/>
                  <a:p>
                    <a:fld id="{EFE489B1-80EA-47D5-BB71-900A93547E14}"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F0F-486F-8A1B-297787D60D20}"/>
                </c:ext>
              </c:extLst>
            </c:dLbl>
            <c:dLbl>
              <c:idx val="4"/>
              <c:layout>
                <c:manualLayout>
                  <c:x val="0"/>
                  <c:y val="5.6818181818181789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fld id="{BD7805D0-5BA6-476A-8D79-56D349342F4B}" type="CELLRANGE">
                      <a:rPr lang="en-US" sz="700">
                        <a:solidFill>
                          <a:schemeClr val="bg1"/>
                        </a:solidFill>
                      </a:rPr>
                      <a:pPr>
                        <a:defRPr sz="700">
                          <a:solidFill>
                            <a:schemeClr val="bg1"/>
                          </a:solidFill>
                        </a:defRPr>
                      </a:pPr>
                      <a:t>[CELLRANGE]</a:t>
                    </a:fld>
                    <a:endParaRPr lang="en-US"/>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8F0F-486F-8A1B-297787D60D20}"/>
                </c:ext>
              </c:extLst>
            </c:dLbl>
            <c:dLbl>
              <c:idx val="5"/>
              <c:tx>
                <c:rich>
                  <a:bodyPr/>
                  <a:lstStyle/>
                  <a:p>
                    <a:fld id="{931CA2BD-2DA0-41C6-94FB-EBA91AB1875A}"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F0F-486F-8A1B-297787D60D20}"/>
                </c:ext>
              </c:extLst>
            </c:dLbl>
            <c:dLbl>
              <c:idx val="6"/>
              <c:tx>
                <c:rich>
                  <a:bodyPr/>
                  <a:lstStyle/>
                  <a:p>
                    <a:fld id="{4BB569F3-D207-40A7-BCE3-95F8DDEE7FA0}"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F0F-486F-8A1B-297787D60D20}"/>
                </c:ext>
              </c:extLst>
            </c:dLbl>
            <c:dLbl>
              <c:idx val="7"/>
              <c:layout>
                <c:manualLayout>
                  <c:x val="-1.0822510822510823E-3"/>
                  <c:y val="8.8268830800371288E-4"/>
                </c:manualLayout>
              </c:layout>
              <c:tx>
                <c:rich>
                  <a:bodyPr/>
                  <a:lstStyle/>
                  <a:p>
                    <a:fld id="{D031D86F-A80C-49EC-8B46-4FAFB9F8169A}" type="CELLRANGE">
                      <a:rPr lang="en-US" sz="700">
                        <a:solidFill>
                          <a:schemeClr val="tx1"/>
                        </a:solidFill>
                      </a:rPr>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8F0F-486F-8A1B-297787D60D20}"/>
                </c:ext>
              </c:extLst>
            </c:dLbl>
            <c:dLbl>
              <c:idx val="8"/>
              <c:tx>
                <c:rich>
                  <a:bodyPr/>
                  <a:lstStyle/>
                  <a:p>
                    <a:fld id="{206FE7B4-E8B1-4E0A-B538-579A6CB81C0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8F0F-486F-8A1B-297787D60D20}"/>
                </c:ext>
              </c:extLst>
            </c:dLbl>
            <c:dLbl>
              <c:idx val="9"/>
              <c:tx>
                <c:rich>
                  <a:bodyPr/>
                  <a:lstStyle/>
                  <a:p>
                    <a:fld id="{9D890F24-E5F1-4C41-B1F9-0649582E53F6}"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8F0F-486F-8A1B-297787D60D2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 1'!$B$1:$K$2</c:f>
              <c:strCache>
                <c:ptCount val="10"/>
                <c:pt idx="0">
                  <c:v>State</c:v>
                </c:pt>
                <c:pt idx="1">
                  <c:v>Female</c:v>
                </c:pt>
                <c:pt idx="2">
                  <c:v>Male</c:v>
                </c:pt>
                <c:pt idx="3">
                  <c:v>American Indian or Alaska Native</c:v>
                </c:pt>
                <c:pt idx="4">
                  <c:v>Asian</c:v>
                </c:pt>
                <c:pt idx="5">
                  <c:v>Black or African American</c:v>
                </c:pt>
                <c:pt idx="6">
                  <c:v>Hispanic or Latino</c:v>
                </c:pt>
                <c:pt idx="7">
                  <c:v>White</c:v>
                </c:pt>
                <c:pt idx="8">
                  <c:v>Native Hawaiian or Other Pacific Islander</c:v>
                </c:pt>
                <c:pt idx="9">
                  <c:v>Two or More Races</c:v>
                </c:pt>
              </c:strCache>
            </c:strRef>
          </c:cat>
          <c:val>
            <c:numRef>
              <c:f>'Sheet 1'!$B$4:$K$4</c:f>
              <c:numCache>
                <c:formatCode>0.0%</c:formatCode>
                <c:ptCount val="10"/>
                <c:pt idx="0">
                  <c:v>6.5000000000000058E-2</c:v>
                </c:pt>
                <c:pt idx="1">
                  <c:v>5.8000000000000052E-2</c:v>
                </c:pt>
                <c:pt idx="2">
                  <c:v>7.0999999999999952E-2</c:v>
                </c:pt>
                <c:pt idx="3">
                  <c:v>9.7999999999999976E-2</c:v>
                </c:pt>
                <c:pt idx="4">
                  <c:v>4.599999999999993E-2</c:v>
                </c:pt>
                <c:pt idx="5">
                  <c:v>8.2999999999999963E-2</c:v>
                </c:pt>
                <c:pt idx="6">
                  <c:v>7.7999999999999958E-2</c:v>
                </c:pt>
                <c:pt idx="7">
                  <c:v>5.600000000000005E-2</c:v>
                </c:pt>
                <c:pt idx="8">
                  <c:v>7.2999999999999954E-2</c:v>
                </c:pt>
                <c:pt idx="9">
                  <c:v>6.9000000000000061E-2</c:v>
                </c:pt>
              </c:numCache>
            </c:numRef>
          </c:val>
          <c:extLst>
            <c:ext xmlns:c15="http://schemas.microsoft.com/office/drawing/2012/chart" uri="{02D57815-91ED-43cb-92C2-25804820EDAC}">
              <c15:datalabelsRange>
                <c15:f>'Sheet 1'!$B$6:$K$6</c15:f>
                <c15:dlblRangeCache>
                  <c:ptCount val="10"/>
                  <c:pt idx="0">
                    <c:v>89.9%</c:v>
                  </c:pt>
                  <c:pt idx="1">
                    <c:v>92.3%</c:v>
                  </c:pt>
                  <c:pt idx="2">
                    <c:v>87.6%</c:v>
                  </c:pt>
                  <c:pt idx="3">
                    <c:v>77.1%</c:v>
                  </c:pt>
                  <c:pt idx="4">
                    <c:v>96.5%</c:v>
                  </c:pt>
                  <c:pt idx="5">
                    <c:v>85.9%</c:v>
                  </c:pt>
                  <c:pt idx="6">
                    <c:v>84.5%</c:v>
                  </c:pt>
                  <c:pt idx="7">
                    <c:v>93.4%</c:v>
                  </c:pt>
                  <c:pt idx="8">
                    <c:v>81.9%</c:v>
                  </c:pt>
                  <c:pt idx="9">
                    <c:v>90.7%</c:v>
                  </c:pt>
                </c15:dlblRangeCache>
              </c15:datalabelsRange>
            </c:ext>
            <c:ext xmlns:c16="http://schemas.microsoft.com/office/drawing/2014/chart" uri="{C3380CC4-5D6E-409C-BE32-E72D297353CC}">
              <c16:uniqueId val="{0000000E-8F0F-486F-8A1B-297787D60D20}"/>
            </c:ext>
          </c:extLst>
        </c:ser>
        <c:dLbls>
          <c:dLblPos val="ctr"/>
          <c:showLegendKey val="0"/>
          <c:showVal val="1"/>
          <c:showCatName val="0"/>
          <c:showSerName val="0"/>
          <c:showPercent val="0"/>
          <c:showBubbleSize val="0"/>
        </c:dLbls>
        <c:gapWidth val="95"/>
        <c:overlap val="100"/>
        <c:axId val="324189544"/>
        <c:axId val="324184056"/>
      </c:barChart>
      <c:catAx>
        <c:axId val="32418954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US"/>
          </a:p>
        </c:txPr>
        <c:crossAx val="324184056"/>
        <c:crosses val="autoZero"/>
        <c:auto val="1"/>
        <c:lblAlgn val="ctr"/>
        <c:lblOffset val="100"/>
        <c:noMultiLvlLbl val="0"/>
      </c:catAx>
      <c:valAx>
        <c:axId val="324184056"/>
        <c:scaling>
          <c:orientation val="minMax"/>
          <c:max val="1"/>
        </c:scaling>
        <c:delete val="1"/>
        <c:axPos val="l"/>
        <c:numFmt formatCode="0.0%" sourceLinked="1"/>
        <c:majorTickMark val="out"/>
        <c:minorTickMark val="none"/>
        <c:tickLblPos val="nextTo"/>
        <c:crossAx val="324189544"/>
        <c:crosses val="autoZero"/>
        <c:crossBetween val="between"/>
      </c:valAx>
      <c:spPr>
        <a:noFill/>
        <a:ln>
          <a:noFill/>
        </a:ln>
        <a:effectLst/>
      </c:spPr>
    </c:plotArea>
    <c:legend>
      <c:legendPos val="b"/>
      <c:layout>
        <c:manualLayout>
          <c:xMode val="edge"/>
          <c:yMode val="edge"/>
          <c:x val="0.39289666916635418"/>
          <c:y val="0.92947397200349946"/>
          <c:w val="0.2122225346831646"/>
          <c:h val="5.198996199109405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200">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dirty="0"/>
              <a:t>4-year Graduation Rates </a:t>
            </a:r>
            <a:r>
              <a:rPr lang="en-US" sz="1100" baseline="0" dirty="0"/>
              <a:t>by District Region</a:t>
            </a:r>
            <a:endParaRPr lang="en-US" sz="1100" dirty="0"/>
          </a:p>
        </c:rich>
      </c:tx>
      <c:layout>
        <c:manualLayout>
          <c:xMode val="edge"/>
          <c:yMode val="edge"/>
          <c:x val="0.14023196810438562"/>
          <c:y val="4.0504531816252182E-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7.5064423765211177E-2"/>
          <c:y val="0.14996660427852485"/>
          <c:w val="0.61220372553104652"/>
          <c:h val="0.74003924195668003"/>
        </c:manualLayout>
      </c:layout>
      <c:lineChart>
        <c:grouping val="standard"/>
        <c:varyColors val="0"/>
        <c:ser>
          <c:idx val="0"/>
          <c:order val="0"/>
          <c:tx>
            <c:strRef>
              <c:f>Sheet1!$B$1</c:f>
              <c:strCache>
                <c:ptCount val="1"/>
                <c:pt idx="0">
                  <c:v>State</c:v>
                </c:pt>
              </c:strCache>
            </c:strRef>
          </c:tx>
          <c:spPr>
            <a:ln w="57150" cap="rnd">
              <a:solidFill>
                <a:schemeClr val="tx1"/>
              </a:solidFill>
              <a:round/>
            </a:ln>
            <a:effectLst/>
          </c:spPr>
          <c:marker>
            <c:symbol val="none"/>
          </c:marker>
          <c:cat>
            <c:strRef>
              <c:f>Sheet1!$A$2:$A$4</c:f>
              <c:strCache>
                <c:ptCount val="3"/>
                <c:pt idx="0">
                  <c:v>AYG 2021</c:v>
                </c:pt>
                <c:pt idx="1">
                  <c:v>AYG 2022</c:v>
                </c:pt>
                <c:pt idx="2">
                  <c:v>AYG 2023</c:v>
                </c:pt>
              </c:strCache>
            </c:strRef>
          </c:cat>
          <c:val>
            <c:numRef>
              <c:f>Sheet1!$B$2:$B$4</c:f>
              <c:numCache>
                <c:formatCode>0.0%</c:formatCode>
                <c:ptCount val="3"/>
                <c:pt idx="0">
                  <c:v>0.81699999999999995</c:v>
                </c:pt>
                <c:pt idx="1">
                  <c:v>0.82299999999999995</c:v>
                </c:pt>
                <c:pt idx="2">
                  <c:v>0.83099999999999996</c:v>
                </c:pt>
              </c:numCache>
            </c:numRef>
          </c:val>
          <c:smooth val="0"/>
          <c:extLst>
            <c:ext xmlns:c16="http://schemas.microsoft.com/office/drawing/2014/chart" uri="{C3380CC4-5D6E-409C-BE32-E72D297353CC}">
              <c16:uniqueId val="{00000000-094C-46AE-ACC8-FCFB12C5827C}"/>
            </c:ext>
          </c:extLst>
        </c:ser>
        <c:ser>
          <c:idx val="1"/>
          <c:order val="1"/>
          <c:tx>
            <c:strRef>
              <c:f>Sheet1!$C$1</c:f>
              <c:strCache>
                <c:ptCount val="1"/>
                <c:pt idx="0">
                  <c:v>Northwest</c:v>
                </c:pt>
              </c:strCache>
            </c:strRef>
          </c:tx>
          <c:spPr>
            <a:ln w="34925" cap="rnd">
              <a:solidFill>
                <a:srgbClr val="C32032"/>
              </a:solidFill>
              <a:prstDash val="sysDash"/>
              <a:round/>
            </a:ln>
            <a:effectLst/>
          </c:spPr>
          <c:marker>
            <c:symbol val="none"/>
          </c:marker>
          <c:cat>
            <c:strRef>
              <c:f>Sheet1!$A$2:$A$4</c:f>
              <c:strCache>
                <c:ptCount val="3"/>
                <c:pt idx="0">
                  <c:v>AYG 2021</c:v>
                </c:pt>
                <c:pt idx="1">
                  <c:v>AYG 2022</c:v>
                </c:pt>
                <c:pt idx="2">
                  <c:v>AYG 2023</c:v>
                </c:pt>
              </c:strCache>
            </c:strRef>
          </c:cat>
          <c:val>
            <c:numRef>
              <c:f>Sheet1!$C$2:$C$4</c:f>
              <c:numCache>
                <c:formatCode>0.0%</c:formatCode>
                <c:ptCount val="3"/>
                <c:pt idx="0">
                  <c:v>0.86199999999999999</c:v>
                </c:pt>
                <c:pt idx="1">
                  <c:v>0.874</c:v>
                </c:pt>
                <c:pt idx="2">
                  <c:v>0.86699999999999999</c:v>
                </c:pt>
              </c:numCache>
            </c:numRef>
          </c:val>
          <c:smooth val="0"/>
          <c:extLst>
            <c:ext xmlns:c16="http://schemas.microsoft.com/office/drawing/2014/chart" uri="{C3380CC4-5D6E-409C-BE32-E72D297353CC}">
              <c16:uniqueId val="{00000001-094C-46AE-ACC8-FCFB12C5827C}"/>
            </c:ext>
          </c:extLst>
        </c:ser>
        <c:ser>
          <c:idx val="2"/>
          <c:order val="2"/>
          <c:tx>
            <c:strRef>
              <c:f>Sheet1!$D$1</c:f>
              <c:strCache>
                <c:ptCount val="1"/>
                <c:pt idx="0">
                  <c:v>Southwest</c:v>
                </c:pt>
              </c:strCache>
            </c:strRef>
          </c:tx>
          <c:spPr>
            <a:ln w="34925" cap="rnd">
              <a:solidFill>
                <a:srgbClr val="488BC9"/>
              </a:solidFill>
              <a:round/>
            </a:ln>
            <a:effectLst/>
          </c:spPr>
          <c:marker>
            <c:symbol val="none"/>
          </c:marker>
          <c:cat>
            <c:strRef>
              <c:f>Sheet1!$A$2:$A$4</c:f>
              <c:strCache>
                <c:ptCount val="3"/>
                <c:pt idx="0">
                  <c:v>AYG 2021</c:v>
                </c:pt>
                <c:pt idx="1">
                  <c:v>AYG 2022</c:v>
                </c:pt>
                <c:pt idx="2">
                  <c:v>AYG 2023</c:v>
                </c:pt>
              </c:strCache>
            </c:strRef>
          </c:cat>
          <c:val>
            <c:numRef>
              <c:f>Sheet1!$D$2:$D$4</c:f>
              <c:numCache>
                <c:formatCode>0.0%</c:formatCode>
                <c:ptCount val="3"/>
                <c:pt idx="0">
                  <c:v>0.81100000000000005</c:v>
                </c:pt>
                <c:pt idx="1">
                  <c:v>0.78400000000000003</c:v>
                </c:pt>
                <c:pt idx="2">
                  <c:v>0.84299999999999997</c:v>
                </c:pt>
              </c:numCache>
            </c:numRef>
          </c:val>
          <c:smooth val="0"/>
          <c:extLst>
            <c:ext xmlns:c16="http://schemas.microsoft.com/office/drawing/2014/chart" uri="{C3380CC4-5D6E-409C-BE32-E72D297353CC}">
              <c16:uniqueId val="{00000002-094C-46AE-ACC8-FCFB12C5827C}"/>
            </c:ext>
          </c:extLst>
        </c:ser>
        <c:ser>
          <c:idx val="3"/>
          <c:order val="3"/>
          <c:tx>
            <c:strRef>
              <c:f>Sheet1!$E$1</c:f>
              <c:strCache>
                <c:ptCount val="1"/>
                <c:pt idx="0">
                  <c:v>Northeast</c:v>
                </c:pt>
              </c:strCache>
            </c:strRef>
          </c:tx>
          <c:spPr>
            <a:ln w="34925" cap="rnd">
              <a:solidFill>
                <a:srgbClr val="6D3B5D"/>
              </a:solidFill>
              <a:prstDash val="sysDash"/>
              <a:round/>
            </a:ln>
            <a:effectLst/>
          </c:spPr>
          <c:marker>
            <c:symbol val="none"/>
          </c:marker>
          <c:cat>
            <c:strRef>
              <c:f>Sheet1!$A$2:$A$4</c:f>
              <c:strCache>
                <c:ptCount val="3"/>
                <c:pt idx="0">
                  <c:v>AYG 2021</c:v>
                </c:pt>
                <c:pt idx="1">
                  <c:v>AYG 2022</c:v>
                </c:pt>
                <c:pt idx="2">
                  <c:v>AYG 2023</c:v>
                </c:pt>
              </c:strCache>
            </c:strRef>
          </c:cat>
          <c:val>
            <c:numRef>
              <c:f>Sheet1!$E$2:$E$4</c:f>
              <c:numCache>
                <c:formatCode>0.0%</c:formatCode>
                <c:ptCount val="3"/>
                <c:pt idx="0">
                  <c:v>0.77200000000000002</c:v>
                </c:pt>
                <c:pt idx="1">
                  <c:v>0.72499999999999998</c:v>
                </c:pt>
                <c:pt idx="2">
                  <c:v>0.68700000000000006</c:v>
                </c:pt>
              </c:numCache>
            </c:numRef>
          </c:val>
          <c:smooth val="0"/>
          <c:extLst>
            <c:ext xmlns:c16="http://schemas.microsoft.com/office/drawing/2014/chart" uri="{C3380CC4-5D6E-409C-BE32-E72D297353CC}">
              <c16:uniqueId val="{00000003-094C-46AE-ACC8-FCFB12C5827C}"/>
            </c:ext>
          </c:extLst>
        </c:ser>
        <c:ser>
          <c:idx val="4"/>
          <c:order val="4"/>
          <c:tx>
            <c:strRef>
              <c:f>Sheet1!$F$1</c:f>
              <c:strCache>
                <c:ptCount val="1"/>
                <c:pt idx="0">
                  <c:v>Pikes Peak</c:v>
                </c:pt>
              </c:strCache>
            </c:strRef>
          </c:tx>
          <c:spPr>
            <a:ln w="34925" cap="rnd">
              <a:solidFill>
                <a:schemeClr val="accent3"/>
              </a:solidFill>
              <a:round/>
            </a:ln>
            <a:effectLst/>
          </c:spPr>
          <c:marker>
            <c:symbol val="none"/>
          </c:marker>
          <c:cat>
            <c:strRef>
              <c:f>Sheet1!$A$2:$A$4</c:f>
              <c:strCache>
                <c:ptCount val="3"/>
                <c:pt idx="0">
                  <c:v>AYG 2021</c:v>
                </c:pt>
                <c:pt idx="1">
                  <c:v>AYG 2022</c:v>
                </c:pt>
                <c:pt idx="2">
                  <c:v>AYG 2023</c:v>
                </c:pt>
              </c:strCache>
            </c:strRef>
          </c:cat>
          <c:val>
            <c:numRef>
              <c:f>Sheet1!$F$2:$F$4</c:f>
              <c:numCache>
                <c:formatCode>0.0%</c:formatCode>
                <c:ptCount val="3"/>
                <c:pt idx="0">
                  <c:v>0.76100000000000001</c:v>
                </c:pt>
                <c:pt idx="1">
                  <c:v>0.76600000000000001</c:v>
                </c:pt>
                <c:pt idx="2">
                  <c:v>0.76900000000000002</c:v>
                </c:pt>
              </c:numCache>
            </c:numRef>
          </c:val>
          <c:smooth val="0"/>
          <c:extLst>
            <c:ext xmlns:c16="http://schemas.microsoft.com/office/drawing/2014/chart" uri="{C3380CC4-5D6E-409C-BE32-E72D297353CC}">
              <c16:uniqueId val="{00000004-094C-46AE-ACC8-FCFB12C5827C}"/>
            </c:ext>
          </c:extLst>
        </c:ser>
        <c:ser>
          <c:idx val="5"/>
          <c:order val="5"/>
          <c:tx>
            <c:strRef>
              <c:f>Sheet1!$G$1</c:f>
              <c:strCache>
                <c:ptCount val="1"/>
                <c:pt idx="0">
                  <c:v>West Central</c:v>
                </c:pt>
              </c:strCache>
            </c:strRef>
          </c:tx>
          <c:spPr>
            <a:ln w="34925" cap="rnd">
              <a:solidFill>
                <a:srgbClr val="EF7521"/>
              </a:solidFill>
              <a:prstDash val="dashDot"/>
              <a:round/>
            </a:ln>
            <a:effectLst/>
          </c:spPr>
          <c:marker>
            <c:symbol val="none"/>
          </c:marker>
          <c:cat>
            <c:strRef>
              <c:f>Sheet1!$A$2:$A$4</c:f>
              <c:strCache>
                <c:ptCount val="3"/>
                <c:pt idx="0">
                  <c:v>AYG 2021</c:v>
                </c:pt>
                <c:pt idx="1">
                  <c:v>AYG 2022</c:v>
                </c:pt>
                <c:pt idx="2">
                  <c:v>AYG 2023</c:v>
                </c:pt>
              </c:strCache>
            </c:strRef>
          </c:cat>
          <c:val>
            <c:numRef>
              <c:f>Sheet1!$G$2:$G$4</c:f>
              <c:numCache>
                <c:formatCode>0.0%</c:formatCode>
                <c:ptCount val="3"/>
                <c:pt idx="0">
                  <c:v>0.81100000000000005</c:v>
                </c:pt>
                <c:pt idx="1">
                  <c:v>0.81</c:v>
                </c:pt>
                <c:pt idx="2">
                  <c:v>0.81</c:v>
                </c:pt>
              </c:numCache>
            </c:numRef>
          </c:val>
          <c:smooth val="0"/>
          <c:extLst>
            <c:ext xmlns:c16="http://schemas.microsoft.com/office/drawing/2014/chart" uri="{C3380CC4-5D6E-409C-BE32-E72D297353CC}">
              <c16:uniqueId val="{00000005-094C-46AE-ACC8-FCFB12C5827C}"/>
            </c:ext>
          </c:extLst>
        </c:ser>
        <c:ser>
          <c:idx val="6"/>
          <c:order val="6"/>
          <c:tx>
            <c:strRef>
              <c:f>Sheet1!$H$1</c:f>
              <c:strCache>
                <c:ptCount val="1"/>
                <c:pt idx="0">
                  <c:v>North Central</c:v>
                </c:pt>
              </c:strCache>
            </c:strRef>
          </c:tx>
          <c:spPr>
            <a:ln w="34925" cap="rnd">
              <a:solidFill>
                <a:srgbClr val="48C3E3"/>
              </a:solidFill>
              <a:round/>
            </a:ln>
            <a:effectLst/>
          </c:spPr>
          <c:marker>
            <c:symbol val="none"/>
          </c:marker>
          <c:cat>
            <c:strRef>
              <c:f>Sheet1!$A$2:$A$4</c:f>
              <c:strCache>
                <c:ptCount val="3"/>
                <c:pt idx="0">
                  <c:v>AYG 2021</c:v>
                </c:pt>
                <c:pt idx="1">
                  <c:v>AYG 2022</c:v>
                </c:pt>
                <c:pt idx="2">
                  <c:v>AYG 2023</c:v>
                </c:pt>
              </c:strCache>
            </c:strRef>
          </c:cat>
          <c:val>
            <c:numRef>
              <c:f>Sheet1!$H$2:$H$4</c:f>
              <c:numCache>
                <c:formatCode>0.0%</c:formatCode>
                <c:ptCount val="3"/>
                <c:pt idx="0">
                  <c:v>0.85899999999999999</c:v>
                </c:pt>
                <c:pt idx="1">
                  <c:v>0.877</c:v>
                </c:pt>
                <c:pt idx="2">
                  <c:v>0.88800000000000001</c:v>
                </c:pt>
              </c:numCache>
            </c:numRef>
          </c:val>
          <c:smooth val="0"/>
          <c:extLst>
            <c:ext xmlns:c16="http://schemas.microsoft.com/office/drawing/2014/chart" uri="{C3380CC4-5D6E-409C-BE32-E72D297353CC}">
              <c16:uniqueId val="{00000006-094C-46AE-ACC8-FCFB12C5827C}"/>
            </c:ext>
          </c:extLst>
        </c:ser>
        <c:ser>
          <c:idx val="7"/>
          <c:order val="7"/>
          <c:tx>
            <c:strRef>
              <c:f>Sheet1!$I$1</c:f>
              <c:strCache>
                <c:ptCount val="1"/>
                <c:pt idx="0">
                  <c:v>Southeast</c:v>
                </c:pt>
              </c:strCache>
            </c:strRef>
          </c:tx>
          <c:spPr>
            <a:ln w="34925" cap="rnd">
              <a:solidFill>
                <a:srgbClr val="4A3728"/>
              </a:solidFill>
              <a:prstDash val="dash"/>
              <a:round/>
            </a:ln>
            <a:effectLst/>
          </c:spPr>
          <c:marker>
            <c:symbol val="none"/>
          </c:marker>
          <c:cat>
            <c:strRef>
              <c:f>Sheet1!$A$2:$A$4</c:f>
              <c:strCache>
                <c:ptCount val="3"/>
                <c:pt idx="0">
                  <c:v>AYG 2021</c:v>
                </c:pt>
                <c:pt idx="1">
                  <c:v>AYG 2022</c:v>
                </c:pt>
                <c:pt idx="2">
                  <c:v>AYG 2023</c:v>
                </c:pt>
              </c:strCache>
            </c:strRef>
          </c:cat>
          <c:val>
            <c:numRef>
              <c:f>Sheet1!$I$2:$I$4</c:f>
              <c:numCache>
                <c:formatCode>0.0%</c:formatCode>
                <c:ptCount val="3"/>
                <c:pt idx="0">
                  <c:v>0.73399999999999999</c:v>
                </c:pt>
                <c:pt idx="1">
                  <c:v>0.76600000000000001</c:v>
                </c:pt>
                <c:pt idx="2">
                  <c:v>0.81799999999999995</c:v>
                </c:pt>
              </c:numCache>
            </c:numRef>
          </c:val>
          <c:smooth val="0"/>
          <c:extLst>
            <c:ext xmlns:c16="http://schemas.microsoft.com/office/drawing/2014/chart" uri="{C3380CC4-5D6E-409C-BE32-E72D297353CC}">
              <c16:uniqueId val="{00000007-094C-46AE-ACC8-FCFB12C5827C}"/>
            </c:ext>
          </c:extLst>
        </c:ser>
        <c:ser>
          <c:idx val="8"/>
          <c:order val="8"/>
          <c:tx>
            <c:strRef>
              <c:f>Sheet1!$J$1</c:f>
              <c:strCache>
                <c:ptCount val="1"/>
                <c:pt idx="0">
                  <c:v>Metro</c:v>
                </c:pt>
              </c:strCache>
            </c:strRef>
          </c:tx>
          <c:spPr>
            <a:ln w="34925" cap="rnd">
              <a:solidFill>
                <a:srgbClr val="FFC846"/>
              </a:solidFill>
              <a:round/>
            </a:ln>
            <a:effectLst/>
          </c:spPr>
          <c:marker>
            <c:symbol val="none"/>
          </c:marker>
          <c:cat>
            <c:strRef>
              <c:f>Sheet1!$A$2:$A$4</c:f>
              <c:strCache>
                <c:ptCount val="3"/>
                <c:pt idx="0">
                  <c:v>AYG 2021</c:v>
                </c:pt>
                <c:pt idx="1">
                  <c:v>AYG 2022</c:v>
                </c:pt>
                <c:pt idx="2">
                  <c:v>AYG 2023</c:v>
                </c:pt>
              </c:strCache>
            </c:strRef>
          </c:cat>
          <c:val>
            <c:numRef>
              <c:f>Sheet1!$J$2:$J$4</c:f>
              <c:numCache>
                <c:formatCode>0.0%</c:formatCode>
                <c:ptCount val="3"/>
                <c:pt idx="0">
                  <c:v>0.83399999999999996</c:v>
                </c:pt>
                <c:pt idx="1">
                  <c:v>0.83799999999999997</c:v>
                </c:pt>
                <c:pt idx="2">
                  <c:v>0.84699999999999998</c:v>
                </c:pt>
              </c:numCache>
            </c:numRef>
          </c:val>
          <c:smooth val="0"/>
          <c:extLst>
            <c:ext xmlns:c16="http://schemas.microsoft.com/office/drawing/2014/chart" uri="{C3380CC4-5D6E-409C-BE32-E72D297353CC}">
              <c16:uniqueId val="{00000008-094C-46AE-ACC8-FCFB12C5827C}"/>
            </c:ext>
          </c:extLst>
        </c:ser>
        <c:ser>
          <c:idx val="9"/>
          <c:order val="9"/>
          <c:tx>
            <c:strRef>
              <c:f>Sheet1!$K$1</c:f>
              <c:strCache>
                <c:ptCount val="1"/>
                <c:pt idx="0">
                  <c:v>Not Applicable</c:v>
                </c:pt>
              </c:strCache>
            </c:strRef>
          </c:tx>
          <c:spPr>
            <a:ln w="34925" cap="rnd">
              <a:solidFill>
                <a:srgbClr val="5D6770"/>
              </a:solidFill>
              <a:prstDash val="sysDot"/>
              <a:round/>
            </a:ln>
            <a:effectLst/>
          </c:spPr>
          <c:marker>
            <c:symbol val="none"/>
          </c:marker>
          <c:cat>
            <c:strRef>
              <c:f>Sheet1!$A$2:$A$4</c:f>
              <c:strCache>
                <c:ptCount val="3"/>
                <c:pt idx="0">
                  <c:v>AYG 2021</c:v>
                </c:pt>
                <c:pt idx="1">
                  <c:v>AYG 2022</c:v>
                </c:pt>
                <c:pt idx="2">
                  <c:v>AYG 2023</c:v>
                </c:pt>
              </c:strCache>
            </c:strRef>
          </c:cat>
          <c:val>
            <c:numRef>
              <c:f>Sheet1!$K$2:$K$4</c:f>
              <c:numCache>
                <c:formatCode>0.0%</c:formatCode>
                <c:ptCount val="3"/>
                <c:pt idx="0">
                  <c:v>0.66300000000000003</c:v>
                </c:pt>
                <c:pt idx="1">
                  <c:v>0.71899999999999997</c:v>
                </c:pt>
                <c:pt idx="2">
                  <c:v>0.73099999999999998</c:v>
                </c:pt>
              </c:numCache>
            </c:numRef>
          </c:val>
          <c:smooth val="0"/>
          <c:extLst>
            <c:ext xmlns:c16="http://schemas.microsoft.com/office/drawing/2014/chart" uri="{C3380CC4-5D6E-409C-BE32-E72D297353CC}">
              <c16:uniqueId val="{00000009-094C-46AE-ACC8-FCFB12C5827C}"/>
            </c:ext>
          </c:extLst>
        </c:ser>
        <c:dLbls>
          <c:showLegendKey val="0"/>
          <c:showVal val="0"/>
          <c:showCatName val="0"/>
          <c:showSerName val="0"/>
          <c:showPercent val="0"/>
          <c:showBubbleSize val="0"/>
        </c:dLbls>
        <c:smooth val="0"/>
        <c:axId val="1403883967"/>
        <c:axId val="1403870655"/>
      </c:lineChart>
      <c:catAx>
        <c:axId val="140388396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03870655"/>
        <c:crosses val="autoZero"/>
        <c:auto val="1"/>
        <c:lblAlgn val="ctr"/>
        <c:lblOffset val="100"/>
        <c:tickMarkSkip val="1"/>
        <c:noMultiLvlLbl val="0"/>
      </c:catAx>
      <c:valAx>
        <c:axId val="1403870655"/>
        <c:scaling>
          <c:orientation val="minMax"/>
          <c:min val="0.65000000000000013"/>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1403883967"/>
        <c:crosses val="autoZero"/>
        <c:crossBetween val="midCat"/>
      </c:valAx>
      <c:spPr>
        <a:solidFill>
          <a:schemeClr val="bg1"/>
        </a:solidFill>
        <a:ln>
          <a:noFill/>
        </a:ln>
        <a:effectLst/>
      </c:spPr>
    </c:plotArea>
    <c:legend>
      <c:legendPos val="r"/>
      <c:layout>
        <c:manualLayout>
          <c:xMode val="edge"/>
          <c:yMode val="edge"/>
          <c:x val="0.73087770278715181"/>
          <c:y val="0.14286612747009469"/>
          <c:w val="0.26262873390826147"/>
          <c:h val="0.74868338685809266"/>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50000"/>
          <a:lumOff val="50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CDE Blue Green">
      <a:dk1>
        <a:sysClr val="windowText" lastClr="000000"/>
      </a:dk1>
      <a:lt1>
        <a:sysClr val="window" lastClr="FFFFFF"/>
      </a:lt1>
      <a:dk2>
        <a:srgbClr val="5D6770"/>
      </a:dk2>
      <a:lt2>
        <a:srgbClr val="90C8E7"/>
      </a:lt2>
      <a:accent1>
        <a:srgbClr val="232C67"/>
      </a:accent1>
      <a:accent2>
        <a:srgbClr val="235E39"/>
      </a:accent2>
      <a:accent3>
        <a:srgbClr val="26B351"/>
      </a:accent3>
      <a:accent4>
        <a:srgbClr val="825474"/>
      </a:accent4>
      <a:accent5>
        <a:srgbClr val="7C98AC"/>
      </a:accent5>
      <a:accent6>
        <a:srgbClr val="D2D3D3"/>
      </a:accent6>
      <a:hlink>
        <a:srgbClr val="0070C0"/>
      </a:hlink>
      <a:folHlink>
        <a:srgbClr val="F8B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44A7A73C8F0B488F2B94D68313F34F" ma:contentTypeVersion="8" ma:contentTypeDescription="Create a new document." ma:contentTypeScope="" ma:versionID="28a4647015150dd0f8b1570cc53dd640">
  <xsd:schema xmlns:xsd="http://www.w3.org/2001/XMLSchema" xmlns:xs="http://www.w3.org/2001/XMLSchema" xmlns:p="http://schemas.microsoft.com/office/2006/metadata/properties" xmlns:ns2="a8059525-aef1-4c44-802e-e3dcd771b018" xmlns:ns3="41dc37c2-c4c3-4904-a5b9-d3398831a044" targetNamespace="http://schemas.microsoft.com/office/2006/metadata/properties" ma:root="true" ma:fieldsID="6a54525363ad40d41df6b5348affa9d5" ns2:_="" ns3:_="">
    <xsd:import namespace="a8059525-aef1-4c44-802e-e3dcd771b018"/>
    <xsd:import namespace="41dc37c2-c4c3-4904-a5b9-d3398831a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59525-aef1-4c44-802e-e3dcd771b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c37c2-c4c3-4904-a5b9-d3398831a0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D4F38-463C-478A-822E-85C942906007}">
  <ds:schemaRefs>
    <ds:schemaRef ds:uri="http://purl.org/dc/terms/"/>
    <ds:schemaRef ds:uri="http://schemas.microsoft.com/office/infopath/2007/PartnerControls"/>
    <ds:schemaRef ds:uri="41dc37c2-c4c3-4904-a5b9-d3398831a044"/>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a8059525-aef1-4c44-802e-e3dcd771b018"/>
    <ds:schemaRef ds:uri="http://purl.org/dc/dcmitype/"/>
  </ds:schemaRefs>
</ds:datastoreItem>
</file>

<file path=customXml/itemProps2.xml><?xml version="1.0" encoding="utf-8"?>
<ds:datastoreItem xmlns:ds="http://schemas.openxmlformats.org/officeDocument/2006/customXml" ds:itemID="{5C1CFCA2-B560-49CE-9EF1-4830B4AC8097}">
  <ds:schemaRefs>
    <ds:schemaRef ds:uri="http://schemas.openxmlformats.org/officeDocument/2006/bibliography"/>
  </ds:schemaRefs>
</ds:datastoreItem>
</file>

<file path=customXml/itemProps3.xml><?xml version="1.0" encoding="utf-8"?>
<ds:datastoreItem xmlns:ds="http://schemas.openxmlformats.org/officeDocument/2006/customXml" ds:itemID="{10E491B8-7DE4-4597-8962-55B3D164EBF4}">
  <ds:schemaRefs>
    <ds:schemaRef ds:uri="http://schemas.microsoft.com/sharepoint/v3/contenttype/forms"/>
  </ds:schemaRefs>
</ds:datastoreItem>
</file>

<file path=customXml/itemProps4.xml><?xml version="1.0" encoding="utf-8"?>
<ds:datastoreItem xmlns:ds="http://schemas.openxmlformats.org/officeDocument/2006/customXml" ds:itemID="{8BF89438-AE8F-4304-BAC6-84D8076EA5B7}"/>
</file>

<file path=docProps/app.xml><?xml version="1.0" encoding="utf-8"?>
<Properties xmlns="http://schemas.openxmlformats.org/officeDocument/2006/extended-properties" xmlns:vt="http://schemas.openxmlformats.org/officeDocument/2006/docPropsVTypes">
  <Template>Normal</Template>
  <TotalTime>4</TotalTime>
  <Pages>3</Pages>
  <Words>785</Words>
  <Characters>4477</Characters>
  <Application>Microsoft Office Word</Application>
  <DocSecurity>10</DocSecurity>
  <Lines>37</Lines>
  <Paragraphs>10</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Ward, Reagan</cp:lastModifiedBy>
  <cp:revision>8</cp:revision>
  <dcterms:created xsi:type="dcterms:W3CDTF">2024-01-05T23:46:00Z</dcterms:created>
  <dcterms:modified xsi:type="dcterms:W3CDTF">2024-01-12T17:13:00Z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0x0101009144A7A73C8F0B488F2B94D68313F34F</vt:lpwstr>
  </property>
</Properties>
</file>