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8C386" w14:textId="7A32ACB5" w:rsidR="00BA1ACA" w:rsidRPr="00AA1CAB" w:rsidRDefault="00AA1CAB" w:rsidP="00BA1ACA">
      <w:pPr>
        <w:pBdr>
          <w:bottom w:val="single" w:sz="8" w:space="1" w:color="CCCCCC" w:themeColor="text1" w:themeTint="33"/>
        </w:pBdr>
        <w:spacing w:after="120"/>
        <w:ind w:left="720" w:right="720"/>
        <w:rPr>
          <w:rFonts w:ascii="Museo Slab 500" w:hAnsi="Museo Slab 500"/>
          <w:color w:val="000000" w:themeColor="text1"/>
          <w:sz w:val="28"/>
          <w:szCs w:val="28"/>
        </w:rPr>
      </w:pPr>
      <w:r>
        <w:rPr>
          <w:rFonts w:ascii="Museo Slab 500" w:hAnsi="Museo Slab 500"/>
          <w:color w:val="000000" w:themeColor="text1"/>
          <w:sz w:val="30"/>
          <w:szCs w:val="30"/>
        </w:rPr>
        <w:br/>
      </w:r>
      <w:r w:rsidR="001A3CDD" w:rsidRPr="00AA1CAB">
        <w:rPr>
          <w:rFonts w:ascii="Museo Slab 500" w:hAnsi="Museo Slab 500"/>
          <w:color w:val="000000" w:themeColor="text1"/>
          <w:sz w:val="28"/>
          <w:szCs w:val="28"/>
        </w:rPr>
        <w:t>Superintendents/Principals to Parents</w:t>
      </w:r>
      <w:r w:rsidR="00C033EF">
        <w:rPr>
          <w:rFonts w:ascii="Museo Slab 500" w:hAnsi="Museo Slab 500"/>
          <w:color w:val="000000" w:themeColor="text1"/>
          <w:sz w:val="28"/>
          <w:szCs w:val="28"/>
        </w:rPr>
        <w:t xml:space="preserve"> and Community Members</w:t>
      </w:r>
    </w:p>
    <w:p w14:paraId="5E31BA5A" w14:textId="2CE8CE75" w:rsidR="00BA1ACA" w:rsidRPr="002275D8" w:rsidRDefault="00BA1ACA" w:rsidP="00BA1ACA">
      <w:pPr>
        <w:ind w:left="720" w:right="720"/>
        <w:rPr>
          <w:rFonts w:eastAsia="Times New Roman" w:cs="Times New Roman"/>
          <w:i/>
        </w:rPr>
      </w:pPr>
      <w:r w:rsidRPr="002275D8">
        <w:rPr>
          <w:rFonts w:eastAsia="Times New Roman" w:cs="Times New Roman"/>
          <w:i/>
        </w:rPr>
        <w:t>Use this entire article or just portions of it to communicate about th</w:t>
      </w:r>
      <w:r w:rsidR="00E82125">
        <w:rPr>
          <w:rFonts w:eastAsia="Times New Roman" w:cs="Times New Roman"/>
          <w:i/>
        </w:rPr>
        <w:t xml:space="preserve">e mill levy correction. </w:t>
      </w:r>
    </w:p>
    <w:p w14:paraId="34C70442" w14:textId="72DC850E" w:rsidR="001A3CDD" w:rsidRPr="00AA1CAB" w:rsidRDefault="00E82125" w:rsidP="00BA1ACA">
      <w:pPr>
        <w:ind w:left="720" w:right="720"/>
        <w:rPr>
          <w:rFonts w:asciiTheme="majorHAnsi" w:eastAsia="Times New Roman" w:hAnsiTheme="majorHAnsi" w:cs="Times New Roman"/>
          <w:b/>
          <w:color w:val="00953A"/>
          <w:sz w:val="32"/>
          <w:szCs w:val="32"/>
        </w:rPr>
      </w:pPr>
      <w:r>
        <w:rPr>
          <w:rFonts w:asciiTheme="majorHAnsi" w:eastAsia="Times New Roman" w:hAnsiTheme="majorHAnsi" w:cs="Times New Roman"/>
          <w:b/>
          <w:color w:val="00953A"/>
          <w:sz w:val="32"/>
          <w:szCs w:val="32"/>
        </w:rPr>
        <w:t xml:space="preserve">Property </w:t>
      </w:r>
      <w:r w:rsidR="00C033EF">
        <w:rPr>
          <w:rFonts w:asciiTheme="majorHAnsi" w:eastAsia="Times New Roman" w:hAnsiTheme="majorHAnsi" w:cs="Times New Roman"/>
          <w:b/>
          <w:color w:val="00953A"/>
          <w:sz w:val="32"/>
          <w:szCs w:val="32"/>
        </w:rPr>
        <w:t>tax change</w:t>
      </w:r>
      <w:r>
        <w:rPr>
          <w:rFonts w:asciiTheme="majorHAnsi" w:eastAsia="Times New Roman" w:hAnsiTheme="majorHAnsi" w:cs="Times New Roman"/>
          <w:b/>
          <w:color w:val="00953A"/>
          <w:sz w:val="32"/>
          <w:szCs w:val="32"/>
        </w:rPr>
        <w:t xml:space="preserve"> to correct decades-long misinterpretation</w:t>
      </w:r>
      <w:r w:rsidR="009D3DFC">
        <w:rPr>
          <w:rFonts w:asciiTheme="majorHAnsi" w:eastAsia="Times New Roman" w:hAnsiTheme="majorHAnsi" w:cs="Times New Roman"/>
          <w:b/>
          <w:color w:val="00953A"/>
          <w:sz w:val="32"/>
          <w:szCs w:val="32"/>
        </w:rPr>
        <w:t xml:space="preserve"> of tax laws</w:t>
      </w:r>
    </w:p>
    <w:p w14:paraId="3CB8C614" w14:textId="642F52DF" w:rsidR="006B5F33" w:rsidRDefault="00E82125" w:rsidP="006B5F33">
      <w:pPr>
        <w:spacing w:line="276" w:lineRule="auto"/>
        <w:ind w:left="72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Most Colorado taxpayers will see their property taxes increase beginning this December </w:t>
      </w:r>
      <w:r w:rsidR="00074975">
        <w:rPr>
          <w:rFonts w:eastAsia="Times New Roman" w:cs="Times New Roman"/>
        </w:rPr>
        <w:t xml:space="preserve">due to a </w:t>
      </w:r>
      <w:r w:rsidR="00381C07">
        <w:rPr>
          <w:rFonts w:eastAsia="Times New Roman" w:cs="Times New Roman"/>
        </w:rPr>
        <w:t xml:space="preserve">legislative </w:t>
      </w:r>
      <w:r>
        <w:rPr>
          <w:rFonts w:eastAsia="Times New Roman" w:cs="Times New Roman"/>
        </w:rPr>
        <w:t xml:space="preserve">fix to a decades-long </w:t>
      </w:r>
      <w:r w:rsidR="00381C07">
        <w:rPr>
          <w:rFonts w:eastAsia="Times New Roman" w:cs="Times New Roman"/>
        </w:rPr>
        <w:t>practice that</w:t>
      </w:r>
      <w:r w:rsidR="00074975">
        <w:rPr>
          <w:rFonts w:eastAsia="Times New Roman" w:cs="Times New Roman"/>
        </w:rPr>
        <w:t xml:space="preserve"> incorrectly</w:t>
      </w:r>
      <w:r w:rsidR="00381C07">
        <w:rPr>
          <w:rFonts w:eastAsia="Times New Roman" w:cs="Times New Roman"/>
        </w:rPr>
        <w:t xml:space="preserve"> reduced local taxes for education based on what now has been determined to be a</w:t>
      </w:r>
      <w:r w:rsidR="00074975">
        <w:rPr>
          <w:rFonts w:eastAsia="Times New Roman" w:cs="Times New Roman"/>
        </w:rPr>
        <w:t xml:space="preserve"> mis</w:t>
      </w:r>
      <w:r w:rsidR="00381C07">
        <w:rPr>
          <w:rFonts w:eastAsia="Times New Roman" w:cs="Times New Roman"/>
        </w:rPr>
        <w:t xml:space="preserve">interpretation of the Colorado Constitution. </w:t>
      </w:r>
    </w:p>
    <w:p w14:paraId="5EFFC60D" w14:textId="4CC97686" w:rsidR="00381C07" w:rsidRDefault="00381C07" w:rsidP="00B96633">
      <w:pPr>
        <w:spacing w:line="276" w:lineRule="auto"/>
        <w:ind w:left="720"/>
        <w:rPr>
          <w:rFonts w:eastAsia="Times New Roman" w:cs="Times New Roman"/>
        </w:rPr>
      </w:pPr>
      <w:r w:rsidRPr="00381C07">
        <w:rPr>
          <w:rFonts w:eastAsia="Times New Roman" w:cs="Times New Roman"/>
        </w:rPr>
        <w:t>The change in tax collection is mandated by House Bill 21-1164, which was signed into law in June</w:t>
      </w:r>
      <w:r w:rsidR="00074975">
        <w:rPr>
          <w:rFonts w:eastAsia="Times New Roman" w:cs="Times New Roman"/>
        </w:rPr>
        <w:t xml:space="preserve"> to </w:t>
      </w:r>
      <w:r>
        <w:rPr>
          <w:rFonts w:eastAsia="Times New Roman" w:cs="Times New Roman"/>
        </w:rPr>
        <w:t xml:space="preserve">untangle </w:t>
      </w:r>
      <w:r w:rsidRPr="00381C07">
        <w:rPr>
          <w:rFonts w:eastAsia="Times New Roman" w:cs="Times New Roman"/>
        </w:rPr>
        <w:t>a long-held misunderstanding by the Colorado Department of Education</w:t>
      </w:r>
      <w:r w:rsidR="00C033EF">
        <w:rPr>
          <w:rFonts w:eastAsia="Times New Roman" w:cs="Times New Roman"/>
        </w:rPr>
        <w:t xml:space="preserve"> (CDE)</w:t>
      </w:r>
      <w:r w:rsidRPr="00381C07">
        <w:rPr>
          <w:rFonts w:eastAsia="Times New Roman" w:cs="Times New Roman"/>
        </w:rPr>
        <w:t xml:space="preserve"> and others in how Colorado’s Taxpayer’s Bill of Rights (TABOR) should be interpreted. </w:t>
      </w:r>
    </w:p>
    <w:p w14:paraId="16ECE13E" w14:textId="64FEB0DB" w:rsidR="00381C07" w:rsidRDefault="00381C07" w:rsidP="00B96633">
      <w:pPr>
        <w:spacing w:line="276" w:lineRule="auto"/>
        <w:ind w:left="720"/>
        <w:rPr>
          <w:rFonts w:eastAsia="Times New Roman" w:cs="Times New Roman"/>
        </w:rPr>
      </w:pPr>
      <w:r w:rsidRPr="00381C07">
        <w:rPr>
          <w:rFonts w:eastAsia="Times New Roman" w:cs="Times New Roman"/>
        </w:rPr>
        <w:t>TABOR</w:t>
      </w:r>
      <w:r>
        <w:rPr>
          <w:rFonts w:eastAsia="Times New Roman" w:cs="Times New Roman"/>
        </w:rPr>
        <w:t xml:space="preserve"> </w:t>
      </w:r>
      <w:r w:rsidRPr="00381C07">
        <w:rPr>
          <w:rFonts w:eastAsia="Times New Roman" w:cs="Times New Roman"/>
        </w:rPr>
        <w:t xml:space="preserve">limits the amount of </w:t>
      </w:r>
      <w:r w:rsidR="00C033EF">
        <w:rPr>
          <w:rFonts w:eastAsia="Times New Roman" w:cs="Times New Roman"/>
        </w:rPr>
        <w:t xml:space="preserve">tax </w:t>
      </w:r>
      <w:r w:rsidRPr="00381C07">
        <w:rPr>
          <w:rFonts w:eastAsia="Times New Roman" w:cs="Times New Roman"/>
        </w:rPr>
        <w:t xml:space="preserve">revenue the state can retain and spend. In the 1990s and 2000s, most school districts asked voters to allow them to retain and spend revenue </w:t>
      </w:r>
      <w:proofErr w:type="gramStart"/>
      <w:r w:rsidRPr="00381C07">
        <w:rPr>
          <w:rFonts w:eastAsia="Times New Roman" w:cs="Times New Roman"/>
        </w:rPr>
        <w:t>in excess of</w:t>
      </w:r>
      <w:proofErr w:type="gramEnd"/>
      <w:r w:rsidRPr="00381C07">
        <w:rPr>
          <w:rFonts w:eastAsia="Times New Roman" w:cs="Times New Roman"/>
        </w:rPr>
        <w:t xml:space="preserve"> the property tax revenue limitation imposed by TABOR</w:t>
      </w:r>
      <w:r w:rsidR="00441C3B">
        <w:rPr>
          <w:rFonts w:eastAsia="Times New Roman" w:cs="Times New Roman"/>
        </w:rPr>
        <w:t xml:space="preserve">—a </w:t>
      </w:r>
      <w:r w:rsidRPr="00381C07">
        <w:rPr>
          <w:rFonts w:eastAsia="Times New Roman" w:cs="Times New Roman"/>
        </w:rPr>
        <w:t>voter decision that is also known as “de-</w:t>
      </w:r>
      <w:proofErr w:type="spellStart"/>
      <w:r w:rsidRPr="00381C07">
        <w:rPr>
          <w:rFonts w:eastAsia="Times New Roman" w:cs="Times New Roman"/>
        </w:rPr>
        <w:t>Brucing</w:t>
      </w:r>
      <w:proofErr w:type="spellEnd"/>
      <w:r w:rsidRPr="00381C07">
        <w:rPr>
          <w:rFonts w:eastAsia="Times New Roman" w:cs="Times New Roman"/>
        </w:rPr>
        <w:t>” or “de-</w:t>
      </w:r>
      <w:proofErr w:type="spellStart"/>
      <w:r w:rsidRPr="00381C07">
        <w:rPr>
          <w:rFonts w:eastAsia="Times New Roman" w:cs="Times New Roman"/>
        </w:rPr>
        <w:t>TABORing</w:t>
      </w:r>
      <w:proofErr w:type="spellEnd"/>
      <w:r w:rsidRPr="00381C07">
        <w:rPr>
          <w:rFonts w:eastAsia="Times New Roman" w:cs="Times New Roman"/>
        </w:rPr>
        <w:t>.”</w:t>
      </w:r>
    </w:p>
    <w:p w14:paraId="2A440803" w14:textId="2563AFD5" w:rsidR="009D3DFC" w:rsidRDefault="006B5F33" w:rsidP="00B96633">
      <w:pPr>
        <w:spacing w:line="276" w:lineRule="auto"/>
        <w:ind w:left="720"/>
        <w:rPr>
          <w:rFonts w:eastAsia="Times New Roman" w:cs="Times New Roman"/>
        </w:rPr>
      </w:pPr>
      <w:r w:rsidRPr="006B5F33">
        <w:rPr>
          <w:rFonts w:eastAsia="Times New Roman" w:cs="Times New Roman"/>
        </w:rPr>
        <w:t>Districts that de-</w:t>
      </w:r>
      <w:proofErr w:type="spellStart"/>
      <w:r w:rsidRPr="006B5F33">
        <w:rPr>
          <w:rFonts w:eastAsia="Times New Roman" w:cs="Times New Roman"/>
        </w:rPr>
        <w:t>TABORed</w:t>
      </w:r>
      <w:proofErr w:type="spellEnd"/>
      <w:r w:rsidRPr="006B5F33">
        <w:rPr>
          <w:rFonts w:eastAsia="Times New Roman" w:cs="Times New Roman"/>
        </w:rPr>
        <w:t xml:space="preserve"> had permission from voters to keep their local property tax collection mill levy at the level in place at the time of the de-TABOR vote. However, CDE</w:t>
      </w:r>
      <w:r w:rsidR="00C033EF">
        <w:rPr>
          <w:rFonts w:eastAsia="Times New Roman" w:cs="Times New Roman"/>
        </w:rPr>
        <w:t xml:space="preserve"> and others</w:t>
      </w:r>
      <w:r w:rsidRPr="006B5F33">
        <w:rPr>
          <w:rFonts w:eastAsia="Times New Roman" w:cs="Times New Roman"/>
        </w:rPr>
        <w:t xml:space="preserve"> interpreted state statute in such a way that de-</w:t>
      </w:r>
      <w:proofErr w:type="spellStart"/>
      <w:r w:rsidRPr="006B5F33">
        <w:rPr>
          <w:rFonts w:eastAsia="Times New Roman" w:cs="Times New Roman"/>
        </w:rPr>
        <w:t>TABORed</w:t>
      </w:r>
      <w:proofErr w:type="spellEnd"/>
      <w:r w:rsidRPr="006B5F33">
        <w:rPr>
          <w:rFonts w:eastAsia="Times New Roman" w:cs="Times New Roman"/>
        </w:rPr>
        <w:t xml:space="preserve"> districts should, instead, reduce their local property tax collections through 2007.</w:t>
      </w:r>
      <w:r w:rsidR="00F90109">
        <w:rPr>
          <w:rFonts w:eastAsia="Times New Roman" w:cs="Times New Roman"/>
        </w:rPr>
        <w:t xml:space="preserve"> </w:t>
      </w:r>
      <w:r w:rsidR="009D3DFC">
        <w:rPr>
          <w:rFonts w:eastAsia="Times New Roman" w:cs="Times New Roman"/>
        </w:rPr>
        <w:t>Legal interpretation now concludes this was incorrect. Property taxes should never have been reduced.</w:t>
      </w:r>
    </w:p>
    <w:p w14:paraId="19F679BB" w14:textId="699DDC42" w:rsidR="009D3DFC" w:rsidRDefault="00C033EF" w:rsidP="009D3DFC">
      <w:pPr>
        <w:spacing w:line="276" w:lineRule="auto"/>
        <w:ind w:left="72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The Legislature has required districts to determine what their correct mill levy should be, </w:t>
      </w:r>
      <w:proofErr w:type="gramStart"/>
      <w:r>
        <w:rPr>
          <w:rFonts w:eastAsia="Times New Roman" w:cs="Times New Roman"/>
        </w:rPr>
        <w:t>assuming that</w:t>
      </w:r>
      <w:proofErr w:type="gramEnd"/>
      <w:r>
        <w:rPr>
          <w:rFonts w:eastAsia="Times New Roman" w:cs="Times New Roman"/>
        </w:rPr>
        <w:t xml:space="preserve"> the unauthorized reductions had never taken place.</w:t>
      </w:r>
      <w:r w:rsidR="009D3DFC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 xml:space="preserve">Tax </w:t>
      </w:r>
      <w:r w:rsidR="00F90109">
        <w:rPr>
          <w:rFonts w:eastAsia="Times New Roman" w:cs="Times New Roman"/>
        </w:rPr>
        <w:t xml:space="preserve">credits were </w:t>
      </w:r>
      <w:r>
        <w:rPr>
          <w:rFonts w:eastAsia="Times New Roman" w:cs="Times New Roman"/>
        </w:rPr>
        <w:t xml:space="preserve">put in place in December 2020 </w:t>
      </w:r>
      <w:r w:rsidR="00F90109">
        <w:rPr>
          <w:rFonts w:eastAsia="Times New Roman" w:cs="Times New Roman"/>
        </w:rPr>
        <w:t xml:space="preserve">to backfill the difference between </w:t>
      </w:r>
      <w:r>
        <w:rPr>
          <w:rFonts w:eastAsia="Times New Roman" w:cs="Times New Roman"/>
        </w:rPr>
        <w:t xml:space="preserve">a district’s </w:t>
      </w:r>
      <w:r w:rsidR="00F90109" w:rsidRPr="00F90109">
        <w:rPr>
          <w:rFonts w:eastAsia="Times New Roman" w:cs="Times New Roman"/>
        </w:rPr>
        <w:t>current mill levy and the mill levy that should have</w:t>
      </w:r>
      <w:r w:rsidR="00611473">
        <w:rPr>
          <w:rFonts w:eastAsia="Times New Roman" w:cs="Times New Roman"/>
        </w:rPr>
        <w:t xml:space="preserve"> been in </w:t>
      </w:r>
      <w:r w:rsidR="00F90109" w:rsidRPr="00F90109">
        <w:rPr>
          <w:rFonts w:eastAsia="Times New Roman" w:cs="Times New Roman"/>
        </w:rPr>
        <w:t>place because of the de-TABOR vote.</w:t>
      </w:r>
    </w:p>
    <w:p w14:paraId="30EEDDD7" w14:textId="3CFB2AA3" w:rsidR="00611473" w:rsidRDefault="009D3DFC" w:rsidP="009D3DFC">
      <w:pPr>
        <w:spacing w:line="276" w:lineRule="auto"/>
        <w:ind w:left="72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The legislation required CDE to develop a </w:t>
      </w:r>
      <w:r w:rsidR="00F90109" w:rsidRPr="00F90109">
        <w:rPr>
          <w:rFonts w:eastAsia="Times New Roman" w:cs="Times New Roman"/>
        </w:rPr>
        <w:t>gradual correction pla</w:t>
      </w:r>
      <w:r w:rsidR="00611473">
        <w:rPr>
          <w:rFonts w:eastAsia="Times New Roman" w:cs="Times New Roman"/>
        </w:rPr>
        <w:t xml:space="preserve">n for </w:t>
      </w:r>
      <w:r>
        <w:rPr>
          <w:rFonts w:eastAsia="Times New Roman" w:cs="Times New Roman"/>
        </w:rPr>
        <w:t xml:space="preserve">affected </w:t>
      </w:r>
      <w:r w:rsidR="00611473">
        <w:rPr>
          <w:rFonts w:eastAsia="Times New Roman" w:cs="Times New Roman"/>
        </w:rPr>
        <w:t xml:space="preserve">districts, </w:t>
      </w:r>
      <w:r>
        <w:rPr>
          <w:rFonts w:eastAsia="Times New Roman" w:cs="Times New Roman"/>
        </w:rPr>
        <w:t xml:space="preserve">allowing them to </w:t>
      </w:r>
      <w:r w:rsidR="00611473" w:rsidRPr="00F90109">
        <w:rPr>
          <w:rFonts w:eastAsia="Times New Roman" w:cs="Times New Roman"/>
        </w:rPr>
        <w:t xml:space="preserve">increase </w:t>
      </w:r>
      <w:r w:rsidR="00611473">
        <w:rPr>
          <w:rFonts w:eastAsia="Times New Roman" w:cs="Times New Roman"/>
        </w:rPr>
        <w:t xml:space="preserve">their </w:t>
      </w:r>
      <w:r w:rsidR="00611473" w:rsidRPr="00F90109">
        <w:rPr>
          <w:rFonts w:eastAsia="Times New Roman" w:cs="Times New Roman"/>
        </w:rPr>
        <w:t>local property tax collections by a small amount every year until the tax credits are zero. A total of 1</w:t>
      </w:r>
      <w:r w:rsidR="00441C3B">
        <w:rPr>
          <w:rFonts w:eastAsia="Times New Roman" w:cs="Times New Roman"/>
        </w:rPr>
        <w:t>18</w:t>
      </w:r>
      <w:r w:rsidR="00611473" w:rsidRPr="00F90109">
        <w:rPr>
          <w:rFonts w:eastAsia="Times New Roman" w:cs="Times New Roman"/>
        </w:rPr>
        <w:t xml:space="preserve"> of the state’s 178 school districts </w:t>
      </w:r>
      <w:r w:rsidR="00611473">
        <w:rPr>
          <w:rFonts w:eastAsia="Times New Roman" w:cs="Times New Roman"/>
        </w:rPr>
        <w:t>are</w:t>
      </w:r>
      <w:r w:rsidR="00611473" w:rsidRPr="00F90109">
        <w:rPr>
          <w:rFonts w:eastAsia="Times New Roman" w:cs="Times New Roman"/>
        </w:rPr>
        <w:t xml:space="preserve"> impacted by this taxation correction. </w:t>
      </w:r>
    </w:p>
    <w:p w14:paraId="53A282AB" w14:textId="37E86384" w:rsidR="00F90109" w:rsidRPr="00A0440F" w:rsidRDefault="00F90109" w:rsidP="00F90109">
      <w:pPr>
        <w:spacing w:line="276" w:lineRule="auto"/>
        <w:ind w:left="720"/>
        <w:rPr>
          <w:rFonts w:eastAsia="Times New Roman" w:cs="Times New Roman"/>
          <w:b/>
          <w:bCs/>
          <w:highlight w:val="yellow"/>
        </w:rPr>
      </w:pPr>
      <w:r w:rsidRPr="00A0440F">
        <w:rPr>
          <w:rFonts w:eastAsia="Times New Roman" w:cs="Times New Roman"/>
          <w:b/>
          <w:bCs/>
          <w:highlight w:val="yellow"/>
        </w:rPr>
        <w:t>What does it mean for taxpayers in (NAME OF SCHOOL DISTRICT)</w:t>
      </w:r>
      <w:r w:rsidR="00A0440F">
        <w:rPr>
          <w:rFonts w:eastAsia="Times New Roman" w:cs="Times New Roman"/>
          <w:b/>
          <w:bCs/>
          <w:highlight w:val="yellow"/>
        </w:rPr>
        <w:t xml:space="preserve"> for the 2021 tax year</w:t>
      </w:r>
      <w:r w:rsidRPr="00A0440F">
        <w:rPr>
          <w:rFonts w:eastAsia="Times New Roman" w:cs="Times New Roman"/>
          <w:b/>
          <w:bCs/>
          <w:highlight w:val="yellow"/>
        </w:rPr>
        <w:t>?</w:t>
      </w:r>
    </w:p>
    <w:p w14:paraId="78FED6E8" w14:textId="191B0603" w:rsidR="00074975" w:rsidRDefault="00C033EF" w:rsidP="00F90109">
      <w:pPr>
        <w:spacing w:line="276" w:lineRule="auto"/>
        <w:ind w:left="720"/>
        <w:rPr>
          <w:rFonts w:eastAsia="Times New Roman" w:cs="Times New Roman"/>
        </w:rPr>
      </w:pPr>
      <w:r w:rsidRPr="008C5211">
        <w:rPr>
          <w:rFonts w:eastAsia="Times New Roman" w:cs="Times New Roman"/>
          <w:highlight w:val="yellow"/>
        </w:rPr>
        <w:t>OUR DISTRICT</w:t>
      </w:r>
      <w:r>
        <w:rPr>
          <w:rFonts w:eastAsia="Times New Roman" w:cs="Times New Roman"/>
        </w:rPr>
        <w:t xml:space="preserve">’s voters passed a de-TABOR vote in </w:t>
      </w:r>
      <w:r w:rsidRPr="00096F51">
        <w:rPr>
          <w:rFonts w:eastAsia="Times New Roman" w:cs="Times New Roman"/>
          <w:highlight w:val="yellow"/>
        </w:rPr>
        <w:t>XXXX</w:t>
      </w:r>
      <w:r>
        <w:rPr>
          <w:rFonts w:eastAsia="Times New Roman" w:cs="Times New Roman"/>
        </w:rPr>
        <w:t xml:space="preserve">. Our current mill levy is </w:t>
      </w:r>
      <w:r w:rsidRPr="00096F51">
        <w:rPr>
          <w:rFonts w:eastAsia="Times New Roman" w:cs="Times New Roman"/>
          <w:highlight w:val="yellow"/>
        </w:rPr>
        <w:t>XX</w:t>
      </w:r>
      <w:r>
        <w:rPr>
          <w:rFonts w:eastAsia="Times New Roman" w:cs="Times New Roman"/>
        </w:rPr>
        <w:t xml:space="preserve">. The </w:t>
      </w:r>
      <w:r w:rsidR="006B7D91">
        <w:rPr>
          <w:rFonts w:eastAsia="Times New Roman" w:cs="Times New Roman"/>
        </w:rPr>
        <w:t>target</w:t>
      </w:r>
      <w:r>
        <w:rPr>
          <w:rFonts w:eastAsia="Times New Roman" w:cs="Times New Roman"/>
        </w:rPr>
        <w:t xml:space="preserve"> mill levy is </w:t>
      </w:r>
      <w:r w:rsidRPr="00096F51">
        <w:rPr>
          <w:rFonts w:eastAsia="Times New Roman" w:cs="Times New Roman"/>
          <w:highlight w:val="yellow"/>
        </w:rPr>
        <w:t>XX</w:t>
      </w:r>
      <w:r>
        <w:rPr>
          <w:rFonts w:eastAsia="Times New Roman" w:cs="Times New Roman"/>
        </w:rPr>
        <w:t xml:space="preserve">, meaning that we have </w:t>
      </w:r>
      <w:r w:rsidRPr="00096F51">
        <w:rPr>
          <w:rFonts w:eastAsia="Times New Roman" w:cs="Times New Roman"/>
          <w:highlight w:val="yellow"/>
        </w:rPr>
        <w:t>YY</w:t>
      </w:r>
      <w:r>
        <w:rPr>
          <w:rFonts w:eastAsia="Times New Roman" w:cs="Times New Roman"/>
        </w:rPr>
        <w:t xml:space="preserve"> in temporary tax credits. </w:t>
      </w:r>
      <w:r w:rsidR="00074975" w:rsidRPr="00074975">
        <w:rPr>
          <w:rFonts w:eastAsia="Times New Roman" w:cs="Times New Roman"/>
        </w:rPr>
        <w:t>Taxpayers</w:t>
      </w:r>
      <w:r w:rsidR="00181690">
        <w:rPr>
          <w:rFonts w:eastAsia="Times New Roman" w:cs="Times New Roman"/>
        </w:rPr>
        <w:t xml:space="preserve"> in our district</w:t>
      </w:r>
      <w:r w:rsidR="00074975" w:rsidRPr="00074975">
        <w:rPr>
          <w:rFonts w:eastAsia="Times New Roman" w:cs="Times New Roman"/>
        </w:rPr>
        <w:t xml:space="preserve"> will see a maximum one mill increase in their property tax mills for </w:t>
      </w:r>
      <w:r w:rsidR="00441C3B">
        <w:rPr>
          <w:rFonts w:eastAsia="Times New Roman" w:cs="Times New Roman"/>
        </w:rPr>
        <w:t>education total program</w:t>
      </w:r>
      <w:r w:rsidR="00074975" w:rsidRPr="00074975">
        <w:rPr>
          <w:rFonts w:eastAsia="Times New Roman" w:cs="Times New Roman"/>
        </w:rPr>
        <w:t xml:space="preserve"> yearly beginning in the 2021 tax year</w:t>
      </w:r>
      <w:r w:rsidR="00074975">
        <w:rPr>
          <w:rFonts w:eastAsia="Times New Roman" w:cs="Times New Roman"/>
        </w:rPr>
        <w:t xml:space="preserve"> </w:t>
      </w:r>
      <w:r w:rsidR="00074975" w:rsidRPr="00074975">
        <w:rPr>
          <w:rFonts w:eastAsia="Times New Roman" w:cs="Times New Roman"/>
        </w:rPr>
        <w:t>and occurring each year following until the tax credits are reduced to zero.</w:t>
      </w:r>
      <w:r w:rsidR="00074975">
        <w:rPr>
          <w:rFonts w:eastAsia="Times New Roman" w:cs="Times New Roman"/>
        </w:rPr>
        <w:t xml:space="preserve"> </w:t>
      </w:r>
      <w:r w:rsidR="00074975" w:rsidRPr="00074975">
        <w:rPr>
          <w:rFonts w:eastAsia="Times New Roman" w:cs="Times New Roman"/>
        </w:rPr>
        <w:t>A mill is a $1 tax payment for every $1,000 of taxable property value, which is set by a county assessor.</w:t>
      </w:r>
    </w:p>
    <w:p w14:paraId="7425A804" w14:textId="77777777" w:rsidR="00FC183A" w:rsidRDefault="001A43E1" w:rsidP="00074975">
      <w:pPr>
        <w:spacing w:line="276" w:lineRule="auto"/>
        <w:ind w:left="720"/>
        <w:rPr>
          <w:rFonts w:eastAsia="Times New Roman" w:cs="Times New Roman"/>
        </w:rPr>
      </w:pPr>
      <w:r>
        <w:rPr>
          <w:rFonts w:eastAsia="Times New Roman" w:cs="Times New Roman"/>
        </w:rPr>
        <w:t>For the 2021 tax year</w:t>
      </w:r>
      <w:r w:rsidR="008C5211" w:rsidRPr="008C5211">
        <w:rPr>
          <w:rFonts w:eastAsia="Times New Roman" w:cs="Times New Roman"/>
        </w:rPr>
        <w:t>, the residential assessment rate in Colorado is 7.15%.</w:t>
      </w:r>
      <w:r w:rsidR="008C5211">
        <w:rPr>
          <w:rFonts w:eastAsia="Times New Roman" w:cs="Times New Roman"/>
        </w:rPr>
        <w:t xml:space="preserve"> </w:t>
      </w:r>
      <w:r w:rsidR="008C5211" w:rsidRPr="008C5211">
        <w:rPr>
          <w:rFonts w:eastAsia="Times New Roman" w:cs="Times New Roman"/>
        </w:rPr>
        <w:t>The assessed property value is the actual property value</w:t>
      </w:r>
      <w:r w:rsidR="006F08FA">
        <w:rPr>
          <w:rFonts w:eastAsia="Times New Roman" w:cs="Times New Roman"/>
        </w:rPr>
        <w:t xml:space="preserve"> (provided by the county assessor)</w:t>
      </w:r>
      <w:r w:rsidR="008C5211" w:rsidRPr="008C5211">
        <w:rPr>
          <w:rFonts w:eastAsia="Times New Roman" w:cs="Times New Roman"/>
        </w:rPr>
        <w:t xml:space="preserve"> x the assessment rate. </w:t>
      </w:r>
    </w:p>
    <w:p w14:paraId="06548C83" w14:textId="48C42094" w:rsidR="008C5211" w:rsidRDefault="008C5211" w:rsidP="00074975">
      <w:pPr>
        <w:spacing w:line="276" w:lineRule="auto"/>
        <w:ind w:left="720"/>
        <w:rPr>
          <w:rFonts w:eastAsia="Times New Roman" w:cs="Times New Roman"/>
        </w:rPr>
      </w:pPr>
      <w:r w:rsidRPr="008C5211">
        <w:rPr>
          <w:rFonts w:eastAsia="Times New Roman" w:cs="Times New Roman"/>
        </w:rPr>
        <w:t>I</w:t>
      </w:r>
      <w:r>
        <w:rPr>
          <w:rFonts w:eastAsia="Times New Roman" w:cs="Times New Roman"/>
        </w:rPr>
        <w:t xml:space="preserve">n </w:t>
      </w:r>
      <w:r w:rsidRPr="008C5211">
        <w:rPr>
          <w:rFonts w:eastAsia="Times New Roman" w:cs="Times New Roman"/>
          <w:highlight w:val="yellow"/>
        </w:rPr>
        <w:t>OUR DISTRICT</w:t>
      </w:r>
      <w:r>
        <w:rPr>
          <w:rFonts w:eastAsia="Times New Roman" w:cs="Times New Roman"/>
        </w:rPr>
        <w:t xml:space="preserve">, the total </w:t>
      </w:r>
      <w:r w:rsidR="006F08FA">
        <w:rPr>
          <w:rFonts w:eastAsia="Times New Roman" w:cs="Times New Roman"/>
        </w:rPr>
        <w:t xml:space="preserve">school district </w:t>
      </w:r>
      <w:r>
        <w:rPr>
          <w:rFonts w:eastAsia="Times New Roman" w:cs="Times New Roman"/>
        </w:rPr>
        <w:t xml:space="preserve">mills levied on all </w:t>
      </w:r>
      <w:r w:rsidR="00441C3B">
        <w:rPr>
          <w:rFonts w:eastAsia="Times New Roman" w:cs="Times New Roman"/>
        </w:rPr>
        <w:t>residential properties</w:t>
      </w:r>
      <w:r>
        <w:rPr>
          <w:rFonts w:eastAsia="Times New Roman" w:cs="Times New Roman"/>
        </w:rPr>
        <w:t xml:space="preserve"> </w:t>
      </w:r>
      <w:r w:rsidR="00441C3B">
        <w:rPr>
          <w:rFonts w:eastAsia="Times New Roman" w:cs="Times New Roman"/>
        </w:rPr>
        <w:t>in 2020 was</w:t>
      </w:r>
      <w:r>
        <w:rPr>
          <w:rFonts w:eastAsia="Times New Roman" w:cs="Times New Roman"/>
        </w:rPr>
        <w:t xml:space="preserve"> </w:t>
      </w:r>
      <w:r w:rsidRPr="008C5211">
        <w:rPr>
          <w:rFonts w:eastAsia="Times New Roman" w:cs="Times New Roman"/>
          <w:highlight w:val="yellow"/>
        </w:rPr>
        <w:t>2</w:t>
      </w:r>
      <w:r w:rsidR="001A43E1">
        <w:rPr>
          <w:rFonts w:eastAsia="Times New Roman" w:cs="Times New Roman"/>
          <w:highlight w:val="yellow"/>
        </w:rPr>
        <w:t>6</w:t>
      </w:r>
      <w:r w:rsidRPr="008C5211">
        <w:rPr>
          <w:rFonts w:eastAsia="Times New Roman" w:cs="Times New Roman"/>
          <w:highlight w:val="yellow"/>
        </w:rPr>
        <w:t xml:space="preserve"> mills</w:t>
      </w:r>
      <w:r>
        <w:rPr>
          <w:rFonts w:eastAsia="Times New Roman" w:cs="Times New Roman"/>
        </w:rPr>
        <w:t>. For a home with an</w:t>
      </w:r>
      <w:r w:rsidR="00441C3B">
        <w:rPr>
          <w:rFonts w:eastAsia="Times New Roman" w:cs="Times New Roman"/>
        </w:rPr>
        <w:t xml:space="preserve"> actual value of $500,000, and an</w:t>
      </w:r>
      <w:r>
        <w:rPr>
          <w:rFonts w:eastAsia="Times New Roman" w:cs="Times New Roman"/>
        </w:rPr>
        <w:t xml:space="preserve"> assessed property value of $</w:t>
      </w:r>
      <w:r w:rsidR="001A43E1">
        <w:rPr>
          <w:rFonts w:eastAsia="Times New Roman" w:cs="Times New Roman"/>
        </w:rPr>
        <w:t>35,750 ($500,000 x 7.15%)</w:t>
      </w:r>
      <w:r>
        <w:rPr>
          <w:rFonts w:eastAsia="Times New Roman" w:cs="Times New Roman"/>
        </w:rPr>
        <w:t xml:space="preserve">, the property tax </w:t>
      </w:r>
      <w:r w:rsidR="00441C3B">
        <w:rPr>
          <w:rFonts w:eastAsia="Times New Roman" w:cs="Times New Roman"/>
        </w:rPr>
        <w:t xml:space="preserve">last year </w:t>
      </w:r>
      <w:r w:rsidR="00441C3B">
        <w:rPr>
          <w:rFonts w:eastAsia="Times New Roman" w:cs="Times New Roman"/>
        </w:rPr>
        <w:lastRenderedPageBreak/>
        <w:t>was</w:t>
      </w:r>
      <w:r>
        <w:rPr>
          <w:rFonts w:eastAsia="Times New Roman" w:cs="Times New Roman"/>
        </w:rPr>
        <w:t xml:space="preserve"> </w:t>
      </w:r>
      <w:r w:rsidRPr="00441C3B">
        <w:rPr>
          <w:rFonts w:eastAsia="Times New Roman" w:cs="Times New Roman"/>
          <w:highlight w:val="yellow"/>
        </w:rPr>
        <w:t>.0</w:t>
      </w:r>
      <w:r w:rsidRPr="001A43E1">
        <w:rPr>
          <w:rFonts w:eastAsia="Times New Roman" w:cs="Times New Roman"/>
          <w:highlight w:val="yellow"/>
        </w:rPr>
        <w:t>2</w:t>
      </w:r>
      <w:r w:rsidR="001A43E1" w:rsidRPr="001A43E1">
        <w:rPr>
          <w:rFonts w:eastAsia="Times New Roman" w:cs="Times New Roman"/>
          <w:highlight w:val="yellow"/>
        </w:rPr>
        <w:t>6</w:t>
      </w:r>
      <w:r>
        <w:rPr>
          <w:rFonts w:eastAsia="Times New Roman" w:cs="Times New Roman"/>
        </w:rPr>
        <w:t xml:space="preserve"> x </w:t>
      </w:r>
      <w:r w:rsidR="001A43E1">
        <w:rPr>
          <w:rFonts w:eastAsia="Times New Roman" w:cs="Times New Roman"/>
        </w:rPr>
        <w:t>35,750</w:t>
      </w:r>
      <w:r>
        <w:rPr>
          <w:rFonts w:eastAsia="Times New Roman" w:cs="Times New Roman"/>
        </w:rPr>
        <w:t xml:space="preserve"> = </w:t>
      </w:r>
      <w:r w:rsidRPr="00441C3B">
        <w:rPr>
          <w:rFonts w:eastAsia="Times New Roman" w:cs="Times New Roman"/>
          <w:highlight w:val="yellow"/>
        </w:rPr>
        <w:t>$</w:t>
      </w:r>
      <w:r w:rsidR="001A43E1" w:rsidRPr="001A43E1">
        <w:rPr>
          <w:rFonts w:eastAsia="Times New Roman" w:cs="Times New Roman"/>
          <w:highlight w:val="yellow"/>
        </w:rPr>
        <w:t>929.50</w:t>
      </w:r>
      <w:r>
        <w:rPr>
          <w:rFonts w:eastAsia="Times New Roman" w:cs="Times New Roman"/>
        </w:rPr>
        <w:t xml:space="preserve">. A one mill increase </w:t>
      </w:r>
      <w:r w:rsidR="006F08FA">
        <w:rPr>
          <w:rFonts w:eastAsia="Times New Roman" w:cs="Times New Roman"/>
        </w:rPr>
        <w:t>will</w:t>
      </w:r>
      <w:r>
        <w:rPr>
          <w:rFonts w:eastAsia="Times New Roman" w:cs="Times New Roman"/>
        </w:rPr>
        <w:t xml:space="preserve"> increase the property tax to </w:t>
      </w:r>
      <w:r w:rsidRPr="00441C3B">
        <w:rPr>
          <w:rFonts w:eastAsia="Times New Roman" w:cs="Times New Roman"/>
          <w:highlight w:val="yellow"/>
        </w:rPr>
        <w:t>$</w:t>
      </w:r>
      <w:r w:rsidR="001A43E1" w:rsidRPr="001A43E1">
        <w:rPr>
          <w:rFonts w:eastAsia="Times New Roman" w:cs="Times New Roman"/>
          <w:highlight w:val="yellow"/>
        </w:rPr>
        <w:t>965.25</w:t>
      </w:r>
      <w:r w:rsidR="001A43E1">
        <w:rPr>
          <w:rFonts w:eastAsia="Times New Roman" w:cs="Times New Roman"/>
        </w:rPr>
        <w:t xml:space="preserve"> (</w:t>
      </w:r>
      <w:r w:rsidR="001A43E1" w:rsidRPr="00FC183A">
        <w:rPr>
          <w:rFonts w:eastAsia="Times New Roman" w:cs="Times New Roman"/>
          <w:highlight w:val="yellow"/>
        </w:rPr>
        <w:t>0.27</w:t>
      </w:r>
      <w:r w:rsidR="001A43E1">
        <w:rPr>
          <w:rFonts w:eastAsia="Times New Roman" w:cs="Times New Roman"/>
        </w:rPr>
        <w:t xml:space="preserve"> x $35,750</w:t>
      </w:r>
      <w:r w:rsidR="006F08FA">
        <w:rPr>
          <w:rFonts w:eastAsia="Times New Roman" w:cs="Times New Roman"/>
        </w:rPr>
        <w:t>)</w:t>
      </w:r>
      <w:r w:rsidR="00EA2256">
        <w:rPr>
          <w:rFonts w:eastAsia="Times New Roman" w:cs="Times New Roman"/>
        </w:rPr>
        <w:t xml:space="preserve"> for 2021. Please note that, due to potential changes to property tax policy, these calculations are only valid for 2021</w:t>
      </w:r>
      <w:r>
        <w:rPr>
          <w:rFonts w:eastAsia="Times New Roman" w:cs="Times New Roman"/>
        </w:rPr>
        <w:t>.</w:t>
      </w:r>
    </w:p>
    <w:p w14:paraId="04FBB2F9" w14:textId="0DC57875" w:rsidR="00EA2256" w:rsidRDefault="00EA2256" w:rsidP="00074975">
      <w:pPr>
        <w:spacing w:line="276" w:lineRule="auto"/>
        <w:ind w:left="72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These charts </w:t>
      </w:r>
      <w:proofErr w:type="gramStart"/>
      <w:r>
        <w:rPr>
          <w:rFonts w:eastAsia="Times New Roman" w:cs="Times New Roman"/>
        </w:rPr>
        <w:t>shows</w:t>
      </w:r>
      <w:proofErr w:type="gramEnd"/>
      <w:r>
        <w:rPr>
          <w:rFonts w:eastAsia="Times New Roman" w:cs="Times New Roman"/>
        </w:rPr>
        <w:t xml:space="preserve"> the cost of an additional one mill per year for the 2021 taxpayer, per $100,000 of property value, for both residential and non-residential property taxpayers:</w:t>
      </w:r>
    </w:p>
    <w:p w14:paraId="3B4F5E80" w14:textId="636C4515" w:rsidR="00EA2256" w:rsidRPr="00EA2256" w:rsidRDefault="00EA2256" w:rsidP="00074975">
      <w:pPr>
        <w:spacing w:line="276" w:lineRule="auto"/>
        <w:ind w:left="720"/>
        <w:rPr>
          <w:rFonts w:eastAsia="Times New Roman" w:cs="Times New Roman"/>
          <w:b/>
          <w:bCs/>
        </w:rPr>
      </w:pPr>
      <w:r w:rsidRPr="00EA2256">
        <w:rPr>
          <w:rFonts w:eastAsia="Times New Roman" w:cs="Times New Roman"/>
          <w:b/>
          <w:bCs/>
        </w:rPr>
        <w:t>Residential Property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156"/>
        <w:gridCol w:w="2185"/>
        <w:gridCol w:w="2156"/>
        <w:gridCol w:w="2122"/>
        <w:gridCol w:w="2171"/>
      </w:tblGrid>
      <w:tr w:rsidR="00EA2256" w14:paraId="73237080" w14:textId="77777777" w:rsidTr="00EA2256">
        <w:tc>
          <w:tcPr>
            <w:tcW w:w="2156" w:type="dxa"/>
            <w:shd w:val="clear" w:color="auto" w:fill="3B3838" w:themeFill="background2" w:themeFillShade="40"/>
            <w:vAlign w:val="bottom"/>
          </w:tcPr>
          <w:p w14:paraId="2C98263F" w14:textId="3B7B7DC3" w:rsidR="00EA2256" w:rsidRPr="00EA2256" w:rsidRDefault="00EA2256" w:rsidP="00EA2256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</w:rPr>
            </w:pPr>
            <w:r>
              <w:rPr>
                <w:rFonts w:eastAsia="Times New Roman" w:cs="Times New Roman"/>
                <w:b/>
                <w:bCs/>
                <w:color w:val="FFFFFF" w:themeColor="background1"/>
              </w:rPr>
              <w:t xml:space="preserve">2021 </w:t>
            </w:r>
            <w:r w:rsidRPr="00EA2256">
              <w:rPr>
                <w:rFonts w:eastAsia="Times New Roman" w:cs="Times New Roman"/>
                <w:b/>
                <w:bCs/>
                <w:color w:val="FFFFFF" w:themeColor="background1"/>
              </w:rPr>
              <w:t>Actual Property Value</w:t>
            </w:r>
          </w:p>
        </w:tc>
        <w:tc>
          <w:tcPr>
            <w:tcW w:w="2185" w:type="dxa"/>
            <w:shd w:val="clear" w:color="auto" w:fill="3B3838" w:themeFill="background2" w:themeFillShade="40"/>
            <w:vAlign w:val="bottom"/>
          </w:tcPr>
          <w:p w14:paraId="64000817" w14:textId="2067C821" w:rsidR="00EA2256" w:rsidRPr="00EA2256" w:rsidRDefault="00EA2256" w:rsidP="00EA2256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</w:rPr>
            </w:pPr>
            <w:r>
              <w:rPr>
                <w:rFonts w:eastAsia="Times New Roman" w:cs="Times New Roman"/>
                <w:b/>
                <w:bCs/>
                <w:color w:val="FFFFFF" w:themeColor="background1"/>
              </w:rPr>
              <w:t xml:space="preserve">2021 </w:t>
            </w:r>
            <w:r w:rsidRPr="00EA2256">
              <w:rPr>
                <w:rFonts w:eastAsia="Times New Roman" w:cs="Times New Roman"/>
                <w:b/>
                <w:bCs/>
                <w:color w:val="FFFFFF" w:themeColor="background1"/>
              </w:rPr>
              <w:t>Residential Assessment Rate</w:t>
            </w:r>
          </w:p>
        </w:tc>
        <w:tc>
          <w:tcPr>
            <w:tcW w:w="2156" w:type="dxa"/>
            <w:shd w:val="clear" w:color="auto" w:fill="3B3838" w:themeFill="background2" w:themeFillShade="40"/>
            <w:vAlign w:val="bottom"/>
          </w:tcPr>
          <w:p w14:paraId="704345F3" w14:textId="5A8F4102" w:rsidR="00EA2256" w:rsidRPr="00EA2256" w:rsidRDefault="00EA2256" w:rsidP="00EA2256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</w:rPr>
            </w:pPr>
            <w:r>
              <w:rPr>
                <w:rFonts w:eastAsia="Times New Roman" w:cs="Times New Roman"/>
                <w:b/>
                <w:bCs/>
                <w:color w:val="FFFFFF" w:themeColor="background1"/>
              </w:rPr>
              <w:t xml:space="preserve">2021 </w:t>
            </w:r>
            <w:r w:rsidRPr="00EA2256">
              <w:rPr>
                <w:rFonts w:eastAsia="Times New Roman" w:cs="Times New Roman"/>
                <w:b/>
                <w:bCs/>
                <w:color w:val="FFFFFF" w:themeColor="background1"/>
              </w:rPr>
              <w:t>Assessed Property Value</w:t>
            </w:r>
          </w:p>
        </w:tc>
        <w:tc>
          <w:tcPr>
            <w:tcW w:w="2122" w:type="dxa"/>
            <w:shd w:val="clear" w:color="auto" w:fill="3B3838" w:themeFill="background2" w:themeFillShade="40"/>
            <w:vAlign w:val="bottom"/>
          </w:tcPr>
          <w:p w14:paraId="5FDF752F" w14:textId="114E8D07" w:rsidR="00EA2256" w:rsidRPr="00EA2256" w:rsidRDefault="00EA2256" w:rsidP="00EA2256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</w:rPr>
            </w:pPr>
            <w:r w:rsidRPr="00EA2256">
              <w:rPr>
                <w:rFonts w:eastAsia="Times New Roman" w:cs="Times New Roman"/>
                <w:b/>
                <w:bCs/>
                <w:color w:val="FFFFFF" w:themeColor="background1"/>
              </w:rPr>
              <w:t>One Mill (.001)</w:t>
            </w:r>
          </w:p>
        </w:tc>
        <w:tc>
          <w:tcPr>
            <w:tcW w:w="2171" w:type="dxa"/>
            <w:shd w:val="clear" w:color="auto" w:fill="3B3838" w:themeFill="background2" w:themeFillShade="40"/>
            <w:vAlign w:val="bottom"/>
          </w:tcPr>
          <w:p w14:paraId="1A9F7A4C" w14:textId="051DCA57" w:rsidR="00EA2256" w:rsidRPr="00EA2256" w:rsidRDefault="00EA2256" w:rsidP="00EA2256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</w:rPr>
            </w:pPr>
            <w:r w:rsidRPr="00EA2256">
              <w:rPr>
                <w:rFonts w:eastAsia="Times New Roman" w:cs="Times New Roman"/>
                <w:b/>
                <w:bCs/>
                <w:color w:val="FFFFFF" w:themeColor="background1"/>
              </w:rPr>
              <w:t>Impact of One Additional Mill for 2021</w:t>
            </w:r>
          </w:p>
        </w:tc>
      </w:tr>
      <w:tr w:rsidR="00EA2256" w14:paraId="6FBF520D" w14:textId="77777777" w:rsidTr="00EA2256">
        <w:tc>
          <w:tcPr>
            <w:tcW w:w="2156" w:type="dxa"/>
          </w:tcPr>
          <w:p w14:paraId="319FD5DD" w14:textId="22D8542C" w:rsidR="00EA2256" w:rsidRDefault="00EA2256" w:rsidP="00EA2256">
            <w:pPr>
              <w:spacing w:line="276" w:lineRule="auto"/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$100,000</w:t>
            </w:r>
          </w:p>
        </w:tc>
        <w:tc>
          <w:tcPr>
            <w:tcW w:w="2185" w:type="dxa"/>
          </w:tcPr>
          <w:p w14:paraId="5BDC4065" w14:textId="281F7DC8" w:rsidR="00EA2256" w:rsidRDefault="00EA2256" w:rsidP="00EA2256">
            <w:pPr>
              <w:spacing w:line="276" w:lineRule="auto"/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7.15%</w:t>
            </w:r>
          </w:p>
        </w:tc>
        <w:tc>
          <w:tcPr>
            <w:tcW w:w="2156" w:type="dxa"/>
          </w:tcPr>
          <w:p w14:paraId="2B9F5CFA" w14:textId="7AD11A5F" w:rsidR="00EA2256" w:rsidRDefault="00EA2256" w:rsidP="00EA2256">
            <w:pPr>
              <w:spacing w:line="276" w:lineRule="auto"/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$7,150</w:t>
            </w:r>
          </w:p>
        </w:tc>
        <w:tc>
          <w:tcPr>
            <w:tcW w:w="2122" w:type="dxa"/>
          </w:tcPr>
          <w:p w14:paraId="1BBEA715" w14:textId="6AF57877" w:rsidR="00EA2256" w:rsidRDefault="00EA2256" w:rsidP="00EA2256">
            <w:pPr>
              <w:spacing w:line="276" w:lineRule="auto"/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.001</w:t>
            </w:r>
          </w:p>
        </w:tc>
        <w:tc>
          <w:tcPr>
            <w:tcW w:w="2171" w:type="dxa"/>
          </w:tcPr>
          <w:p w14:paraId="7C1C964F" w14:textId="687E18FE" w:rsidR="00EA2256" w:rsidRDefault="00EA2256" w:rsidP="00EA2256">
            <w:pPr>
              <w:spacing w:line="276" w:lineRule="auto"/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$7.15</w:t>
            </w:r>
          </w:p>
        </w:tc>
      </w:tr>
      <w:tr w:rsidR="00EA2256" w14:paraId="44739736" w14:textId="77777777" w:rsidTr="00EA2256">
        <w:tc>
          <w:tcPr>
            <w:tcW w:w="2156" w:type="dxa"/>
          </w:tcPr>
          <w:p w14:paraId="19BBB895" w14:textId="33937ED3" w:rsidR="00EA2256" w:rsidRDefault="00EA2256" w:rsidP="00EA2256">
            <w:pPr>
              <w:spacing w:line="276" w:lineRule="auto"/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$200,000</w:t>
            </w:r>
          </w:p>
        </w:tc>
        <w:tc>
          <w:tcPr>
            <w:tcW w:w="2185" w:type="dxa"/>
          </w:tcPr>
          <w:p w14:paraId="51A4E958" w14:textId="1F884BDC" w:rsidR="00EA2256" w:rsidRDefault="00EA2256" w:rsidP="00EA2256">
            <w:pPr>
              <w:spacing w:line="276" w:lineRule="auto"/>
              <w:jc w:val="right"/>
              <w:rPr>
                <w:rFonts w:eastAsia="Times New Roman" w:cs="Times New Roman"/>
              </w:rPr>
            </w:pPr>
            <w:r w:rsidRPr="00004AC7">
              <w:rPr>
                <w:rFonts w:eastAsia="Times New Roman" w:cs="Times New Roman"/>
              </w:rPr>
              <w:t>7.15%</w:t>
            </w:r>
          </w:p>
        </w:tc>
        <w:tc>
          <w:tcPr>
            <w:tcW w:w="2156" w:type="dxa"/>
          </w:tcPr>
          <w:p w14:paraId="3E98BE2B" w14:textId="55FFC5C7" w:rsidR="00EA2256" w:rsidRDefault="00EA2256" w:rsidP="00EA2256">
            <w:pPr>
              <w:spacing w:line="276" w:lineRule="auto"/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$14,300</w:t>
            </w:r>
          </w:p>
        </w:tc>
        <w:tc>
          <w:tcPr>
            <w:tcW w:w="2122" w:type="dxa"/>
          </w:tcPr>
          <w:p w14:paraId="04C4525D" w14:textId="71D90269" w:rsidR="00EA2256" w:rsidRDefault="00EA2256" w:rsidP="00EA2256">
            <w:pPr>
              <w:spacing w:line="276" w:lineRule="auto"/>
              <w:jc w:val="right"/>
              <w:rPr>
                <w:rFonts w:eastAsia="Times New Roman" w:cs="Times New Roman"/>
              </w:rPr>
            </w:pPr>
            <w:r w:rsidRPr="00184D2A">
              <w:rPr>
                <w:rFonts w:eastAsia="Times New Roman" w:cs="Times New Roman"/>
              </w:rPr>
              <w:t>.001</w:t>
            </w:r>
          </w:p>
        </w:tc>
        <w:tc>
          <w:tcPr>
            <w:tcW w:w="2171" w:type="dxa"/>
          </w:tcPr>
          <w:p w14:paraId="7A986BFC" w14:textId="7CBBE7F2" w:rsidR="00EA2256" w:rsidRDefault="00EA2256" w:rsidP="00EA2256">
            <w:pPr>
              <w:spacing w:line="276" w:lineRule="auto"/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$14.30</w:t>
            </w:r>
          </w:p>
        </w:tc>
      </w:tr>
      <w:tr w:rsidR="00EA2256" w14:paraId="1B04981E" w14:textId="77777777" w:rsidTr="00EA2256">
        <w:tc>
          <w:tcPr>
            <w:tcW w:w="2156" w:type="dxa"/>
          </w:tcPr>
          <w:p w14:paraId="217CC56A" w14:textId="523905A4" w:rsidR="00EA2256" w:rsidRDefault="00EA2256" w:rsidP="00EA2256">
            <w:pPr>
              <w:spacing w:line="276" w:lineRule="auto"/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$300,000</w:t>
            </w:r>
          </w:p>
        </w:tc>
        <w:tc>
          <w:tcPr>
            <w:tcW w:w="2185" w:type="dxa"/>
          </w:tcPr>
          <w:p w14:paraId="4AAE4255" w14:textId="4AD30AD7" w:rsidR="00EA2256" w:rsidRDefault="00EA2256" w:rsidP="00EA2256">
            <w:pPr>
              <w:spacing w:line="276" w:lineRule="auto"/>
              <w:jc w:val="right"/>
              <w:rPr>
                <w:rFonts w:eastAsia="Times New Roman" w:cs="Times New Roman"/>
              </w:rPr>
            </w:pPr>
            <w:r w:rsidRPr="00004AC7">
              <w:rPr>
                <w:rFonts w:eastAsia="Times New Roman" w:cs="Times New Roman"/>
              </w:rPr>
              <w:t>7.15%</w:t>
            </w:r>
          </w:p>
        </w:tc>
        <w:tc>
          <w:tcPr>
            <w:tcW w:w="2156" w:type="dxa"/>
          </w:tcPr>
          <w:p w14:paraId="1A339404" w14:textId="7F9AA5BE" w:rsidR="00EA2256" w:rsidRDefault="00EA2256" w:rsidP="00EA2256">
            <w:pPr>
              <w:spacing w:line="276" w:lineRule="auto"/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$21,450</w:t>
            </w:r>
          </w:p>
        </w:tc>
        <w:tc>
          <w:tcPr>
            <w:tcW w:w="2122" w:type="dxa"/>
          </w:tcPr>
          <w:p w14:paraId="47C22ED3" w14:textId="2D3E5F7F" w:rsidR="00EA2256" w:rsidRDefault="00EA2256" w:rsidP="00EA2256">
            <w:pPr>
              <w:spacing w:line="276" w:lineRule="auto"/>
              <w:jc w:val="right"/>
              <w:rPr>
                <w:rFonts w:eastAsia="Times New Roman" w:cs="Times New Roman"/>
              </w:rPr>
            </w:pPr>
            <w:r w:rsidRPr="00184D2A">
              <w:rPr>
                <w:rFonts w:eastAsia="Times New Roman" w:cs="Times New Roman"/>
              </w:rPr>
              <w:t>.001</w:t>
            </w:r>
          </w:p>
        </w:tc>
        <w:tc>
          <w:tcPr>
            <w:tcW w:w="2171" w:type="dxa"/>
          </w:tcPr>
          <w:p w14:paraId="7F8B3887" w14:textId="3FA9DAA1" w:rsidR="00EA2256" w:rsidRDefault="00EA2256" w:rsidP="00EA2256">
            <w:pPr>
              <w:spacing w:line="276" w:lineRule="auto"/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$21.45</w:t>
            </w:r>
          </w:p>
        </w:tc>
      </w:tr>
      <w:tr w:rsidR="00EA2256" w14:paraId="7AE8636F" w14:textId="77777777" w:rsidTr="00EA2256">
        <w:tc>
          <w:tcPr>
            <w:tcW w:w="2156" w:type="dxa"/>
          </w:tcPr>
          <w:p w14:paraId="1A4C8128" w14:textId="31FFDBF2" w:rsidR="00EA2256" w:rsidRDefault="00EA2256" w:rsidP="00EA2256">
            <w:pPr>
              <w:spacing w:line="276" w:lineRule="auto"/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$400,000</w:t>
            </w:r>
          </w:p>
        </w:tc>
        <w:tc>
          <w:tcPr>
            <w:tcW w:w="2185" w:type="dxa"/>
          </w:tcPr>
          <w:p w14:paraId="04038F3C" w14:textId="1D53C4BB" w:rsidR="00EA2256" w:rsidRDefault="00EA2256" w:rsidP="00EA2256">
            <w:pPr>
              <w:spacing w:line="276" w:lineRule="auto"/>
              <w:jc w:val="right"/>
              <w:rPr>
                <w:rFonts w:eastAsia="Times New Roman" w:cs="Times New Roman"/>
              </w:rPr>
            </w:pPr>
            <w:r w:rsidRPr="00004AC7">
              <w:rPr>
                <w:rFonts w:eastAsia="Times New Roman" w:cs="Times New Roman"/>
              </w:rPr>
              <w:t>7.15%</w:t>
            </w:r>
          </w:p>
        </w:tc>
        <w:tc>
          <w:tcPr>
            <w:tcW w:w="2156" w:type="dxa"/>
          </w:tcPr>
          <w:p w14:paraId="179AB103" w14:textId="0588CB27" w:rsidR="00EA2256" w:rsidRDefault="00EA2256" w:rsidP="00EA2256">
            <w:pPr>
              <w:spacing w:line="276" w:lineRule="auto"/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$28,600</w:t>
            </w:r>
          </w:p>
        </w:tc>
        <w:tc>
          <w:tcPr>
            <w:tcW w:w="2122" w:type="dxa"/>
          </w:tcPr>
          <w:p w14:paraId="24858D1E" w14:textId="4CE24D99" w:rsidR="00EA2256" w:rsidRDefault="00EA2256" w:rsidP="00EA2256">
            <w:pPr>
              <w:spacing w:line="276" w:lineRule="auto"/>
              <w:jc w:val="right"/>
              <w:rPr>
                <w:rFonts w:eastAsia="Times New Roman" w:cs="Times New Roman"/>
              </w:rPr>
            </w:pPr>
            <w:r w:rsidRPr="00184D2A">
              <w:rPr>
                <w:rFonts w:eastAsia="Times New Roman" w:cs="Times New Roman"/>
              </w:rPr>
              <w:t>.001</w:t>
            </w:r>
          </w:p>
        </w:tc>
        <w:tc>
          <w:tcPr>
            <w:tcW w:w="2171" w:type="dxa"/>
          </w:tcPr>
          <w:p w14:paraId="32838740" w14:textId="3D235BDF" w:rsidR="00EA2256" w:rsidRDefault="00EA2256" w:rsidP="00EA2256">
            <w:pPr>
              <w:spacing w:line="276" w:lineRule="auto"/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$28.60</w:t>
            </w:r>
          </w:p>
        </w:tc>
      </w:tr>
      <w:tr w:rsidR="00EA2256" w14:paraId="36459AEA" w14:textId="77777777" w:rsidTr="00EA2256">
        <w:tc>
          <w:tcPr>
            <w:tcW w:w="2156" w:type="dxa"/>
          </w:tcPr>
          <w:p w14:paraId="403B9A93" w14:textId="427C2448" w:rsidR="00EA2256" w:rsidRDefault="00EA2256" w:rsidP="00EA2256">
            <w:pPr>
              <w:spacing w:line="276" w:lineRule="auto"/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$500,000</w:t>
            </w:r>
          </w:p>
        </w:tc>
        <w:tc>
          <w:tcPr>
            <w:tcW w:w="2185" w:type="dxa"/>
          </w:tcPr>
          <w:p w14:paraId="49A5DFFB" w14:textId="31AEFF9E" w:rsidR="00EA2256" w:rsidRDefault="00EA2256" w:rsidP="00EA2256">
            <w:pPr>
              <w:spacing w:line="276" w:lineRule="auto"/>
              <w:jc w:val="right"/>
              <w:rPr>
                <w:rFonts w:eastAsia="Times New Roman" w:cs="Times New Roman"/>
              </w:rPr>
            </w:pPr>
            <w:r w:rsidRPr="00004AC7">
              <w:rPr>
                <w:rFonts w:eastAsia="Times New Roman" w:cs="Times New Roman"/>
              </w:rPr>
              <w:t>7.15%</w:t>
            </w:r>
          </w:p>
        </w:tc>
        <w:tc>
          <w:tcPr>
            <w:tcW w:w="2156" w:type="dxa"/>
          </w:tcPr>
          <w:p w14:paraId="7B8E6D35" w14:textId="1D5EACC1" w:rsidR="00EA2256" w:rsidRDefault="00EA2256" w:rsidP="00EA2256">
            <w:pPr>
              <w:spacing w:line="276" w:lineRule="auto"/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$35,750</w:t>
            </w:r>
          </w:p>
        </w:tc>
        <w:tc>
          <w:tcPr>
            <w:tcW w:w="2122" w:type="dxa"/>
          </w:tcPr>
          <w:p w14:paraId="22007FF8" w14:textId="20C7C4D8" w:rsidR="00EA2256" w:rsidRDefault="00EA2256" w:rsidP="00EA2256">
            <w:pPr>
              <w:spacing w:line="276" w:lineRule="auto"/>
              <w:jc w:val="right"/>
              <w:rPr>
                <w:rFonts w:eastAsia="Times New Roman" w:cs="Times New Roman"/>
              </w:rPr>
            </w:pPr>
            <w:r w:rsidRPr="00184D2A">
              <w:rPr>
                <w:rFonts w:eastAsia="Times New Roman" w:cs="Times New Roman"/>
              </w:rPr>
              <w:t>.001</w:t>
            </w:r>
          </w:p>
        </w:tc>
        <w:tc>
          <w:tcPr>
            <w:tcW w:w="2171" w:type="dxa"/>
          </w:tcPr>
          <w:p w14:paraId="083A0E5C" w14:textId="647ADA68" w:rsidR="00EA2256" w:rsidRDefault="00EA2256" w:rsidP="00EA2256">
            <w:pPr>
              <w:spacing w:line="276" w:lineRule="auto"/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$35.75</w:t>
            </w:r>
          </w:p>
        </w:tc>
      </w:tr>
    </w:tbl>
    <w:p w14:paraId="7320003A" w14:textId="77777777" w:rsidR="00EA2256" w:rsidRDefault="00EA2256" w:rsidP="00EA2256">
      <w:pPr>
        <w:spacing w:line="276" w:lineRule="auto"/>
        <w:ind w:left="720"/>
        <w:rPr>
          <w:rFonts w:eastAsia="Times New Roman" w:cs="Times New Roman"/>
          <w:b/>
          <w:bCs/>
        </w:rPr>
      </w:pPr>
    </w:p>
    <w:p w14:paraId="750BB0E3" w14:textId="701EFE97" w:rsidR="00EA2256" w:rsidRPr="00EA2256" w:rsidRDefault="00EA2256" w:rsidP="00EA2256">
      <w:pPr>
        <w:spacing w:line="276" w:lineRule="auto"/>
        <w:ind w:left="720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Non-Residential</w:t>
      </w:r>
      <w:r w:rsidRPr="00EA2256">
        <w:rPr>
          <w:rFonts w:eastAsia="Times New Roman" w:cs="Times New Roman"/>
          <w:b/>
          <w:bCs/>
        </w:rPr>
        <w:t xml:space="preserve"> Property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156"/>
        <w:gridCol w:w="2185"/>
        <w:gridCol w:w="2156"/>
        <w:gridCol w:w="2122"/>
        <w:gridCol w:w="2171"/>
      </w:tblGrid>
      <w:tr w:rsidR="00EA2256" w14:paraId="590A092A" w14:textId="77777777" w:rsidTr="00F733DF">
        <w:tc>
          <w:tcPr>
            <w:tcW w:w="2156" w:type="dxa"/>
            <w:shd w:val="clear" w:color="auto" w:fill="3B3838" w:themeFill="background2" w:themeFillShade="40"/>
            <w:vAlign w:val="bottom"/>
          </w:tcPr>
          <w:p w14:paraId="5C8DDF29" w14:textId="77777777" w:rsidR="00EA2256" w:rsidRPr="00EA2256" w:rsidRDefault="00EA2256" w:rsidP="00F733DF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</w:rPr>
            </w:pPr>
            <w:r>
              <w:rPr>
                <w:rFonts w:eastAsia="Times New Roman" w:cs="Times New Roman"/>
                <w:b/>
                <w:bCs/>
                <w:color w:val="FFFFFF" w:themeColor="background1"/>
              </w:rPr>
              <w:t xml:space="preserve">2021 </w:t>
            </w:r>
            <w:r w:rsidRPr="00EA2256">
              <w:rPr>
                <w:rFonts w:eastAsia="Times New Roman" w:cs="Times New Roman"/>
                <w:b/>
                <w:bCs/>
                <w:color w:val="FFFFFF" w:themeColor="background1"/>
              </w:rPr>
              <w:t>Actual Property Value</w:t>
            </w:r>
          </w:p>
        </w:tc>
        <w:tc>
          <w:tcPr>
            <w:tcW w:w="2185" w:type="dxa"/>
            <w:shd w:val="clear" w:color="auto" w:fill="3B3838" w:themeFill="background2" w:themeFillShade="40"/>
            <w:vAlign w:val="bottom"/>
          </w:tcPr>
          <w:p w14:paraId="49B71AE9" w14:textId="77777777" w:rsidR="00EA2256" w:rsidRPr="00EA2256" w:rsidRDefault="00EA2256" w:rsidP="00F733DF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</w:rPr>
            </w:pPr>
            <w:r>
              <w:rPr>
                <w:rFonts w:eastAsia="Times New Roman" w:cs="Times New Roman"/>
                <w:b/>
                <w:bCs/>
                <w:color w:val="FFFFFF" w:themeColor="background1"/>
              </w:rPr>
              <w:t xml:space="preserve">2021 </w:t>
            </w:r>
            <w:r w:rsidRPr="00EA2256">
              <w:rPr>
                <w:rFonts w:eastAsia="Times New Roman" w:cs="Times New Roman"/>
                <w:b/>
                <w:bCs/>
                <w:color w:val="FFFFFF" w:themeColor="background1"/>
              </w:rPr>
              <w:t>Residential Assessment Rate</w:t>
            </w:r>
          </w:p>
        </w:tc>
        <w:tc>
          <w:tcPr>
            <w:tcW w:w="2156" w:type="dxa"/>
            <w:shd w:val="clear" w:color="auto" w:fill="3B3838" w:themeFill="background2" w:themeFillShade="40"/>
            <w:vAlign w:val="bottom"/>
          </w:tcPr>
          <w:p w14:paraId="10902F85" w14:textId="77777777" w:rsidR="00EA2256" w:rsidRPr="00EA2256" w:rsidRDefault="00EA2256" w:rsidP="00F733DF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</w:rPr>
            </w:pPr>
            <w:r>
              <w:rPr>
                <w:rFonts w:eastAsia="Times New Roman" w:cs="Times New Roman"/>
                <w:b/>
                <w:bCs/>
                <w:color w:val="FFFFFF" w:themeColor="background1"/>
              </w:rPr>
              <w:t xml:space="preserve">2021 </w:t>
            </w:r>
            <w:r w:rsidRPr="00EA2256">
              <w:rPr>
                <w:rFonts w:eastAsia="Times New Roman" w:cs="Times New Roman"/>
                <w:b/>
                <w:bCs/>
                <w:color w:val="FFFFFF" w:themeColor="background1"/>
              </w:rPr>
              <w:t>Assessed Property Value</w:t>
            </w:r>
          </w:p>
        </w:tc>
        <w:tc>
          <w:tcPr>
            <w:tcW w:w="2122" w:type="dxa"/>
            <w:shd w:val="clear" w:color="auto" w:fill="3B3838" w:themeFill="background2" w:themeFillShade="40"/>
            <w:vAlign w:val="bottom"/>
          </w:tcPr>
          <w:p w14:paraId="067BB0C0" w14:textId="77777777" w:rsidR="00EA2256" w:rsidRPr="00EA2256" w:rsidRDefault="00EA2256" w:rsidP="00F733DF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</w:rPr>
            </w:pPr>
            <w:r w:rsidRPr="00EA2256">
              <w:rPr>
                <w:rFonts w:eastAsia="Times New Roman" w:cs="Times New Roman"/>
                <w:b/>
                <w:bCs/>
                <w:color w:val="FFFFFF" w:themeColor="background1"/>
              </w:rPr>
              <w:t>One Mill (.001)</w:t>
            </w:r>
          </w:p>
        </w:tc>
        <w:tc>
          <w:tcPr>
            <w:tcW w:w="2171" w:type="dxa"/>
            <w:shd w:val="clear" w:color="auto" w:fill="3B3838" w:themeFill="background2" w:themeFillShade="40"/>
            <w:vAlign w:val="bottom"/>
          </w:tcPr>
          <w:p w14:paraId="52386867" w14:textId="77777777" w:rsidR="00EA2256" w:rsidRPr="00EA2256" w:rsidRDefault="00EA2256" w:rsidP="00F733DF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</w:rPr>
            </w:pPr>
            <w:r w:rsidRPr="00EA2256">
              <w:rPr>
                <w:rFonts w:eastAsia="Times New Roman" w:cs="Times New Roman"/>
                <w:b/>
                <w:bCs/>
                <w:color w:val="FFFFFF" w:themeColor="background1"/>
              </w:rPr>
              <w:t>Impact of One Additional Mill for 2021</w:t>
            </w:r>
          </w:p>
        </w:tc>
      </w:tr>
      <w:tr w:rsidR="00EA2256" w14:paraId="31A99737" w14:textId="77777777" w:rsidTr="00F733DF">
        <w:tc>
          <w:tcPr>
            <w:tcW w:w="2156" w:type="dxa"/>
          </w:tcPr>
          <w:p w14:paraId="710E709D" w14:textId="77777777" w:rsidR="00EA2256" w:rsidRDefault="00EA2256" w:rsidP="00F733DF">
            <w:pPr>
              <w:spacing w:line="276" w:lineRule="auto"/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$100,000</w:t>
            </w:r>
          </w:p>
        </w:tc>
        <w:tc>
          <w:tcPr>
            <w:tcW w:w="2185" w:type="dxa"/>
          </w:tcPr>
          <w:p w14:paraId="52032780" w14:textId="094F8682" w:rsidR="00EA2256" w:rsidRDefault="00EA2256" w:rsidP="00F733DF">
            <w:pPr>
              <w:spacing w:line="276" w:lineRule="auto"/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29</w:t>
            </w:r>
            <w:r>
              <w:rPr>
                <w:rFonts w:eastAsia="Times New Roman" w:cs="Times New Roman"/>
              </w:rPr>
              <w:t>%</w:t>
            </w:r>
          </w:p>
        </w:tc>
        <w:tc>
          <w:tcPr>
            <w:tcW w:w="2156" w:type="dxa"/>
          </w:tcPr>
          <w:p w14:paraId="5E0F4C10" w14:textId="58F0DC31" w:rsidR="00EA2256" w:rsidRDefault="00EA2256" w:rsidP="00F733DF">
            <w:pPr>
              <w:spacing w:line="276" w:lineRule="auto"/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$29,000</w:t>
            </w:r>
          </w:p>
        </w:tc>
        <w:tc>
          <w:tcPr>
            <w:tcW w:w="2122" w:type="dxa"/>
          </w:tcPr>
          <w:p w14:paraId="0BE5F79A" w14:textId="77777777" w:rsidR="00EA2256" w:rsidRDefault="00EA2256" w:rsidP="00F733DF">
            <w:pPr>
              <w:spacing w:line="276" w:lineRule="auto"/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.001</w:t>
            </w:r>
          </w:p>
        </w:tc>
        <w:tc>
          <w:tcPr>
            <w:tcW w:w="2171" w:type="dxa"/>
          </w:tcPr>
          <w:p w14:paraId="1058971B" w14:textId="24B20F57" w:rsidR="00EA2256" w:rsidRDefault="00EA2256" w:rsidP="00F733DF">
            <w:pPr>
              <w:spacing w:line="276" w:lineRule="auto"/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$29.00</w:t>
            </w:r>
          </w:p>
        </w:tc>
      </w:tr>
      <w:tr w:rsidR="00EA2256" w14:paraId="5E9F0CEE" w14:textId="77777777" w:rsidTr="00F733DF">
        <w:tc>
          <w:tcPr>
            <w:tcW w:w="2156" w:type="dxa"/>
          </w:tcPr>
          <w:p w14:paraId="521AD97E" w14:textId="77777777" w:rsidR="00EA2256" w:rsidRDefault="00EA2256" w:rsidP="00EA2256">
            <w:pPr>
              <w:spacing w:line="276" w:lineRule="auto"/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$200,000</w:t>
            </w:r>
          </w:p>
        </w:tc>
        <w:tc>
          <w:tcPr>
            <w:tcW w:w="2185" w:type="dxa"/>
          </w:tcPr>
          <w:p w14:paraId="6B169FAC" w14:textId="2F05D1D0" w:rsidR="00EA2256" w:rsidRDefault="00EA2256" w:rsidP="00EA2256">
            <w:pPr>
              <w:spacing w:line="276" w:lineRule="auto"/>
              <w:jc w:val="right"/>
              <w:rPr>
                <w:rFonts w:eastAsia="Times New Roman" w:cs="Times New Roman"/>
              </w:rPr>
            </w:pPr>
            <w:r w:rsidRPr="00E86EDF">
              <w:rPr>
                <w:rFonts w:eastAsia="Times New Roman" w:cs="Times New Roman"/>
              </w:rPr>
              <w:t>29%</w:t>
            </w:r>
          </w:p>
        </w:tc>
        <w:tc>
          <w:tcPr>
            <w:tcW w:w="2156" w:type="dxa"/>
          </w:tcPr>
          <w:p w14:paraId="5DF86EB6" w14:textId="5EC21CAD" w:rsidR="00EA2256" w:rsidRDefault="00EA2256" w:rsidP="00EA2256">
            <w:pPr>
              <w:spacing w:line="276" w:lineRule="auto"/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$58,000</w:t>
            </w:r>
          </w:p>
        </w:tc>
        <w:tc>
          <w:tcPr>
            <w:tcW w:w="2122" w:type="dxa"/>
          </w:tcPr>
          <w:p w14:paraId="1EBC253E" w14:textId="77777777" w:rsidR="00EA2256" w:rsidRDefault="00EA2256" w:rsidP="00EA2256">
            <w:pPr>
              <w:spacing w:line="276" w:lineRule="auto"/>
              <w:jc w:val="right"/>
              <w:rPr>
                <w:rFonts w:eastAsia="Times New Roman" w:cs="Times New Roman"/>
              </w:rPr>
            </w:pPr>
            <w:r w:rsidRPr="00184D2A">
              <w:rPr>
                <w:rFonts w:eastAsia="Times New Roman" w:cs="Times New Roman"/>
              </w:rPr>
              <w:t>.001</w:t>
            </w:r>
          </w:p>
        </w:tc>
        <w:tc>
          <w:tcPr>
            <w:tcW w:w="2171" w:type="dxa"/>
          </w:tcPr>
          <w:p w14:paraId="32ED8F4B" w14:textId="4B084A57" w:rsidR="00EA2256" w:rsidRDefault="00EA2256" w:rsidP="00EA2256">
            <w:pPr>
              <w:spacing w:line="276" w:lineRule="auto"/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$58.00</w:t>
            </w:r>
          </w:p>
        </w:tc>
      </w:tr>
      <w:tr w:rsidR="00EA2256" w14:paraId="2C0F6A44" w14:textId="77777777" w:rsidTr="00F733DF">
        <w:tc>
          <w:tcPr>
            <w:tcW w:w="2156" w:type="dxa"/>
          </w:tcPr>
          <w:p w14:paraId="16BFFAC1" w14:textId="77777777" w:rsidR="00EA2256" w:rsidRDefault="00EA2256" w:rsidP="00EA2256">
            <w:pPr>
              <w:spacing w:line="276" w:lineRule="auto"/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$300,000</w:t>
            </w:r>
          </w:p>
        </w:tc>
        <w:tc>
          <w:tcPr>
            <w:tcW w:w="2185" w:type="dxa"/>
          </w:tcPr>
          <w:p w14:paraId="5E036DFE" w14:textId="2990A143" w:rsidR="00EA2256" w:rsidRDefault="00EA2256" w:rsidP="00EA2256">
            <w:pPr>
              <w:spacing w:line="276" w:lineRule="auto"/>
              <w:jc w:val="right"/>
              <w:rPr>
                <w:rFonts w:eastAsia="Times New Roman" w:cs="Times New Roman"/>
              </w:rPr>
            </w:pPr>
            <w:r w:rsidRPr="00E86EDF">
              <w:rPr>
                <w:rFonts w:eastAsia="Times New Roman" w:cs="Times New Roman"/>
              </w:rPr>
              <w:t>29%</w:t>
            </w:r>
          </w:p>
        </w:tc>
        <w:tc>
          <w:tcPr>
            <w:tcW w:w="2156" w:type="dxa"/>
          </w:tcPr>
          <w:p w14:paraId="449F85BC" w14:textId="3AC88339" w:rsidR="00EA2256" w:rsidRDefault="00EA2256" w:rsidP="00EA2256">
            <w:pPr>
              <w:spacing w:line="276" w:lineRule="auto"/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$87,000</w:t>
            </w:r>
          </w:p>
        </w:tc>
        <w:tc>
          <w:tcPr>
            <w:tcW w:w="2122" w:type="dxa"/>
          </w:tcPr>
          <w:p w14:paraId="36DA5CAE" w14:textId="77777777" w:rsidR="00EA2256" w:rsidRDefault="00EA2256" w:rsidP="00EA2256">
            <w:pPr>
              <w:spacing w:line="276" w:lineRule="auto"/>
              <w:jc w:val="right"/>
              <w:rPr>
                <w:rFonts w:eastAsia="Times New Roman" w:cs="Times New Roman"/>
              </w:rPr>
            </w:pPr>
            <w:r w:rsidRPr="00184D2A">
              <w:rPr>
                <w:rFonts w:eastAsia="Times New Roman" w:cs="Times New Roman"/>
              </w:rPr>
              <w:t>.001</w:t>
            </w:r>
          </w:p>
        </w:tc>
        <w:tc>
          <w:tcPr>
            <w:tcW w:w="2171" w:type="dxa"/>
          </w:tcPr>
          <w:p w14:paraId="722261D0" w14:textId="3C9D9D12" w:rsidR="00EA2256" w:rsidRDefault="00EA2256" w:rsidP="00EA2256">
            <w:pPr>
              <w:spacing w:line="276" w:lineRule="auto"/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$87.00</w:t>
            </w:r>
          </w:p>
        </w:tc>
      </w:tr>
      <w:tr w:rsidR="00EA2256" w14:paraId="024CC963" w14:textId="77777777" w:rsidTr="00F733DF">
        <w:tc>
          <w:tcPr>
            <w:tcW w:w="2156" w:type="dxa"/>
          </w:tcPr>
          <w:p w14:paraId="666C765D" w14:textId="77777777" w:rsidR="00EA2256" w:rsidRDefault="00EA2256" w:rsidP="00EA2256">
            <w:pPr>
              <w:spacing w:line="276" w:lineRule="auto"/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$400,000</w:t>
            </w:r>
          </w:p>
        </w:tc>
        <w:tc>
          <w:tcPr>
            <w:tcW w:w="2185" w:type="dxa"/>
          </w:tcPr>
          <w:p w14:paraId="6A05A872" w14:textId="5FA53F05" w:rsidR="00EA2256" w:rsidRDefault="00EA2256" w:rsidP="00EA2256">
            <w:pPr>
              <w:spacing w:line="276" w:lineRule="auto"/>
              <w:jc w:val="right"/>
              <w:rPr>
                <w:rFonts w:eastAsia="Times New Roman" w:cs="Times New Roman"/>
              </w:rPr>
            </w:pPr>
            <w:r w:rsidRPr="00E86EDF">
              <w:rPr>
                <w:rFonts w:eastAsia="Times New Roman" w:cs="Times New Roman"/>
              </w:rPr>
              <w:t>29%</w:t>
            </w:r>
          </w:p>
        </w:tc>
        <w:tc>
          <w:tcPr>
            <w:tcW w:w="2156" w:type="dxa"/>
          </w:tcPr>
          <w:p w14:paraId="761C155F" w14:textId="711B81DE" w:rsidR="00EA2256" w:rsidRDefault="00EA2256" w:rsidP="00EA2256">
            <w:pPr>
              <w:spacing w:line="276" w:lineRule="auto"/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$116,000</w:t>
            </w:r>
          </w:p>
        </w:tc>
        <w:tc>
          <w:tcPr>
            <w:tcW w:w="2122" w:type="dxa"/>
          </w:tcPr>
          <w:p w14:paraId="2E6CD64C" w14:textId="77777777" w:rsidR="00EA2256" w:rsidRDefault="00EA2256" w:rsidP="00EA2256">
            <w:pPr>
              <w:spacing w:line="276" w:lineRule="auto"/>
              <w:jc w:val="right"/>
              <w:rPr>
                <w:rFonts w:eastAsia="Times New Roman" w:cs="Times New Roman"/>
              </w:rPr>
            </w:pPr>
            <w:r w:rsidRPr="00184D2A">
              <w:rPr>
                <w:rFonts w:eastAsia="Times New Roman" w:cs="Times New Roman"/>
              </w:rPr>
              <w:t>.001</w:t>
            </w:r>
          </w:p>
        </w:tc>
        <w:tc>
          <w:tcPr>
            <w:tcW w:w="2171" w:type="dxa"/>
          </w:tcPr>
          <w:p w14:paraId="2065F3F5" w14:textId="2FF2F350" w:rsidR="00EA2256" w:rsidRDefault="00EA2256" w:rsidP="00EA2256">
            <w:pPr>
              <w:spacing w:line="276" w:lineRule="auto"/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$116.00</w:t>
            </w:r>
          </w:p>
        </w:tc>
      </w:tr>
      <w:tr w:rsidR="00EA2256" w14:paraId="1E5AA06F" w14:textId="77777777" w:rsidTr="00F733DF">
        <w:tc>
          <w:tcPr>
            <w:tcW w:w="2156" w:type="dxa"/>
          </w:tcPr>
          <w:p w14:paraId="56D68419" w14:textId="77777777" w:rsidR="00EA2256" w:rsidRDefault="00EA2256" w:rsidP="00EA2256">
            <w:pPr>
              <w:spacing w:line="276" w:lineRule="auto"/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$500,000</w:t>
            </w:r>
          </w:p>
        </w:tc>
        <w:tc>
          <w:tcPr>
            <w:tcW w:w="2185" w:type="dxa"/>
          </w:tcPr>
          <w:p w14:paraId="7E96A892" w14:textId="10D3DF41" w:rsidR="00EA2256" w:rsidRDefault="00EA2256" w:rsidP="00EA2256">
            <w:pPr>
              <w:spacing w:line="276" w:lineRule="auto"/>
              <w:jc w:val="right"/>
              <w:rPr>
                <w:rFonts w:eastAsia="Times New Roman" w:cs="Times New Roman"/>
              </w:rPr>
            </w:pPr>
            <w:r w:rsidRPr="00E86EDF">
              <w:rPr>
                <w:rFonts w:eastAsia="Times New Roman" w:cs="Times New Roman"/>
              </w:rPr>
              <w:t>29%</w:t>
            </w:r>
          </w:p>
        </w:tc>
        <w:tc>
          <w:tcPr>
            <w:tcW w:w="2156" w:type="dxa"/>
          </w:tcPr>
          <w:p w14:paraId="74CDD2AF" w14:textId="5FDA1A5C" w:rsidR="00EA2256" w:rsidRDefault="00EA2256" w:rsidP="00EA2256">
            <w:pPr>
              <w:spacing w:line="276" w:lineRule="auto"/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$145,000</w:t>
            </w:r>
          </w:p>
        </w:tc>
        <w:tc>
          <w:tcPr>
            <w:tcW w:w="2122" w:type="dxa"/>
          </w:tcPr>
          <w:p w14:paraId="17188846" w14:textId="77777777" w:rsidR="00EA2256" w:rsidRDefault="00EA2256" w:rsidP="00EA2256">
            <w:pPr>
              <w:spacing w:line="276" w:lineRule="auto"/>
              <w:jc w:val="right"/>
              <w:rPr>
                <w:rFonts w:eastAsia="Times New Roman" w:cs="Times New Roman"/>
              </w:rPr>
            </w:pPr>
            <w:r w:rsidRPr="00184D2A">
              <w:rPr>
                <w:rFonts w:eastAsia="Times New Roman" w:cs="Times New Roman"/>
              </w:rPr>
              <w:t>.001</w:t>
            </w:r>
          </w:p>
        </w:tc>
        <w:tc>
          <w:tcPr>
            <w:tcW w:w="2171" w:type="dxa"/>
          </w:tcPr>
          <w:p w14:paraId="2330B348" w14:textId="79C4DEC9" w:rsidR="00EA2256" w:rsidRDefault="00EA2256" w:rsidP="00EA2256">
            <w:pPr>
              <w:spacing w:line="276" w:lineRule="auto"/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$145.00</w:t>
            </w:r>
          </w:p>
        </w:tc>
      </w:tr>
    </w:tbl>
    <w:p w14:paraId="0369E85C" w14:textId="77777777" w:rsidR="00EA2256" w:rsidRDefault="00EA2256" w:rsidP="00074975">
      <w:pPr>
        <w:spacing w:line="276" w:lineRule="auto"/>
        <w:ind w:left="720"/>
        <w:rPr>
          <w:rFonts w:eastAsia="Times New Roman" w:cs="Times New Roman"/>
        </w:rPr>
      </w:pPr>
    </w:p>
    <w:p w14:paraId="138C350B" w14:textId="34E27907" w:rsidR="00074975" w:rsidRDefault="00F90109" w:rsidP="00074975">
      <w:pPr>
        <w:spacing w:line="276" w:lineRule="auto"/>
        <w:ind w:left="720"/>
        <w:rPr>
          <w:rFonts w:eastAsia="Times New Roman" w:cs="Times New Roman"/>
        </w:rPr>
      </w:pPr>
      <w:r w:rsidRPr="00F90109">
        <w:rPr>
          <w:rFonts w:eastAsia="Times New Roman" w:cs="Times New Roman"/>
        </w:rPr>
        <w:t xml:space="preserve">The addition of these funds into the education funding system will free up state </w:t>
      </w:r>
      <w:r>
        <w:rPr>
          <w:rFonts w:eastAsia="Times New Roman" w:cs="Times New Roman"/>
        </w:rPr>
        <w:t>money</w:t>
      </w:r>
      <w:r w:rsidRPr="00F90109">
        <w:rPr>
          <w:rFonts w:eastAsia="Times New Roman" w:cs="Times New Roman"/>
        </w:rPr>
        <w:t xml:space="preserve"> for education that </w:t>
      </w:r>
      <w:r w:rsidR="00074975">
        <w:rPr>
          <w:rFonts w:eastAsia="Times New Roman" w:cs="Times New Roman"/>
        </w:rPr>
        <w:t xml:space="preserve">otherwise </w:t>
      </w:r>
      <w:r w:rsidRPr="00F90109">
        <w:rPr>
          <w:rFonts w:eastAsia="Times New Roman" w:cs="Times New Roman"/>
        </w:rPr>
        <w:t xml:space="preserve">would </w:t>
      </w:r>
      <w:r w:rsidR="00074975">
        <w:rPr>
          <w:rFonts w:eastAsia="Times New Roman" w:cs="Times New Roman"/>
        </w:rPr>
        <w:t xml:space="preserve">have been used to </w:t>
      </w:r>
      <w:r w:rsidRPr="00F90109">
        <w:rPr>
          <w:rFonts w:eastAsia="Times New Roman" w:cs="Times New Roman"/>
        </w:rPr>
        <w:t xml:space="preserve">“backfill” the </w:t>
      </w:r>
      <w:proofErr w:type="spellStart"/>
      <w:r w:rsidRPr="00F90109">
        <w:rPr>
          <w:rFonts w:eastAsia="Times New Roman" w:cs="Times New Roman"/>
        </w:rPr>
        <w:t>undercollection</w:t>
      </w:r>
      <w:proofErr w:type="spellEnd"/>
      <w:r w:rsidRPr="00F90109">
        <w:rPr>
          <w:rFonts w:eastAsia="Times New Roman" w:cs="Times New Roman"/>
        </w:rPr>
        <w:t xml:space="preserve"> of local property taxes. As a result</w:t>
      </w:r>
      <w:r>
        <w:rPr>
          <w:rFonts w:eastAsia="Times New Roman" w:cs="Times New Roman"/>
        </w:rPr>
        <w:t xml:space="preserve">, </w:t>
      </w:r>
      <w:r w:rsidRPr="00F90109">
        <w:rPr>
          <w:rFonts w:eastAsia="Times New Roman" w:cs="Times New Roman"/>
        </w:rPr>
        <w:t>the legislature will have access to additional state funds for education. In the 2021-22 school year, the legislature chose to allocate these newly available state funds to additional funding for at-risk and English learner students in Colorado school districts.</w:t>
      </w:r>
      <w:r w:rsidR="00074975">
        <w:rPr>
          <w:rFonts w:eastAsia="Times New Roman" w:cs="Times New Roman"/>
        </w:rPr>
        <w:t xml:space="preserve"> </w:t>
      </w:r>
    </w:p>
    <w:p w14:paraId="09B065BC" w14:textId="2C7C66C2" w:rsidR="00F90109" w:rsidRPr="00074975" w:rsidRDefault="00F90109" w:rsidP="00074975">
      <w:pPr>
        <w:spacing w:line="276" w:lineRule="auto"/>
        <w:ind w:left="720"/>
        <w:rPr>
          <w:rFonts w:eastAsia="Times New Roman" w:cs="Times New Roman"/>
        </w:rPr>
      </w:pPr>
      <w:r w:rsidRPr="00074975">
        <w:rPr>
          <w:rFonts w:eastAsia="Times New Roman" w:cs="Times New Roman"/>
        </w:rPr>
        <w:t>For more information, please visit: https://www.cde.state.co.us/cdefinance/milllevycorrection.</w:t>
      </w:r>
    </w:p>
    <w:sectPr w:rsidR="00F90109" w:rsidRPr="00074975" w:rsidSect="00DE489D">
      <w:headerReference w:type="default" r:id="rId8"/>
      <w:footerReference w:type="default" r:id="rId9"/>
      <w:headerReference w:type="first" r:id="rId10"/>
      <w:pgSz w:w="12240" w:h="15840"/>
      <w:pgMar w:top="0" w:right="720" w:bottom="0" w:left="0" w:header="0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15F4B" w14:textId="77777777" w:rsidR="007C5704" w:rsidRDefault="007C5704" w:rsidP="000C4D9E">
      <w:pPr>
        <w:spacing w:after="0" w:line="240" w:lineRule="auto"/>
      </w:pPr>
      <w:r>
        <w:separator/>
      </w:r>
    </w:p>
  </w:endnote>
  <w:endnote w:type="continuationSeparator" w:id="0">
    <w:p w14:paraId="553F244C" w14:textId="77777777" w:rsidR="007C5704" w:rsidRDefault="007C5704" w:rsidP="000C4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Slab 500">
    <w:altName w:val="Calibri"/>
    <w:panose1 w:val="00000000000000000000"/>
    <w:charset w:val="00"/>
    <w:family w:val="modern"/>
    <w:notTrueType/>
    <w:pitch w:val="variable"/>
    <w:sig w:usb0="A00000AF" w:usb1="40000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2A732" w14:textId="77777777" w:rsidR="00CE7F0E" w:rsidRDefault="00D327F3" w:rsidP="00CE7F0E">
    <w:pPr>
      <w:pStyle w:val="Footer"/>
      <w:ind w:left="432"/>
      <w:rPr>
        <w:rFonts w:ascii="Museo Slab 500" w:hAnsi="Museo Slab 500"/>
        <w:sz w:val="24"/>
        <w:szCs w:val="24"/>
      </w:rPr>
    </w:pPr>
    <w:r>
      <w:rPr>
        <w:rFonts w:ascii="Museo Slab 500" w:hAnsi="Museo Slab 500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997EC01" wp14:editId="24458CDA">
              <wp:simplePos x="0" y="0"/>
              <wp:positionH relativeFrom="column">
                <wp:posOffset>293298</wp:posOffset>
              </wp:positionH>
              <wp:positionV relativeFrom="paragraph">
                <wp:posOffset>76931</wp:posOffset>
              </wp:positionV>
              <wp:extent cx="7220310" cy="0"/>
              <wp:effectExtent l="0" t="0" r="19050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20310" cy="0"/>
                      </a:xfrm>
                      <a:prstGeom prst="line">
                        <a:avLst/>
                      </a:prstGeom>
                      <a:ln>
                        <a:solidFill>
                          <a:srgbClr val="00953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334BF88"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.1pt,6.05pt" to="591.6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" strokecolor="#00953a" strokeweight=".5pt">
              <v:stroke joinstyle="miter"/>
            </v:line>
          </w:pict>
        </mc:Fallback>
      </mc:AlternateContent>
    </w:r>
  </w:p>
  <w:p w14:paraId="5C751C54" w14:textId="77777777" w:rsidR="00CE7F0E" w:rsidRPr="0038683D" w:rsidRDefault="00CE7F0E" w:rsidP="00CE7F0E">
    <w:pPr>
      <w:pStyle w:val="Footer"/>
      <w:ind w:left="432"/>
      <w:rPr>
        <w:rFonts w:ascii="Museo Slab 500" w:hAnsi="Museo Slab 500"/>
        <w:color w:val="00953A"/>
        <w:sz w:val="24"/>
        <w:szCs w:val="24"/>
      </w:rPr>
    </w:pPr>
    <w:r w:rsidRPr="0038683D">
      <w:rPr>
        <w:rFonts w:ascii="Museo Slab 500" w:hAnsi="Museo Slab 500"/>
        <w:color w:val="00953A"/>
        <w:sz w:val="24"/>
        <w:szCs w:val="24"/>
      </w:rPr>
      <w:t>LEARN MORE</w:t>
    </w:r>
  </w:p>
  <w:p w14:paraId="5A6DA5A6" w14:textId="779F2EDD" w:rsidR="00FC183A" w:rsidRPr="00FC183A" w:rsidRDefault="007C5704" w:rsidP="00CE7F0E">
    <w:pPr>
      <w:pStyle w:val="Footer"/>
      <w:ind w:left="432"/>
      <w:rPr>
        <w:b/>
        <w:sz w:val="20"/>
        <w:szCs w:val="20"/>
      </w:rPr>
    </w:pPr>
    <w:hyperlink r:id="rId1" w:history="1">
      <w:r w:rsidR="00FC183A" w:rsidRPr="00FC183A">
        <w:rPr>
          <w:rStyle w:val="Hyperlink"/>
          <w:rFonts w:eastAsia="Times New Roman" w:cs="Times New Roman"/>
          <w:sz w:val="20"/>
          <w:szCs w:val="20"/>
        </w:rPr>
        <w:t>https://www.cde.state.co.us/cdefinance/milllevycorrection</w:t>
      </w:r>
    </w:hyperlink>
    <w:r w:rsidR="00FC183A" w:rsidRPr="00FC183A">
      <w:rPr>
        <w:rFonts w:eastAsia="Times New Roman" w:cs="Times New Roman"/>
        <w:sz w:val="20"/>
        <w:szCs w:val="20"/>
      </w:rPr>
      <w:t xml:space="preserve"> </w:t>
    </w:r>
    <w:r w:rsidR="00FC183A" w:rsidRPr="00FC183A">
      <w:rPr>
        <w:b/>
        <w:sz w:val="20"/>
        <w:szCs w:val="20"/>
      </w:rPr>
      <w:t xml:space="preserve">  </w:t>
    </w:r>
  </w:p>
  <w:p w14:paraId="6F63F727" w14:textId="6FA2FA6A" w:rsidR="00CE7F0E" w:rsidRPr="00CE7F0E" w:rsidRDefault="00CE7F0E" w:rsidP="00CE7F0E">
    <w:pPr>
      <w:pStyle w:val="Footer"/>
      <w:ind w:left="432"/>
      <w:rPr>
        <w:sz w:val="20"/>
        <w:szCs w:val="20"/>
      </w:rPr>
    </w:pPr>
    <w:r w:rsidRPr="00CE7F0E">
      <w:rPr>
        <w:b/>
        <w:sz w:val="20"/>
        <w:szCs w:val="20"/>
      </w:rPr>
      <w:t>View all CDE fact sheets:</w:t>
    </w:r>
    <w:r w:rsidRPr="00CE7F0E">
      <w:rPr>
        <w:sz w:val="20"/>
        <w:szCs w:val="20"/>
      </w:rPr>
      <w:t xml:space="preserve"> </w:t>
    </w:r>
    <w:hyperlink r:id="rId2" w:history="1">
      <w:r w:rsidR="0044476B" w:rsidRPr="002E0ED3">
        <w:rPr>
          <w:rStyle w:val="Hyperlink"/>
          <w:sz w:val="20"/>
          <w:szCs w:val="20"/>
        </w:rPr>
        <w:t>http://www.cde.state.co.us/communications/factsheetsandfaqs</w:t>
      </w:r>
    </w:hyperlink>
    <w:r w:rsidR="0044476B">
      <w:rPr>
        <w:sz w:val="20"/>
        <w:szCs w:val="20"/>
      </w:rPr>
      <w:t xml:space="preserve"> </w:t>
    </w:r>
  </w:p>
  <w:p w14:paraId="690D843C" w14:textId="77777777" w:rsidR="00CE7F0E" w:rsidRPr="00CE7F0E" w:rsidRDefault="00CE7F0E" w:rsidP="00CE7F0E">
    <w:pPr>
      <w:pStyle w:val="Footer"/>
      <w:ind w:left="432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7D4E3" w14:textId="77777777" w:rsidR="007C5704" w:rsidRDefault="007C5704" w:rsidP="000C4D9E">
      <w:pPr>
        <w:spacing w:after="0" w:line="240" w:lineRule="auto"/>
      </w:pPr>
      <w:r>
        <w:separator/>
      </w:r>
    </w:p>
  </w:footnote>
  <w:footnote w:type="continuationSeparator" w:id="0">
    <w:p w14:paraId="4B68D82F" w14:textId="77777777" w:rsidR="007C5704" w:rsidRDefault="007C5704" w:rsidP="000C4D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05E0D" w14:textId="77777777" w:rsidR="00DE489D" w:rsidRDefault="00AC2CBC">
    <w:r>
      <w:rPr>
        <w:noProof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46A93439" wp14:editId="6445403A">
              <wp:simplePos x="0" y="0"/>
              <wp:positionH relativeFrom="column">
                <wp:posOffset>394335</wp:posOffset>
              </wp:positionH>
              <wp:positionV relativeFrom="paragraph">
                <wp:posOffset>259080</wp:posOffset>
              </wp:positionV>
              <wp:extent cx="2360930" cy="1404620"/>
              <wp:effectExtent l="0" t="0" r="7620" b="571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530C08" w14:textId="77777777" w:rsidR="00FF011A" w:rsidRPr="00F85B29" w:rsidRDefault="00FF011A" w:rsidP="00FF011A">
                          <w:pPr>
                            <w:rPr>
                              <w:color w:val="00953A"/>
                              <w:sz w:val="18"/>
                              <w:szCs w:val="18"/>
                              <w14:textFill>
                                <w14:solidFill>
                                  <w14:srgbClr w14:val="00953A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00953A"/>
                              <w:sz w:val="18"/>
                              <w:szCs w:val="18"/>
                              <w14:textFill>
                                <w14:solidFill>
                                  <w14:srgbClr w14:val="00953A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DEFINE AUDIENCE IN THIS LINE OF TEXT OR DELETE</w:t>
                          </w:r>
                        </w:p>
                        <w:p w14:paraId="1B016AFF" w14:textId="77777777" w:rsidR="00DE489D" w:rsidRPr="00F85B29" w:rsidRDefault="00DE489D">
                          <w:pPr>
                            <w:rPr>
                              <w:color w:val="00953A"/>
                              <w:sz w:val="18"/>
                              <w:szCs w:val="18"/>
                              <w14:textFill>
                                <w14:solidFill>
                                  <w14:srgbClr w14:val="00953A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6A9343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.05pt;margin-top:20.4pt;width:185.9pt;height:110.6pt;z-index:25166745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" filled="f" stroked="f">
              <v:textbox style="mso-fit-shape-to-text:t" inset="0,0,0,0">
                <w:txbxContent>
                  <w:p w14:paraId="66530C08" w14:textId="77777777" w:rsidR="00FF011A" w:rsidRPr="00F85B29" w:rsidRDefault="00FF011A" w:rsidP="00FF011A">
                    <w:pPr>
                      <w:rPr>
                        <w:color w:val="00953A"/>
                        <w:sz w:val="18"/>
                        <w:szCs w:val="18"/>
                        <w14:textFill>
                          <w14:solidFill>
                            <w14:srgbClr w14:val="00953A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color w:val="00953A"/>
                        <w:sz w:val="18"/>
                        <w:szCs w:val="18"/>
                        <w14:textFill>
                          <w14:solidFill>
                            <w14:srgbClr w14:val="00953A">
                              <w14:alpha w14:val="50000"/>
                            </w14:srgbClr>
                          </w14:solidFill>
                        </w14:textFill>
                      </w:rPr>
                      <w:t>DEFINE AUDIENCE IN THIS LINE OF TEXT OR DELETE</w:t>
                    </w:r>
                  </w:p>
                  <w:p w14:paraId="1B016AFF" w14:textId="77777777" w:rsidR="00DE489D" w:rsidRPr="00F85B29" w:rsidRDefault="00DE489D">
                    <w:pPr>
                      <w:rPr>
                        <w:color w:val="00953A"/>
                        <w:sz w:val="18"/>
                        <w:szCs w:val="18"/>
                        <w14:textFill>
                          <w14:solidFill>
                            <w14:srgbClr w14:val="00953A">
                              <w14:alpha w14:val="50000"/>
                            </w14:srgbClr>
                          </w14:solidFill>
                        </w14:textFill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7DC4CEF8" w14:textId="77777777" w:rsidR="00DE489D" w:rsidRDefault="00DE489D"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FBDE2E3" wp14:editId="42B5F4EF">
              <wp:simplePos x="0" y="0"/>
              <wp:positionH relativeFrom="margin">
                <wp:align>left</wp:align>
              </wp:positionH>
              <wp:positionV relativeFrom="paragraph">
                <wp:posOffset>172085</wp:posOffset>
              </wp:positionV>
              <wp:extent cx="7781925" cy="904875"/>
              <wp:effectExtent l="0" t="0" r="9525" b="952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81925" cy="904875"/>
                      </a:xfrm>
                      <a:prstGeom prst="rect">
                        <a:avLst/>
                      </a:prstGeom>
                      <a:solidFill>
                        <a:srgbClr val="00953A">
                          <a:alpha val="49804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6">
                          <a:shade val="50000"/>
                        </a:schemeClr>
                      </a:lnRef>
                      <a:fillRef idx="1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12D9A47" id="Rectangle 1" o:spid="_x0000_s1026" style="position:absolute;margin-left:0;margin-top:13.55pt;width:612.75pt;height:71.25pt;z-index:251663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" fillcolor="#00953a" stroked="f" strokeweight="1pt">
              <v:fill opacity="32639f"/>
              <w10:wrap anchorx="margin"/>
            </v:rect>
          </w:pict>
        </mc:Fallback>
      </mc:AlternateContent>
    </w:r>
  </w:p>
  <w:p w14:paraId="0244ED6B" w14:textId="77777777" w:rsidR="00DE489D" w:rsidRDefault="00DE489D"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9823FD4" wp14:editId="74D77B09">
              <wp:simplePos x="0" y="0"/>
              <wp:positionH relativeFrom="column">
                <wp:posOffset>349250</wp:posOffset>
              </wp:positionH>
              <wp:positionV relativeFrom="paragraph">
                <wp:posOffset>171450</wp:posOffset>
              </wp:positionV>
              <wp:extent cx="5248275" cy="523875"/>
              <wp:effectExtent l="0" t="0" r="9525" b="952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48275" cy="5238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206368F" w14:textId="6817D0C7" w:rsidR="00DE489D" w:rsidRPr="000A1FB2" w:rsidRDefault="007D3321" w:rsidP="006F31BB">
                          <w:pPr>
                            <w:rPr>
                              <w:rFonts w:ascii="Museo Slab 500" w:hAnsi="Museo Slab 500"/>
                              <w:color w:val="FFFFFF" w:themeColor="background1"/>
                              <w:sz w:val="48"/>
                              <w:szCs w:val="48"/>
                            </w:rPr>
                          </w:pPr>
                          <w:r>
                            <w:rPr>
                              <w:rFonts w:ascii="Museo Slab 500" w:hAnsi="Museo Slab 500"/>
                              <w:color w:val="FFFFFF" w:themeColor="background1"/>
                              <w:sz w:val="48"/>
                              <w:szCs w:val="48"/>
                            </w:rPr>
                            <w:t xml:space="preserve">Mill Levy Correction </w:t>
                          </w:r>
                          <w:r w:rsidR="002D056C">
                            <w:rPr>
                              <w:rFonts w:ascii="Museo Slab 500" w:hAnsi="Museo Slab 500"/>
                              <w:color w:val="FFFFFF" w:themeColor="background1"/>
                              <w:sz w:val="48"/>
                              <w:szCs w:val="48"/>
                            </w:rPr>
                            <w:t>Drop-In Article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9823FD4" id="_x0000_s1027" type="#_x0000_t202" style="position:absolute;margin-left:27.5pt;margin-top:13.5pt;width:413.25pt;height:4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" filled="f" stroked="f" strokeweight=".5pt">
              <v:textbox inset="0,0,0,0">
                <w:txbxContent>
                  <w:p w14:paraId="6206368F" w14:textId="6817D0C7" w:rsidR="00DE489D" w:rsidRPr="000A1FB2" w:rsidRDefault="007D3321" w:rsidP="006F31BB">
                    <w:pPr>
                      <w:rPr>
                        <w:rFonts w:ascii="Museo Slab 500" w:hAnsi="Museo Slab 500"/>
                        <w:color w:val="FFFFFF" w:themeColor="background1"/>
                        <w:sz w:val="48"/>
                        <w:szCs w:val="48"/>
                      </w:rPr>
                    </w:pPr>
                    <w:r>
                      <w:rPr>
                        <w:rFonts w:ascii="Museo Slab 500" w:hAnsi="Museo Slab 500"/>
                        <w:color w:val="FFFFFF" w:themeColor="background1"/>
                        <w:sz w:val="48"/>
                        <w:szCs w:val="48"/>
                      </w:rPr>
                      <w:t xml:space="preserve">Mill Levy Correction </w:t>
                    </w:r>
                    <w:r w:rsidR="002D056C">
                      <w:rPr>
                        <w:rFonts w:ascii="Museo Slab 500" w:hAnsi="Museo Slab 500"/>
                        <w:color w:val="FFFFFF" w:themeColor="background1"/>
                        <w:sz w:val="48"/>
                        <w:szCs w:val="48"/>
                      </w:rPr>
                      <w:t>Drop-In Article</w:t>
                    </w:r>
                  </w:p>
                </w:txbxContent>
              </v:textbox>
            </v:shape>
          </w:pict>
        </mc:Fallback>
      </mc:AlternateContent>
    </w:r>
  </w:p>
  <w:p w14:paraId="2954D5F3" w14:textId="77777777" w:rsidR="006F31BB" w:rsidRDefault="006F31BB"/>
  <w:tbl>
    <w:tblPr>
      <w:tblW w:w="4481" w:type="pct"/>
      <w:tblInd w:w="1375" w:type="dxa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9882"/>
      <w:gridCol w:w="442"/>
    </w:tblGrid>
    <w:tr w:rsidR="006F31BB" w:rsidRPr="0025191F" w14:paraId="0DB2E843" w14:textId="77777777" w:rsidTr="00383682">
      <w:tc>
        <w:tcPr>
          <w:tcW w:w="4786" w:type="pct"/>
        </w:tcPr>
        <w:p w14:paraId="36A087F9" w14:textId="77777777" w:rsidR="006F31BB" w:rsidRPr="0030192B" w:rsidRDefault="006F31BB" w:rsidP="00383682">
          <w:pPr>
            <w:spacing w:line="276" w:lineRule="auto"/>
            <w:jc w:val="right"/>
            <w:rPr>
              <w:rFonts w:eastAsia="Cambria"/>
              <w:b/>
              <w:color w:val="385623" w:themeColor="accent6" w:themeShade="80"/>
            </w:rPr>
          </w:pPr>
        </w:p>
      </w:tc>
      <w:tc>
        <w:tcPr>
          <w:tcW w:w="214" w:type="pct"/>
        </w:tcPr>
        <w:p w14:paraId="478D2AE2" w14:textId="77777777" w:rsidR="006F31BB" w:rsidRPr="0030192B" w:rsidRDefault="006F31BB" w:rsidP="006F31BB">
          <w:pPr>
            <w:ind w:left="-486" w:right="-90" w:firstLine="486"/>
            <w:rPr>
              <w:rFonts w:eastAsia="Cambria"/>
              <w:b/>
              <w:color w:val="385623" w:themeColor="accent6" w:themeShade="80"/>
              <w:szCs w:val="20"/>
            </w:rPr>
          </w:pPr>
        </w:p>
      </w:tc>
    </w:tr>
  </w:tbl>
  <w:p w14:paraId="238502BF" w14:textId="77777777" w:rsidR="000C4D9E" w:rsidRDefault="000C4D9E" w:rsidP="00DE489D">
    <w:pPr>
      <w:pStyle w:val="Header"/>
    </w:pPr>
  </w:p>
  <w:p w14:paraId="40C719E6" w14:textId="77777777" w:rsidR="00AC2CBC" w:rsidRDefault="00AC2CBC" w:rsidP="00DE489D">
    <w:pPr>
      <w:pStyle w:val="Header"/>
    </w:pPr>
  </w:p>
  <w:p w14:paraId="31397575" w14:textId="77777777" w:rsidR="00AC2CBC" w:rsidRDefault="00AC2CBC" w:rsidP="00DE48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EB76C" w14:textId="77777777" w:rsidR="006F31BB" w:rsidRDefault="00717E5F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1B393A4D" wp14:editId="7D7E4ACD">
              <wp:simplePos x="0" y="0"/>
              <wp:positionH relativeFrom="column">
                <wp:posOffset>2133600</wp:posOffset>
              </wp:positionH>
              <wp:positionV relativeFrom="paragraph">
                <wp:posOffset>257175</wp:posOffset>
              </wp:positionV>
              <wp:extent cx="2842260" cy="1404620"/>
              <wp:effectExtent l="0" t="0" r="0" b="825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4226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3D8E8B3" w14:textId="77777777" w:rsidR="00FF011A" w:rsidRPr="00717E5F" w:rsidRDefault="00BA1ACA">
                          <w:pPr>
                            <w:rPr>
                              <w:b/>
                              <w:color w:val="00953A"/>
                              <w:sz w:val="20"/>
                              <w:szCs w:val="20"/>
                              <w14:textFill>
                                <w14:solidFill>
                                  <w14:srgbClr w14:val="00953A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 w:rsidRPr="00717E5F">
                            <w:rPr>
                              <w:b/>
                              <w:color w:val="00953A"/>
                              <w:sz w:val="20"/>
                              <w:szCs w:val="20"/>
                              <w14:textFill>
                                <w14:solidFill>
                                  <w14:srgbClr w14:val="00953A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A RESOURCE FOR EDUCATORS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B393A4D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68pt;margin-top:20.25pt;width:223.8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" filled="f" stroked="f">
              <v:textbox style="mso-fit-shape-to-text:t" inset="0,0,0,0">
                <w:txbxContent>
                  <w:p w14:paraId="63D8E8B3" w14:textId="77777777" w:rsidR="00FF011A" w:rsidRPr="00717E5F" w:rsidRDefault="00BA1ACA">
                    <w:pPr>
                      <w:rPr>
                        <w:b/>
                        <w:color w:val="00953A"/>
                        <w:sz w:val="20"/>
                        <w:szCs w:val="20"/>
                        <w14:textFill>
                          <w14:solidFill>
                            <w14:srgbClr w14:val="00953A">
                              <w14:alpha w14:val="50000"/>
                            </w14:srgbClr>
                          </w14:solidFill>
                        </w14:textFill>
                      </w:rPr>
                    </w:pPr>
                    <w:r w:rsidRPr="00717E5F">
                      <w:rPr>
                        <w:b/>
                        <w:color w:val="00953A"/>
                        <w:sz w:val="20"/>
                        <w:szCs w:val="20"/>
                        <w14:textFill>
                          <w14:solidFill>
                            <w14:srgbClr w14:val="00953A">
                              <w14:alpha w14:val="50000"/>
                            </w14:srgbClr>
                          </w14:solidFill>
                        </w14:textFill>
                      </w:rPr>
                      <w:t>A RESOURCE FOR EDUCATORS</w:t>
                    </w:r>
                  </w:p>
                </w:txbxContent>
              </v:textbox>
            </v:shape>
          </w:pict>
        </mc:Fallback>
      </mc:AlternateContent>
    </w:r>
    <w:r w:rsidR="001A3CDD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1088877" wp14:editId="6F682FF1">
              <wp:simplePos x="0" y="0"/>
              <wp:positionH relativeFrom="column">
                <wp:posOffset>2133600</wp:posOffset>
              </wp:positionH>
              <wp:positionV relativeFrom="paragraph">
                <wp:posOffset>600074</wp:posOffset>
              </wp:positionV>
              <wp:extent cx="5248275" cy="653415"/>
              <wp:effectExtent l="0" t="0" r="9525" b="13335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48275" cy="6534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FBAF787" w14:textId="1BB5ECFF" w:rsidR="006F31BB" w:rsidRPr="00717E5F" w:rsidRDefault="00585B01" w:rsidP="006F31BB">
                          <w:pPr>
                            <w:rPr>
                              <w:rFonts w:ascii="Museo Slab 500" w:hAnsi="Museo Slab 500"/>
                              <w:color w:val="FFFFFF" w:themeColor="background1"/>
                              <w:sz w:val="36"/>
                              <w:szCs w:val="48"/>
                            </w:rPr>
                          </w:pPr>
                          <w:r w:rsidRPr="00E82125">
                            <w:rPr>
                              <w:rFonts w:ascii="Museo Slab 500" w:hAnsi="Museo Slab 500"/>
                              <w:color w:val="FFFFFF" w:themeColor="background1"/>
                              <w:sz w:val="40"/>
                              <w:szCs w:val="40"/>
                            </w:rPr>
                            <w:t>M</w:t>
                          </w:r>
                          <w:r w:rsidR="00E82125">
                            <w:rPr>
                              <w:rFonts w:ascii="Museo Slab 500" w:hAnsi="Museo Slab 500"/>
                              <w:color w:val="FFFFFF" w:themeColor="background1"/>
                              <w:sz w:val="40"/>
                              <w:szCs w:val="40"/>
                            </w:rPr>
                            <w:t>ILL LEVY CORRECTION</w:t>
                          </w:r>
                          <w:r w:rsidR="00717E5F">
                            <w:rPr>
                              <w:rFonts w:ascii="Museo Slab 500" w:hAnsi="Museo Slab 500"/>
                              <w:color w:val="FFFFFF" w:themeColor="background1"/>
                              <w:sz w:val="36"/>
                              <w:szCs w:val="48"/>
                            </w:rPr>
                            <w:br/>
                          </w:r>
                          <w:r w:rsidR="00717E5F">
                            <w:rPr>
                              <w:rFonts w:ascii="Museo Slab 500" w:hAnsi="Museo Slab 500"/>
                              <w:color w:val="FFFFFF" w:themeColor="background1"/>
                              <w:sz w:val="48"/>
                              <w:szCs w:val="48"/>
                            </w:rPr>
                            <w:t>DROP-IN ARTICLE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1088877" id="Text Box 6" o:spid="_x0000_s1029" type="#_x0000_t202" style="position:absolute;margin-left:168pt;margin-top:47.25pt;width:413.25pt;height:51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" filled="f" stroked="f" strokeweight=".5pt">
              <v:textbox inset="0,0,0,0">
                <w:txbxContent>
                  <w:p w14:paraId="7FBAF787" w14:textId="1BB5ECFF" w:rsidR="006F31BB" w:rsidRPr="00717E5F" w:rsidRDefault="00585B01" w:rsidP="006F31BB">
                    <w:pPr>
                      <w:rPr>
                        <w:rFonts w:ascii="Museo Slab 500" w:hAnsi="Museo Slab 500"/>
                        <w:color w:val="FFFFFF" w:themeColor="background1"/>
                        <w:sz w:val="36"/>
                        <w:szCs w:val="48"/>
                      </w:rPr>
                    </w:pPr>
                    <w:r w:rsidRPr="00E82125">
                      <w:rPr>
                        <w:rFonts w:ascii="Museo Slab 500" w:hAnsi="Museo Slab 500"/>
                        <w:color w:val="FFFFFF" w:themeColor="background1"/>
                        <w:sz w:val="40"/>
                        <w:szCs w:val="40"/>
                      </w:rPr>
                      <w:t>M</w:t>
                    </w:r>
                    <w:r w:rsidR="00E82125">
                      <w:rPr>
                        <w:rFonts w:ascii="Museo Slab 500" w:hAnsi="Museo Slab 500"/>
                        <w:color w:val="FFFFFF" w:themeColor="background1"/>
                        <w:sz w:val="40"/>
                        <w:szCs w:val="40"/>
                      </w:rPr>
                      <w:t>ILL LEVY CORRECTION</w:t>
                    </w:r>
                    <w:r w:rsidR="00717E5F">
                      <w:rPr>
                        <w:rFonts w:ascii="Museo Slab 500" w:hAnsi="Museo Slab 500"/>
                        <w:color w:val="FFFFFF" w:themeColor="background1"/>
                        <w:sz w:val="36"/>
                        <w:szCs w:val="48"/>
                      </w:rPr>
                      <w:br/>
                    </w:r>
                    <w:r w:rsidR="00717E5F">
                      <w:rPr>
                        <w:rFonts w:ascii="Museo Slab 500" w:hAnsi="Museo Slab 500"/>
                        <w:color w:val="FFFFFF" w:themeColor="background1"/>
                        <w:sz w:val="48"/>
                        <w:szCs w:val="48"/>
                      </w:rPr>
                      <w:t>DROP-IN ARTICLE</w:t>
                    </w:r>
                  </w:p>
                </w:txbxContent>
              </v:textbox>
            </v:shape>
          </w:pict>
        </mc:Fallback>
      </mc:AlternateContent>
    </w:r>
    <w:r w:rsidR="006F31BB">
      <w:rPr>
        <w:noProof/>
      </w:rPr>
      <w:drawing>
        <wp:inline distT="0" distB="0" distL="0" distR="0" wp14:anchorId="0B04345A" wp14:editId="3B5927A7">
          <wp:extent cx="7772395" cy="1943098"/>
          <wp:effectExtent l="0" t="0" r="63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7-CDE-CommsToolHeader-Accountability@2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395" cy="19430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309EC"/>
    <w:multiLevelType w:val="hybridMultilevel"/>
    <w:tmpl w:val="86C6D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5324" w:allStyles="0" w:customStyles="0" w:latentStyles="1" w:stylesInUse="0" w:headingStyles="1" w:numberingStyles="0" w:tableStyles="0" w:directFormattingOnRuns="1" w:directFormattingOnParagraphs="1" w:directFormattingOnNumbering="0" w:directFormattingOnTables="0" w:clearFormatting="1" w:top3HeadingStyles="0" w:visibleStyles="1" w:alternateStyleNames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D9E"/>
    <w:rsid w:val="000356E8"/>
    <w:rsid w:val="00055B23"/>
    <w:rsid w:val="00074975"/>
    <w:rsid w:val="00096F51"/>
    <w:rsid w:val="000A1FB2"/>
    <w:rsid w:val="000B5960"/>
    <w:rsid w:val="000B63AF"/>
    <w:rsid w:val="000B6BD9"/>
    <w:rsid w:val="000C4D9E"/>
    <w:rsid w:val="000D579D"/>
    <w:rsid w:val="0010592C"/>
    <w:rsid w:val="0010798F"/>
    <w:rsid w:val="001354F3"/>
    <w:rsid w:val="00170201"/>
    <w:rsid w:val="00181690"/>
    <w:rsid w:val="001A3CDD"/>
    <w:rsid w:val="001A43E1"/>
    <w:rsid w:val="00207BA6"/>
    <w:rsid w:val="00234A69"/>
    <w:rsid w:val="002812BA"/>
    <w:rsid w:val="00283486"/>
    <w:rsid w:val="002B528E"/>
    <w:rsid w:val="002C6930"/>
    <w:rsid w:val="002D056C"/>
    <w:rsid w:val="002D2755"/>
    <w:rsid w:val="002E15A4"/>
    <w:rsid w:val="00357EC7"/>
    <w:rsid w:val="00381C07"/>
    <w:rsid w:val="00383682"/>
    <w:rsid w:val="0038683D"/>
    <w:rsid w:val="00397204"/>
    <w:rsid w:val="003B03C7"/>
    <w:rsid w:val="003C1276"/>
    <w:rsid w:val="003F4BBD"/>
    <w:rsid w:val="00441C3B"/>
    <w:rsid w:val="0044476B"/>
    <w:rsid w:val="00444E40"/>
    <w:rsid w:val="00480024"/>
    <w:rsid w:val="00492D39"/>
    <w:rsid w:val="004B67FB"/>
    <w:rsid w:val="004C1B67"/>
    <w:rsid w:val="004D432B"/>
    <w:rsid w:val="0056114A"/>
    <w:rsid w:val="005627F7"/>
    <w:rsid w:val="00565565"/>
    <w:rsid w:val="005859B1"/>
    <w:rsid w:val="00585B01"/>
    <w:rsid w:val="005E7428"/>
    <w:rsid w:val="00611473"/>
    <w:rsid w:val="00632CC9"/>
    <w:rsid w:val="0064366E"/>
    <w:rsid w:val="006B5F33"/>
    <w:rsid w:val="006B7D91"/>
    <w:rsid w:val="006E4608"/>
    <w:rsid w:val="006F08FA"/>
    <w:rsid w:val="006F31BB"/>
    <w:rsid w:val="007060D5"/>
    <w:rsid w:val="007123CB"/>
    <w:rsid w:val="00717E5F"/>
    <w:rsid w:val="00742341"/>
    <w:rsid w:val="00770B6E"/>
    <w:rsid w:val="007B4A34"/>
    <w:rsid w:val="007C5704"/>
    <w:rsid w:val="007D3321"/>
    <w:rsid w:val="007D5439"/>
    <w:rsid w:val="008750F9"/>
    <w:rsid w:val="008C5211"/>
    <w:rsid w:val="00901F3C"/>
    <w:rsid w:val="009027C2"/>
    <w:rsid w:val="00984630"/>
    <w:rsid w:val="009A03B8"/>
    <w:rsid w:val="009C19F1"/>
    <w:rsid w:val="009D3DFC"/>
    <w:rsid w:val="009F6CBB"/>
    <w:rsid w:val="00A0440F"/>
    <w:rsid w:val="00A04B99"/>
    <w:rsid w:val="00A11F1C"/>
    <w:rsid w:val="00AA1CAB"/>
    <w:rsid w:val="00AB356A"/>
    <w:rsid w:val="00AC2CBC"/>
    <w:rsid w:val="00AE679B"/>
    <w:rsid w:val="00AF34D7"/>
    <w:rsid w:val="00B03B06"/>
    <w:rsid w:val="00B3341C"/>
    <w:rsid w:val="00B54333"/>
    <w:rsid w:val="00B558E1"/>
    <w:rsid w:val="00B74D85"/>
    <w:rsid w:val="00B8016E"/>
    <w:rsid w:val="00B96633"/>
    <w:rsid w:val="00BA1ACA"/>
    <w:rsid w:val="00BD65BB"/>
    <w:rsid w:val="00C033EF"/>
    <w:rsid w:val="00C5496A"/>
    <w:rsid w:val="00C563A2"/>
    <w:rsid w:val="00C841F1"/>
    <w:rsid w:val="00C8752F"/>
    <w:rsid w:val="00CB2421"/>
    <w:rsid w:val="00CD7698"/>
    <w:rsid w:val="00CE7F0E"/>
    <w:rsid w:val="00D200EA"/>
    <w:rsid w:val="00D310C1"/>
    <w:rsid w:val="00D327F3"/>
    <w:rsid w:val="00D42360"/>
    <w:rsid w:val="00DE489D"/>
    <w:rsid w:val="00E0338D"/>
    <w:rsid w:val="00E82125"/>
    <w:rsid w:val="00E835E5"/>
    <w:rsid w:val="00EA1228"/>
    <w:rsid w:val="00EA2256"/>
    <w:rsid w:val="00EB17F5"/>
    <w:rsid w:val="00EB4957"/>
    <w:rsid w:val="00EE4325"/>
    <w:rsid w:val="00F64110"/>
    <w:rsid w:val="00F85B29"/>
    <w:rsid w:val="00F90109"/>
    <w:rsid w:val="00FC183A"/>
    <w:rsid w:val="00FD4100"/>
    <w:rsid w:val="00FF011A"/>
    <w:rsid w:val="00FF2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9DD024"/>
  <w15:docId w15:val="{5300DC3E-3C38-4A23-B164-1AFD0B0D2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7204"/>
  </w:style>
  <w:style w:type="paragraph" w:styleId="Heading2">
    <w:name w:val="heading 2"/>
    <w:basedOn w:val="Normal"/>
    <w:link w:val="Heading2Char"/>
    <w:uiPriority w:val="9"/>
    <w:qFormat/>
    <w:rsid w:val="00F901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4D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4D9E"/>
  </w:style>
  <w:style w:type="paragraph" w:styleId="Footer">
    <w:name w:val="footer"/>
    <w:basedOn w:val="Normal"/>
    <w:link w:val="FooterChar"/>
    <w:uiPriority w:val="99"/>
    <w:unhideWhenUsed/>
    <w:rsid w:val="000C4D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4D9E"/>
  </w:style>
  <w:style w:type="paragraph" w:styleId="BalloonText">
    <w:name w:val="Balloon Text"/>
    <w:basedOn w:val="Normal"/>
    <w:link w:val="BalloonTextChar"/>
    <w:uiPriority w:val="99"/>
    <w:semiHidden/>
    <w:unhideWhenUsed/>
    <w:rsid w:val="00A04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B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3682"/>
    <w:pPr>
      <w:spacing w:after="0" w:line="240" w:lineRule="auto"/>
      <w:ind w:left="720"/>
      <w:contextualSpacing/>
    </w:pPr>
    <w:rPr>
      <w:rFonts w:ascii="Calibri" w:eastAsiaTheme="minorEastAsia" w:hAnsi="Calibri"/>
      <w:szCs w:val="24"/>
    </w:rPr>
  </w:style>
  <w:style w:type="character" w:styleId="Hyperlink">
    <w:name w:val="Hyperlink"/>
    <w:basedOn w:val="DefaultParagraphFont"/>
    <w:rsid w:val="00BA1AC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B35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35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35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35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356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70201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3F4BB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4476B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F9010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F90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EA2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7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de.state.co.us/communications/factsheetsandfaqs" TargetMode="External"/><Relationship Id="rId1" Type="http://schemas.openxmlformats.org/officeDocument/2006/relationships/hyperlink" Target="https://www.cde.state.co.us/cdefinance/milllevycorrection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B8CDA6-74D6-4E97-B57B-AD9AE0FC5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726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SUBHEAD</vt:lpstr>
    </vt:vector>
  </TitlesOfParts>
  <Company>CDE</Company>
  <LinksUpToDate>false</LinksUpToDate>
  <CharactersWithSpaces>4858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SUBHEAD</dc:title>
  <dc:creator>k g</dc:creator>
  <cp:lastModifiedBy>Bartlett, Kate</cp:lastModifiedBy>
  <cp:revision>10</cp:revision>
  <cp:lastPrinted>2021-10-12T18:24:00Z</cp:lastPrinted>
  <dcterms:created xsi:type="dcterms:W3CDTF">2021-09-12T20:46:00Z</dcterms:created>
  <dcterms:modified xsi:type="dcterms:W3CDTF">2021-10-25T20:40:00Z</dcterms:modified>
</cp:coreProperties>
</file>