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C4" w:rsidRDefault="001763C4" w:rsidP="007F78FD">
      <w:pPr>
        <w:jc w:val="center"/>
        <w:rPr>
          <w:b/>
        </w:rPr>
      </w:pPr>
      <w:bookmarkStart w:id="0" w:name="_GoBack"/>
      <w:bookmarkEnd w:id="0"/>
      <w:r>
        <w:rPr>
          <w:b/>
          <w:noProof/>
        </w:rPr>
        <w:drawing>
          <wp:inline distT="0" distB="0" distL="0" distR="0">
            <wp:extent cx="2325629" cy="697993"/>
            <wp:effectExtent l="19050" t="0" r="0" b="0"/>
            <wp:docPr id="4" name="Picture 3" descr="CDE_Logo_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_Logo_Center.png"/>
                    <pic:cNvPicPr/>
                  </pic:nvPicPr>
                  <pic:blipFill>
                    <a:blip r:embed="rId8" cstate="print"/>
                    <a:stretch>
                      <a:fillRect/>
                    </a:stretch>
                  </pic:blipFill>
                  <pic:spPr>
                    <a:xfrm>
                      <a:off x="0" y="0"/>
                      <a:ext cx="2325629" cy="697993"/>
                    </a:xfrm>
                    <a:prstGeom prst="rect">
                      <a:avLst/>
                    </a:prstGeom>
                  </pic:spPr>
                </pic:pic>
              </a:graphicData>
            </a:graphic>
          </wp:inline>
        </w:drawing>
      </w:r>
    </w:p>
    <w:p w:rsidR="001763C4" w:rsidRDefault="001763C4" w:rsidP="007F78FD">
      <w:pPr>
        <w:jc w:val="center"/>
        <w:rPr>
          <w:b/>
        </w:rPr>
      </w:pPr>
    </w:p>
    <w:p w:rsidR="007F78FD" w:rsidRPr="001763C4" w:rsidRDefault="007F78FD" w:rsidP="007F78FD">
      <w:pPr>
        <w:jc w:val="center"/>
        <w:rPr>
          <w:rFonts w:asciiTheme="minorHAnsi" w:hAnsiTheme="minorHAnsi"/>
          <w:b/>
          <w:sz w:val="22"/>
          <w:szCs w:val="22"/>
        </w:rPr>
      </w:pPr>
      <w:r w:rsidRPr="001763C4">
        <w:rPr>
          <w:rFonts w:asciiTheme="minorHAnsi" w:hAnsiTheme="minorHAnsi"/>
          <w:b/>
          <w:sz w:val="22"/>
          <w:szCs w:val="22"/>
        </w:rPr>
        <w:t>Public School Finance Unit</w:t>
      </w:r>
    </w:p>
    <w:p w:rsidR="00F551BD" w:rsidRPr="001763C4" w:rsidRDefault="00F551BD" w:rsidP="007F78FD">
      <w:pPr>
        <w:jc w:val="center"/>
        <w:rPr>
          <w:rFonts w:asciiTheme="minorHAnsi" w:hAnsiTheme="minorHAnsi"/>
          <w:sz w:val="22"/>
          <w:szCs w:val="22"/>
        </w:rPr>
      </w:pPr>
    </w:p>
    <w:p w:rsidR="00F551BD" w:rsidRPr="00EE1DCA" w:rsidRDefault="00430153" w:rsidP="007F78FD">
      <w:pPr>
        <w:jc w:val="center"/>
        <w:rPr>
          <w:rFonts w:asciiTheme="minorHAnsi" w:hAnsiTheme="minorHAnsi"/>
          <w:b/>
          <w:sz w:val="32"/>
          <w:szCs w:val="22"/>
        </w:rPr>
      </w:pPr>
      <w:r w:rsidRPr="00EE1DCA">
        <w:rPr>
          <w:rFonts w:asciiTheme="minorHAnsi" w:hAnsiTheme="minorHAnsi"/>
          <w:b/>
          <w:sz w:val="32"/>
          <w:szCs w:val="22"/>
        </w:rPr>
        <w:t>Summary</w:t>
      </w:r>
      <w:r w:rsidR="00E32934" w:rsidRPr="00EE1DCA">
        <w:rPr>
          <w:rFonts w:asciiTheme="minorHAnsi" w:hAnsiTheme="minorHAnsi"/>
          <w:b/>
          <w:sz w:val="32"/>
          <w:szCs w:val="22"/>
        </w:rPr>
        <w:t xml:space="preserve"> </w:t>
      </w:r>
      <w:r w:rsidR="002816E8" w:rsidRPr="00EE1DCA">
        <w:rPr>
          <w:rFonts w:asciiTheme="minorHAnsi" w:hAnsiTheme="minorHAnsi"/>
          <w:b/>
          <w:sz w:val="32"/>
          <w:szCs w:val="22"/>
        </w:rPr>
        <w:t>13-260</w:t>
      </w:r>
      <w:r w:rsidR="00EE1DCA">
        <w:rPr>
          <w:rFonts w:asciiTheme="minorHAnsi" w:hAnsiTheme="minorHAnsi"/>
          <w:b/>
          <w:sz w:val="32"/>
          <w:szCs w:val="22"/>
        </w:rPr>
        <w:t xml:space="preserve"> – School Finance “Classic”</w:t>
      </w:r>
      <w:r w:rsidR="00EE1DCA">
        <w:rPr>
          <w:rFonts w:asciiTheme="minorHAnsi" w:hAnsiTheme="minorHAnsi"/>
          <w:b/>
          <w:sz w:val="32"/>
          <w:szCs w:val="22"/>
        </w:rPr>
        <w:br/>
      </w:r>
    </w:p>
    <w:p w:rsidR="00CB4078" w:rsidRPr="001763C4" w:rsidRDefault="00E32934" w:rsidP="007F78FD">
      <w:pPr>
        <w:jc w:val="center"/>
        <w:rPr>
          <w:rFonts w:asciiTheme="minorHAnsi" w:hAnsiTheme="minorHAnsi"/>
          <w:b/>
          <w:sz w:val="22"/>
          <w:szCs w:val="22"/>
        </w:rPr>
      </w:pPr>
      <w:r w:rsidRPr="001763C4">
        <w:rPr>
          <w:rFonts w:asciiTheme="minorHAnsi" w:hAnsiTheme="minorHAnsi"/>
          <w:b/>
          <w:sz w:val="22"/>
          <w:szCs w:val="22"/>
        </w:rPr>
        <w:t xml:space="preserve">Introduced </w:t>
      </w:r>
      <w:r w:rsidR="001C6C63" w:rsidRPr="001763C4">
        <w:rPr>
          <w:rFonts w:asciiTheme="minorHAnsi" w:hAnsiTheme="minorHAnsi"/>
          <w:b/>
          <w:sz w:val="22"/>
          <w:szCs w:val="22"/>
        </w:rPr>
        <w:t>April 9, 2013</w:t>
      </w:r>
    </w:p>
    <w:p w:rsidR="00B11B77" w:rsidRDefault="00B11B77" w:rsidP="007F78FD">
      <w:pPr>
        <w:jc w:val="center"/>
        <w:rPr>
          <w:rFonts w:asciiTheme="minorHAnsi" w:hAnsiTheme="minorHAnsi"/>
          <w:b/>
          <w:color w:val="FF0000"/>
          <w:sz w:val="22"/>
          <w:szCs w:val="22"/>
        </w:rPr>
      </w:pPr>
      <w:r w:rsidRPr="001763C4">
        <w:rPr>
          <w:rFonts w:asciiTheme="minorHAnsi" w:hAnsiTheme="minorHAnsi"/>
          <w:b/>
          <w:color w:val="FF0000"/>
          <w:sz w:val="22"/>
          <w:szCs w:val="22"/>
        </w:rPr>
        <w:t>Amended in Senate Education Committee – April 11, 2013</w:t>
      </w:r>
    </w:p>
    <w:p w:rsidR="0087047E" w:rsidRDefault="0087047E" w:rsidP="007F78FD">
      <w:pPr>
        <w:jc w:val="center"/>
        <w:rPr>
          <w:rFonts w:asciiTheme="minorHAnsi" w:hAnsiTheme="minorHAnsi"/>
          <w:b/>
          <w:color w:val="203C73"/>
          <w:sz w:val="22"/>
          <w:szCs w:val="22"/>
        </w:rPr>
      </w:pPr>
      <w:r>
        <w:rPr>
          <w:rFonts w:asciiTheme="minorHAnsi" w:hAnsiTheme="minorHAnsi"/>
          <w:b/>
          <w:color w:val="203C73"/>
          <w:sz w:val="22"/>
          <w:szCs w:val="22"/>
        </w:rPr>
        <w:t>Amended on Senate Floor–Second Reading and Adopted on Third Reading – April 18 &amp; 19, 2013</w:t>
      </w:r>
    </w:p>
    <w:p w:rsidR="0053603B" w:rsidRDefault="0053603B" w:rsidP="007F78FD">
      <w:pPr>
        <w:jc w:val="center"/>
        <w:rPr>
          <w:rFonts w:asciiTheme="minorHAnsi" w:hAnsiTheme="minorHAnsi"/>
          <w:b/>
          <w:color w:val="7030A0"/>
          <w:sz w:val="22"/>
          <w:szCs w:val="22"/>
        </w:rPr>
      </w:pPr>
      <w:r>
        <w:rPr>
          <w:rFonts w:asciiTheme="minorHAnsi" w:hAnsiTheme="minorHAnsi"/>
          <w:b/>
          <w:color w:val="7030A0"/>
          <w:sz w:val="22"/>
          <w:szCs w:val="22"/>
        </w:rPr>
        <w:t>Amended in House 2</w:t>
      </w:r>
      <w:r w:rsidRPr="0053603B">
        <w:rPr>
          <w:rFonts w:asciiTheme="minorHAnsi" w:hAnsiTheme="minorHAnsi"/>
          <w:b/>
          <w:color w:val="7030A0"/>
          <w:sz w:val="22"/>
          <w:szCs w:val="22"/>
          <w:vertAlign w:val="superscript"/>
        </w:rPr>
        <w:t>nd</w:t>
      </w:r>
      <w:r>
        <w:rPr>
          <w:rFonts w:asciiTheme="minorHAnsi" w:hAnsiTheme="minorHAnsi"/>
          <w:b/>
          <w:color w:val="7030A0"/>
          <w:sz w:val="22"/>
          <w:szCs w:val="22"/>
        </w:rPr>
        <w:t xml:space="preserve"> Reading and Adopted on Third Reading – Senate Concurred – April 29 – May 1, 2013</w:t>
      </w:r>
    </w:p>
    <w:p w:rsidR="00CB4078" w:rsidRPr="001763C4" w:rsidRDefault="00CB4078" w:rsidP="0053603B">
      <w:pPr>
        <w:tabs>
          <w:tab w:val="left" w:pos="90"/>
        </w:tabs>
        <w:ind w:left="-180"/>
        <w:rPr>
          <w:rFonts w:asciiTheme="minorHAnsi" w:hAnsiTheme="minorHAnsi"/>
          <w:b/>
          <w:sz w:val="22"/>
          <w:szCs w:val="22"/>
        </w:rPr>
      </w:pPr>
    </w:p>
    <w:p w:rsidR="007F78FD" w:rsidRPr="001763C4" w:rsidRDefault="007F78FD" w:rsidP="007F78FD">
      <w:pPr>
        <w:jc w:val="center"/>
        <w:rPr>
          <w:rFonts w:asciiTheme="minorHAnsi" w:hAnsiTheme="minorHAnsi"/>
          <w:b/>
          <w:sz w:val="22"/>
          <w:szCs w:val="22"/>
        </w:rPr>
      </w:pPr>
      <w:r w:rsidRPr="001763C4">
        <w:rPr>
          <w:rFonts w:asciiTheme="minorHAnsi" w:hAnsiTheme="minorHAnsi"/>
          <w:b/>
          <w:sz w:val="22"/>
          <w:szCs w:val="22"/>
        </w:rPr>
        <w:t>CONCERNING THE FINANCING OF PUBLIC SCHOOLS</w:t>
      </w:r>
    </w:p>
    <w:p w:rsidR="007F78FD" w:rsidRPr="001763C4" w:rsidRDefault="007F78FD" w:rsidP="007F78FD">
      <w:pPr>
        <w:jc w:val="center"/>
        <w:rPr>
          <w:rFonts w:asciiTheme="minorHAnsi" w:hAnsiTheme="minorHAnsi"/>
          <w:sz w:val="22"/>
          <w:szCs w:val="22"/>
        </w:rPr>
      </w:pPr>
      <w:r w:rsidRPr="001763C4">
        <w:rPr>
          <w:rFonts w:asciiTheme="minorHAnsi" w:hAnsiTheme="minorHAnsi"/>
          <w:sz w:val="22"/>
          <w:szCs w:val="22"/>
        </w:rPr>
        <w:t>(By summarizing the language in the bill, this does not alter the statutory language nor should it be considered legal advice in any way.  For detailed language, please see the applicable section within the bill.)</w:t>
      </w:r>
    </w:p>
    <w:p w:rsidR="007F78FD" w:rsidRPr="001763C4" w:rsidRDefault="007F78FD" w:rsidP="007F78FD">
      <w:pPr>
        <w:jc w:val="center"/>
        <w:rPr>
          <w:rFonts w:asciiTheme="minorHAnsi" w:hAnsiTheme="minorHAnsi"/>
          <w:sz w:val="22"/>
          <w:szCs w:val="22"/>
        </w:rPr>
      </w:pPr>
    </w:p>
    <w:p w:rsidR="007F78FD" w:rsidRPr="001763C4" w:rsidRDefault="007F78FD" w:rsidP="007F78FD">
      <w:pPr>
        <w:rPr>
          <w:rFonts w:asciiTheme="minorHAnsi" w:hAnsiTheme="minorHAnsi"/>
          <w:b/>
          <w:sz w:val="22"/>
          <w:szCs w:val="22"/>
        </w:rPr>
      </w:pPr>
      <w:r w:rsidRPr="001763C4">
        <w:rPr>
          <w:rFonts w:asciiTheme="minorHAnsi" w:hAnsiTheme="minorHAnsi"/>
          <w:b/>
          <w:sz w:val="22"/>
          <w:szCs w:val="22"/>
        </w:rPr>
        <w:t>ISSUE—FINANCE FORMULA</w:t>
      </w:r>
    </w:p>
    <w:p w:rsidR="007F78FD" w:rsidRPr="001763C4" w:rsidRDefault="00BE2E3C" w:rsidP="007F78FD">
      <w:pPr>
        <w:rPr>
          <w:rFonts w:asciiTheme="minorHAnsi" w:hAnsiTheme="minorHAnsi"/>
          <w:b/>
          <w:sz w:val="22"/>
          <w:szCs w:val="22"/>
        </w:rPr>
      </w:pPr>
      <w:r w:rsidRPr="001763C4">
        <w:rPr>
          <w:rFonts w:asciiTheme="minorHAnsi" w:hAnsiTheme="minorHAnsi"/>
          <w:b/>
          <w:sz w:val="22"/>
          <w:szCs w:val="22"/>
        </w:rPr>
        <w:t>Section</w:t>
      </w:r>
      <w:r w:rsidR="009601C8" w:rsidRPr="001763C4">
        <w:rPr>
          <w:rFonts w:asciiTheme="minorHAnsi" w:hAnsiTheme="minorHAnsi"/>
          <w:b/>
          <w:sz w:val="22"/>
          <w:szCs w:val="22"/>
        </w:rPr>
        <w:t>s</w:t>
      </w:r>
      <w:r w:rsidRPr="001763C4">
        <w:rPr>
          <w:rFonts w:asciiTheme="minorHAnsi" w:hAnsiTheme="minorHAnsi"/>
          <w:b/>
          <w:sz w:val="22"/>
          <w:szCs w:val="22"/>
        </w:rPr>
        <w:t xml:space="preserve"> 1</w:t>
      </w:r>
      <w:r w:rsidR="009601C8" w:rsidRPr="001763C4">
        <w:rPr>
          <w:rFonts w:asciiTheme="minorHAnsi" w:hAnsiTheme="minorHAnsi"/>
          <w:b/>
          <w:sz w:val="22"/>
          <w:szCs w:val="22"/>
        </w:rPr>
        <w:t xml:space="preserve"> &amp; 3</w:t>
      </w:r>
    </w:p>
    <w:p w:rsidR="0069349A" w:rsidRPr="001763C4" w:rsidRDefault="0069349A" w:rsidP="007F78FD">
      <w:pPr>
        <w:rPr>
          <w:rFonts w:asciiTheme="minorHAnsi" w:hAnsiTheme="minorHAnsi"/>
          <w:sz w:val="22"/>
          <w:szCs w:val="22"/>
        </w:rPr>
      </w:pPr>
    </w:p>
    <w:p w:rsidR="0069349A" w:rsidRPr="001763C4" w:rsidRDefault="0069349A" w:rsidP="0069349A">
      <w:pPr>
        <w:rPr>
          <w:rFonts w:asciiTheme="minorHAnsi" w:hAnsiTheme="minorHAnsi"/>
          <w:sz w:val="22"/>
          <w:szCs w:val="22"/>
        </w:rPr>
      </w:pPr>
      <w:r w:rsidRPr="001763C4">
        <w:rPr>
          <w:rFonts w:asciiTheme="minorHAnsi" w:hAnsiTheme="minorHAnsi"/>
          <w:sz w:val="22"/>
          <w:szCs w:val="22"/>
        </w:rPr>
        <w:t xml:space="preserve">Calculates statewide base per pupil funding to add for inflation </w:t>
      </w:r>
      <w:r w:rsidR="001C6C63" w:rsidRPr="001763C4">
        <w:rPr>
          <w:rFonts w:asciiTheme="minorHAnsi" w:hAnsiTheme="minorHAnsi"/>
          <w:sz w:val="22"/>
          <w:szCs w:val="22"/>
        </w:rPr>
        <w:t>of 1.9</w:t>
      </w:r>
      <w:r w:rsidRPr="001763C4">
        <w:rPr>
          <w:rFonts w:asciiTheme="minorHAnsi" w:hAnsiTheme="minorHAnsi"/>
          <w:sz w:val="22"/>
          <w:szCs w:val="22"/>
        </w:rPr>
        <w:t>%</w:t>
      </w:r>
    </w:p>
    <w:p w:rsidR="0069349A" w:rsidRPr="001763C4" w:rsidRDefault="0069349A" w:rsidP="0069349A">
      <w:pPr>
        <w:rPr>
          <w:rFonts w:asciiTheme="minorHAnsi" w:hAnsiTheme="minorHAnsi"/>
          <w:sz w:val="22"/>
          <w:szCs w:val="22"/>
        </w:rPr>
      </w:pPr>
    </w:p>
    <w:tbl>
      <w:tblPr>
        <w:tblStyle w:val="TableGrid"/>
        <w:tblW w:w="0" w:type="auto"/>
        <w:jc w:val="center"/>
        <w:tblInd w:w="1098" w:type="dxa"/>
        <w:tblLook w:val="04A0" w:firstRow="1" w:lastRow="0" w:firstColumn="1" w:lastColumn="0" w:noHBand="0" w:noVBand="1"/>
      </w:tblPr>
      <w:tblGrid>
        <w:gridCol w:w="3600"/>
        <w:gridCol w:w="2160"/>
      </w:tblGrid>
      <w:tr w:rsidR="0069349A" w:rsidRPr="001763C4" w:rsidTr="0053603B">
        <w:trPr>
          <w:jc w:val="center"/>
        </w:trPr>
        <w:tc>
          <w:tcPr>
            <w:tcW w:w="3600" w:type="dxa"/>
          </w:tcPr>
          <w:p w:rsidR="0069349A" w:rsidRPr="001763C4" w:rsidRDefault="0069349A" w:rsidP="0069349A">
            <w:pPr>
              <w:rPr>
                <w:rFonts w:asciiTheme="minorHAnsi" w:hAnsiTheme="minorHAnsi"/>
                <w:sz w:val="22"/>
                <w:szCs w:val="22"/>
              </w:rPr>
            </w:pPr>
            <w:r w:rsidRPr="001763C4">
              <w:rPr>
                <w:rFonts w:asciiTheme="minorHAnsi" w:hAnsiTheme="minorHAnsi"/>
                <w:sz w:val="22"/>
                <w:szCs w:val="22"/>
              </w:rPr>
              <w:t>Base per pupil funding – 201</w:t>
            </w:r>
            <w:r w:rsidR="001C6C63" w:rsidRPr="001763C4">
              <w:rPr>
                <w:rFonts w:asciiTheme="minorHAnsi" w:hAnsiTheme="minorHAnsi"/>
                <w:sz w:val="22"/>
                <w:szCs w:val="22"/>
              </w:rPr>
              <w:t>2-13</w:t>
            </w:r>
          </w:p>
        </w:tc>
        <w:tc>
          <w:tcPr>
            <w:tcW w:w="2160" w:type="dxa"/>
          </w:tcPr>
          <w:p w:rsidR="0069349A" w:rsidRPr="001763C4" w:rsidRDefault="0069349A" w:rsidP="0069349A">
            <w:pPr>
              <w:jc w:val="right"/>
              <w:rPr>
                <w:rFonts w:asciiTheme="minorHAnsi" w:hAnsiTheme="minorHAnsi"/>
                <w:sz w:val="22"/>
                <w:szCs w:val="22"/>
              </w:rPr>
            </w:pPr>
            <w:r w:rsidRPr="001763C4">
              <w:rPr>
                <w:rFonts w:asciiTheme="minorHAnsi" w:hAnsiTheme="minorHAnsi"/>
                <w:sz w:val="22"/>
                <w:szCs w:val="22"/>
              </w:rPr>
              <w:t>$5,</w:t>
            </w:r>
            <w:r w:rsidR="001C6C63" w:rsidRPr="001763C4">
              <w:rPr>
                <w:rFonts w:asciiTheme="minorHAnsi" w:hAnsiTheme="minorHAnsi"/>
                <w:sz w:val="22"/>
                <w:szCs w:val="22"/>
              </w:rPr>
              <w:t>843.26</w:t>
            </w:r>
          </w:p>
        </w:tc>
      </w:tr>
      <w:tr w:rsidR="0069349A" w:rsidRPr="001763C4" w:rsidTr="0053603B">
        <w:trPr>
          <w:jc w:val="center"/>
        </w:trPr>
        <w:tc>
          <w:tcPr>
            <w:tcW w:w="3600" w:type="dxa"/>
          </w:tcPr>
          <w:p w:rsidR="0069349A" w:rsidRPr="001763C4" w:rsidRDefault="001C6C63" w:rsidP="0069349A">
            <w:pPr>
              <w:rPr>
                <w:rFonts w:asciiTheme="minorHAnsi" w:hAnsiTheme="minorHAnsi"/>
                <w:sz w:val="22"/>
                <w:szCs w:val="22"/>
              </w:rPr>
            </w:pPr>
            <w:r w:rsidRPr="001763C4">
              <w:rPr>
                <w:rFonts w:asciiTheme="minorHAnsi" w:hAnsiTheme="minorHAnsi"/>
                <w:sz w:val="22"/>
                <w:szCs w:val="22"/>
              </w:rPr>
              <w:t>Add 1.9</w:t>
            </w:r>
            <w:r w:rsidR="0069349A" w:rsidRPr="001763C4">
              <w:rPr>
                <w:rFonts w:asciiTheme="minorHAnsi" w:hAnsiTheme="minorHAnsi"/>
                <w:sz w:val="22"/>
                <w:szCs w:val="22"/>
              </w:rPr>
              <w:t>% inflation</w:t>
            </w:r>
          </w:p>
        </w:tc>
        <w:tc>
          <w:tcPr>
            <w:tcW w:w="2160" w:type="dxa"/>
          </w:tcPr>
          <w:p w:rsidR="0069349A" w:rsidRPr="001763C4" w:rsidRDefault="0069349A" w:rsidP="0069349A">
            <w:pPr>
              <w:jc w:val="right"/>
              <w:rPr>
                <w:rFonts w:asciiTheme="minorHAnsi" w:hAnsiTheme="minorHAnsi"/>
                <w:sz w:val="22"/>
                <w:szCs w:val="22"/>
              </w:rPr>
            </w:pPr>
            <w:r w:rsidRPr="001763C4">
              <w:rPr>
                <w:rFonts w:asciiTheme="minorHAnsi" w:hAnsiTheme="minorHAnsi"/>
                <w:sz w:val="22"/>
                <w:szCs w:val="22"/>
              </w:rPr>
              <w:t>$</w:t>
            </w:r>
            <w:r w:rsidR="001C6C63" w:rsidRPr="001763C4">
              <w:rPr>
                <w:rFonts w:asciiTheme="minorHAnsi" w:hAnsiTheme="minorHAnsi"/>
                <w:sz w:val="22"/>
                <w:szCs w:val="22"/>
              </w:rPr>
              <w:t>111.02</w:t>
            </w:r>
          </w:p>
        </w:tc>
      </w:tr>
      <w:tr w:rsidR="0069349A" w:rsidRPr="001763C4" w:rsidTr="0053603B">
        <w:trPr>
          <w:jc w:val="center"/>
        </w:trPr>
        <w:tc>
          <w:tcPr>
            <w:tcW w:w="3600" w:type="dxa"/>
          </w:tcPr>
          <w:p w:rsidR="0069349A" w:rsidRPr="001763C4" w:rsidRDefault="0069349A" w:rsidP="0069349A">
            <w:pPr>
              <w:rPr>
                <w:rFonts w:asciiTheme="minorHAnsi" w:hAnsiTheme="minorHAnsi"/>
                <w:sz w:val="22"/>
                <w:szCs w:val="22"/>
              </w:rPr>
            </w:pPr>
            <w:r w:rsidRPr="001763C4">
              <w:rPr>
                <w:rFonts w:asciiTheme="minorHAnsi" w:hAnsiTheme="minorHAnsi"/>
                <w:sz w:val="22"/>
                <w:szCs w:val="22"/>
              </w:rPr>
              <w:t>Base per pupil funding – 201</w:t>
            </w:r>
            <w:r w:rsidR="002816E8" w:rsidRPr="001763C4">
              <w:rPr>
                <w:rFonts w:asciiTheme="minorHAnsi" w:hAnsiTheme="minorHAnsi"/>
                <w:sz w:val="22"/>
                <w:szCs w:val="22"/>
              </w:rPr>
              <w:t>3-14</w:t>
            </w:r>
          </w:p>
        </w:tc>
        <w:tc>
          <w:tcPr>
            <w:tcW w:w="2160" w:type="dxa"/>
          </w:tcPr>
          <w:p w:rsidR="0069349A" w:rsidRPr="001763C4" w:rsidRDefault="0069349A" w:rsidP="0069349A">
            <w:pPr>
              <w:jc w:val="right"/>
              <w:rPr>
                <w:rFonts w:asciiTheme="minorHAnsi" w:hAnsiTheme="minorHAnsi"/>
                <w:sz w:val="22"/>
                <w:szCs w:val="22"/>
              </w:rPr>
            </w:pPr>
            <w:r w:rsidRPr="001763C4">
              <w:rPr>
                <w:rFonts w:asciiTheme="minorHAnsi" w:hAnsiTheme="minorHAnsi"/>
                <w:sz w:val="22"/>
                <w:szCs w:val="22"/>
              </w:rPr>
              <w:t>$5,</w:t>
            </w:r>
            <w:r w:rsidR="001C6C63" w:rsidRPr="001763C4">
              <w:rPr>
                <w:rFonts w:asciiTheme="minorHAnsi" w:hAnsiTheme="minorHAnsi"/>
                <w:sz w:val="22"/>
                <w:szCs w:val="22"/>
              </w:rPr>
              <w:t>954.28</w:t>
            </w:r>
          </w:p>
        </w:tc>
      </w:tr>
    </w:tbl>
    <w:p w:rsidR="0069349A" w:rsidRPr="001763C4" w:rsidRDefault="0069349A" w:rsidP="0069349A">
      <w:pPr>
        <w:rPr>
          <w:rFonts w:asciiTheme="minorHAnsi" w:hAnsiTheme="minorHAnsi"/>
          <w:sz w:val="22"/>
          <w:szCs w:val="22"/>
        </w:rPr>
      </w:pPr>
    </w:p>
    <w:p w:rsidR="0069349A" w:rsidRPr="001763C4" w:rsidRDefault="0069349A" w:rsidP="007F78FD">
      <w:pPr>
        <w:rPr>
          <w:rFonts w:asciiTheme="minorHAnsi" w:hAnsiTheme="minorHAnsi"/>
          <w:sz w:val="22"/>
          <w:szCs w:val="22"/>
        </w:rPr>
      </w:pPr>
    </w:p>
    <w:p w:rsidR="00A02C05" w:rsidRPr="001763C4" w:rsidRDefault="002816E8" w:rsidP="00A02C05">
      <w:pPr>
        <w:rPr>
          <w:rFonts w:asciiTheme="minorHAnsi" w:hAnsiTheme="minorHAnsi"/>
          <w:color w:val="FF0000"/>
          <w:sz w:val="22"/>
          <w:szCs w:val="22"/>
        </w:rPr>
      </w:pPr>
      <w:r w:rsidRPr="001763C4">
        <w:rPr>
          <w:rFonts w:asciiTheme="minorHAnsi" w:hAnsiTheme="minorHAnsi"/>
          <w:sz w:val="22"/>
          <w:szCs w:val="22"/>
        </w:rPr>
        <w:t xml:space="preserve">The bill </w:t>
      </w:r>
      <w:r w:rsidR="00E641AE" w:rsidRPr="001763C4">
        <w:rPr>
          <w:rFonts w:asciiTheme="minorHAnsi" w:hAnsiTheme="minorHAnsi"/>
          <w:sz w:val="22"/>
          <w:szCs w:val="22"/>
        </w:rPr>
        <w:t>p</w:t>
      </w:r>
      <w:r w:rsidR="00F13B36" w:rsidRPr="001763C4">
        <w:rPr>
          <w:rFonts w:asciiTheme="minorHAnsi" w:hAnsiTheme="minorHAnsi"/>
          <w:sz w:val="22"/>
          <w:szCs w:val="22"/>
        </w:rPr>
        <w:t xml:space="preserve">roposes Total Program Funding is not less than </w:t>
      </w:r>
      <w:r w:rsidR="00F13B36" w:rsidRPr="00C24326">
        <w:rPr>
          <w:rFonts w:asciiTheme="minorHAnsi" w:hAnsiTheme="minorHAnsi"/>
          <w:strike/>
          <w:color w:val="FF0000"/>
          <w:sz w:val="22"/>
          <w:szCs w:val="22"/>
        </w:rPr>
        <w:t>$</w:t>
      </w:r>
      <w:r w:rsidR="00B11B77" w:rsidRPr="00C24326">
        <w:rPr>
          <w:rFonts w:asciiTheme="minorHAnsi" w:hAnsiTheme="minorHAnsi"/>
          <w:strike/>
          <w:color w:val="FF0000"/>
          <w:sz w:val="22"/>
          <w:szCs w:val="22"/>
        </w:rPr>
        <w:t>5,500,276,794</w:t>
      </w:r>
      <w:r w:rsidR="00C24326">
        <w:rPr>
          <w:rFonts w:asciiTheme="minorHAnsi" w:hAnsiTheme="minorHAnsi"/>
          <w:sz w:val="22"/>
          <w:szCs w:val="22"/>
        </w:rPr>
        <w:t xml:space="preserve"> </w:t>
      </w:r>
      <w:r w:rsidR="0053603B">
        <w:rPr>
          <w:rFonts w:asciiTheme="minorHAnsi" w:hAnsiTheme="minorHAnsi"/>
          <w:b/>
          <w:color w:val="203C73"/>
          <w:sz w:val="22"/>
          <w:szCs w:val="22"/>
        </w:rPr>
        <w:t>$5,505,332,024</w:t>
      </w:r>
      <w:r w:rsidR="00C24326" w:rsidRPr="00C24326">
        <w:rPr>
          <w:rFonts w:asciiTheme="minorHAnsi" w:hAnsiTheme="minorHAnsi"/>
          <w:b/>
          <w:color w:val="203C73"/>
          <w:sz w:val="22"/>
          <w:szCs w:val="22"/>
        </w:rPr>
        <w:t>.</w:t>
      </w:r>
      <w:r w:rsidR="00F13B36" w:rsidRPr="001763C4">
        <w:rPr>
          <w:rFonts w:asciiTheme="minorHAnsi" w:hAnsiTheme="minorHAnsi"/>
          <w:sz w:val="22"/>
          <w:szCs w:val="22"/>
        </w:rPr>
        <w:t xml:space="preserve">  The </w:t>
      </w:r>
      <w:r w:rsidR="00354577" w:rsidRPr="001763C4">
        <w:rPr>
          <w:rFonts w:asciiTheme="minorHAnsi" w:hAnsiTheme="minorHAnsi"/>
          <w:sz w:val="22"/>
          <w:szCs w:val="22"/>
        </w:rPr>
        <w:t xml:space="preserve">proposed </w:t>
      </w:r>
      <w:r w:rsidR="00F13B36" w:rsidRPr="001763C4">
        <w:rPr>
          <w:rFonts w:asciiTheme="minorHAnsi" w:hAnsiTheme="minorHAnsi"/>
          <w:sz w:val="22"/>
          <w:szCs w:val="22"/>
        </w:rPr>
        <w:t xml:space="preserve">amount will </w:t>
      </w:r>
      <w:r w:rsidR="001C6C63" w:rsidRPr="001763C4">
        <w:rPr>
          <w:rFonts w:asciiTheme="minorHAnsi" w:hAnsiTheme="minorHAnsi"/>
          <w:sz w:val="22"/>
          <w:szCs w:val="22"/>
        </w:rPr>
        <w:t>put</w:t>
      </w:r>
      <w:r w:rsidR="00F13B36" w:rsidRPr="001763C4">
        <w:rPr>
          <w:rFonts w:asciiTheme="minorHAnsi" w:hAnsiTheme="minorHAnsi"/>
          <w:sz w:val="22"/>
          <w:szCs w:val="22"/>
        </w:rPr>
        <w:t xml:space="preserve"> the Statewide Average Per Pupil Funding </w:t>
      </w:r>
      <w:r w:rsidR="001C6C63" w:rsidRPr="001763C4">
        <w:rPr>
          <w:rFonts w:asciiTheme="minorHAnsi" w:hAnsiTheme="minorHAnsi"/>
          <w:sz w:val="22"/>
          <w:szCs w:val="22"/>
        </w:rPr>
        <w:t xml:space="preserve">at </w:t>
      </w:r>
      <w:r w:rsidR="004A3C3D" w:rsidRPr="00305789">
        <w:rPr>
          <w:rFonts w:asciiTheme="minorHAnsi" w:hAnsiTheme="minorHAnsi"/>
          <w:strike/>
          <w:sz w:val="22"/>
          <w:szCs w:val="22"/>
        </w:rPr>
        <w:t>$6,646.21</w:t>
      </w:r>
      <w:r w:rsidR="00305789">
        <w:rPr>
          <w:rFonts w:asciiTheme="minorHAnsi" w:hAnsiTheme="minorHAnsi"/>
          <w:sz w:val="22"/>
          <w:szCs w:val="22"/>
        </w:rPr>
        <w:t xml:space="preserve"> </w:t>
      </w:r>
      <w:r w:rsidR="00305789" w:rsidRPr="00305789">
        <w:rPr>
          <w:rFonts w:asciiTheme="minorHAnsi" w:hAnsiTheme="minorHAnsi"/>
          <w:b/>
          <w:color w:val="203C73"/>
          <w:sz w:val="22"/>
          <w:szCs w:val="22"/>
        </w:rPr>
        <w:t>$6,652.28</w:t>
      </w:r>
      <w:r w:rsidR="00354577" w:rsidRPr="001763C4">
        <w:rPr>
          <w:rFonts w:asciiTheme="minorHAnsi" w:hAnsiTheme="minorHAnsi"/>
          <w:sz w:val="22"/>
          <w:szCs w:val="22"/>
        </w:rPr>
        <w:t xml:space="preserve">.  </w:t>
      </w:r>
      <w:r w:rsidR="00A02C05" w:rsidRPr="001763C4">
        <w:rPr>
          <w:rFonts w:asciiTheme="minorHAnsi" w:hAnsiTheme="minorHAnsi"/>
          <w:sz w:val="22"/>
          <w:szCs w:val="22"/>
        </w:rPr>
        <w:t xml:space="preserve">In addition to funding growth and inflation, </w:t>
      </w:r>
      <w:r w:rsidR="00A02C05" w:rsidRPr="001763C4">
        <w:rPr>
          <w:rFonts w:asciiTheme="minorHAnsi" w:hAnsiTheme="minorHAnsi"/>
          <w:color w:val="FF0000"/>
          <w:sz w:val="22"/>
          <w:szCs w:val="22"/>
        </w:rPr>
        <w:t>$35 million is applied to Total Program in order to “buy down” the negative factor.</w:t>
      </w:r>
      <w:r w:rsidR="00C24326">
        <w:rPr>
          <w:rFonts w:asciiTheme="minorHAnsi" w:hAnsiTheme="minorHAnsi"/>
          <w:color w:val="FF0000"/>
          <w:sz w:val="22"/>
          <w:szCs w:val="22"/>
        </w:rPr>
        <w:t xml:space="preserve"> </w:t>
      </w:r>
      <w:r w:rsidR="00C24326" w:rsidRPr="00C24326">
        <w:rPr>
          <w:rFonts w:asciiTheme="minorHAnsi" w:hAnsiTheme="minorHAnsi"/>
          <w:b/>
          <w:color w:val="203C73"/>
          <w:sz w:val="22"/>
          <w:szCs w:val="22"/>
        </w:rPr>
        <w:t xml:space="preserve">Total Program amount </w:t>
      </w:r>
      <w:r w:rsidR="00C24326">
        <w:rPr>
          <w:rFonts w:asciiTheme="minorHAnsi" w:hAnsiTheme="minorHAnsi"/>
          <w:b/>
          <w:color w:val="203C73"/>
          <w:sz w:val="22"/>
          <w:szCs w:val="22"/>
        </w:rPr>
        <w:t>was increased by $5 million, therefore decreasing the negative factor a bit more</w:t>
      </w:r>
      <w:r w:rsidR="00C24326" w:rsidRPr="00C24326">
        <w:rPr>
          <w:rFonts w:asciiTheme="minorHAnsi" w:hAnsiTheme="minorHAnsi"/>
          <w:b/>
          <w:color w:val="203C73"/>
          <w:sz w:val="22"/>
          <w:szCs w:val="22"/>
        </w:rPr>
        <w:t>.</w:t>
      </w:r>
    </w:p>
    <w:p w:rsidR="000A5481" w:rsidRPr="001763C4" w:rsidRDefault="000A5481" w:rsidP="007F78FD">
      <w:pPr>
        <w:rPr>
          <w:rFonts w:asciiTheme="minorHAnsi" w:hAnsiTheme="minorHAnsi"/>
          <w:sz w:val="22"/>
          <w:szCs w:val="22"/>
        </w:rPr>
      </w:pPr>
    </w:p>
    <w:p w:rsidR="000A5481" w:rsidRPr="001763C4" w:rsidRDefault="00247C1D" w:rsidP="00E42049">
      <w:pPr>
        <w:rPr>
          <w:rFonts w:asciiTheme="minorHAnsi" w:hAnsiTheme="minorHAnsi"/>
          <w:sz w:val="22"/>
          <w:szCs w:val="22"/>
        </w:rPr>
      </w:pPr>
      <w:r>
        <w:rPr>
          <w:rFonts w:asciiTheme="minorHAnsi" w:hAnsiTheme="minorHAnsi"/>
          <w:sz w:val="22"/>
          <w:szCs w:val="22"/>
        </w:rPr>
        <w:t>Total Program Funding</w:t>
      </w:r>
      <w:r w:rsidR="00354577" w:rsidRPr="001763C4">
        <w:rPr>
          <w:rFonts w:asciiTheme="minorHAnsi" w:hAnsiTheme="minorHAnsi"/>
          <w:sz w:val="22"/>
          <w:szCs w:val="22"/>
        </w:rPr>
        <w:t xml:space="preserve"> takes </w:t>
      </w:r>
      <w:r w:rsidR="00E42049" w:rsidRPr="001763C4">
        <w:rPr>
          <w:rFonts w:asciiTheme="minorHAnsi" w:hAnsiTheme="minorHAnsi"/>
          <w:sz w:val="22"/>
          <w:szCs w:val="22"/>
        </w:rPr>
        <w:t xml:space="preserve">into account </w:t>
      </w:r>
      <w:r w:rsidR="000A5481" w:rsidRPr="001763C4">
        <w:rPr>
          <w:rFonts w:asciiTheme="minorHAnsi" w:hAnsiTheme="minorHAnsi"/>
          <w:sz w:val="22"/>
          <w:szCs w:val="22"/>
        </w:rPr>
        <w:t>inflation, growth in pupil counts</w:t>
      </w:r>
      <w:r w:rsidR="00D07F56" w:rsidRPr="001763C4">
        <w:rPr>
          <w:rFonts w:asciiTheme="minorHAnsi" w:hAnsiTheme="minorHAnsi"/>
          <w:sz w:val="22"/>
          <w:szCs w:val="22"/>
        </w:rPr>
        <w:t xml:space="preserve"> including increased slots for preschool</w:t>
      </w:r>
      <w:r w:rsidR="000A5481" w:rsidRPr="001763C4">
        <w:rPr>
          <w:rFonts w:asciiTheme="minorHAnsi" w:hAnsiTheme="minorHAnsi"/>
          <w:sz w:val="22"/>
          <w:szCs w:val="22"/>
        </w:rPr>
        <w:t>, at-risk</w:t>
      </w:r>
      <w:r w:rsidR="00E42049" w:rsidRPr="001763C4">
        <w:rPr>
          <w:rFonts w:asciiTheme="minorHAnsi" w:hAnsiTheme="minorHAnsi"/>
          <w:sz w:val="22"/>
          <w:szCs w:val="22"/>
        </w:rPr>
        <w:t xml:space="preserve"> counts</w:t>
      </w:r>
      <w:r w:rsidR="000A5481" w:rsidRPr="001763C4">
        <w:rPr>
          <w:rFonts w:asciiTheme="minorHAnsi" w:hAnsiTheme="minorHAnsi"/>
          <w:sz w:val="22"/>
          <w:szCs w:val="22"/>
        </w:rPr>
        <w:t>, assessed valuation</w:t>
      </w:r>
      <w:r w:rsidR="00E42049" w:rsidRPr="001763C4">
        <w:rPr>
          <w:rFonts w:asciiTheme="minorHAnsi" w:hAnsiTheme="minorHAnsi"/>
          <w:sz w:val="22"/>
          <w:szCs w:val="22"/>
        </w:rPr>
        <w:t xml:space="preserve"> and specific ownership changes.</w:t>
      </w:r>
    </w:p>
    <w:p w:rsidR="002820B7" w:rsidRDefault="002820B7" w:rsidP="007F78FD">
      <w:pPr>
        <w:rPr>
          <w:rFonts w:asciiTheme="minorHAnsi" w:hAnsiTheme="minorHAnsi"/>
          <w:b/>
          <w:color w:val="203C73"/>
          <w:sz w:val="22"/>
          <w:szCs w:val="22"/>
        </w:rPr>
      </w:pPr>
    </w:p>
    <w:tbl>
      <w:tblPr>
        <w:tblStyle w:val="TableGrid"/>
        <w:tblW w:w="0" w:type="auto"/>
        <w:tblInd w:w="468" w:type="dxa"/>
        <w:tblLook w:val="04A0" w:firstRow="1" w:lastRow="0" w:firstColumn="1" w:lastColumn="0" w:noHBand="0" w:noVBand="1"/>
      </w:tblPr>
      <w:tblGrid>
        <w:gridCol w:w="2430"/>
        <w:gridCol w:w="2250"/>
        <w:gridCol w:w="2610"/>
        <w:gridCol w:w="2160"/>
      </w:tblGrid>
      <w:tr w:rsidR="002820B7" w:rsidTr="00EC58A8">
        <w:tc>
          <w:tcPr>
            <w:tcW w:w="2430" w:type="dxa"/>
          </w:tcPr>
          <w:p w:rsidR="002820B7" w:rsidRDefault="002820B7" w:rsidP="007F78FD">
            <w:pPr>
              <w:rPr>
                <w:rFonts w:asciiTheme="minorHAnsi" w:hAnsiTheme="minorHAnsi"/>
                <w:sz w:val="22"/>
                <w:szCs w:val="22"/>
              </w:rPr>
            </w:pPr>
          </w:p>
        </w:tc>
        <w:tc>
          <w:tcPr>
            <w:tcW w:w="2250" w:type="dxa"/>
          </w:tcPr>
          <w:p w:rsidR="002820B7" w:rsidRDefault="002820B7" w:rsidP="00EC58A8">
            <w:pPr>
              <w:jc w:val="center"/>
              <w:rPr>
                <w:rFonts w:asciiTheme="minorHAnsi" w:hAnsiTheme="minorHAnsi"/>
                <w:sz w:val="22"/>
                <w:szCs w:val="22"/>
              </w:rPr>
            </w:pPr>
            <w:r>
              <w:rPr>
                <w:rFonts w:asciiTheme="minorHAnsi" w:hAnsiTheme="minorHAnsi"/>
                <w:sz w:val="22"/>
                <w:szCs w:val="22"/>
              </w:rPr>
              <w:t>Statutory</w:t>
            </w:r>
          </w:p>
          <w:p w:rsidR="002820B7" w:rsidRDefault="002820B7" w:rsidP="00EC58A8">
            <w:pPr>
              <w:jc w:val="center"/>
              <w:rPr>
                <w:rFonts w:asciiTheme="minorHAnsi" w:hAnsiTheme="minorHAnsi"/>
                <w:sz w:val="22"/>
                <w:szCs w:val="22"/>
              </w:rPr>
            </w:pPr>
            <w:r>
              <w:rPr>
                <w:rFonts w:asciiTheme="minorHAnsi" w:hAnsiTheme="minorHAnsi"/>
                <w:sz w:val="22"/>
                <w:szCs w:val="22"/>
              </w:rPr>
              <w:t>Amount</w:t>
            </w:r>
          </w:p>
        </w:tc>
        <w:tc>
          <w:tcPr>
            <w:tcW w:w="2610" w:type="dxa"/>
          </w:tcPr>
          <w:p w:rsidR="002820B7" w:rsidRDefault="002820B7" w:rsidP="00EC58A8">
            <w:pPr>
              <w:jc w:val="center"/>
              <w:rPr>
                <w:rFonts w:asciiTheme="minorHAnsi" w:hAnsiTheme="minorHAnsi"/>
                <w:sz w:val="22"/>
                <w:szCs w:val="22"/>
              </w:rPr>
            </w:pPr>
            <w:r>
              <w:rPr>
                <w:rFonts w:asciiTheme="minorHAnsi" w:hAnsiTheme="minorHAnsi"/>
                <w:sz w:val="22"/>
                <w:szCs w:val="22"/>
              </w:rPr>
              <w:t>Amount Some Districts Cannot Absorb</w:t>
            </w:r>
          </w:p>
        </w:tc>
        <w:tc>
          <w:tcPr>
            <w:tcW w:w="2160" w:type="dxa"/>
          </w:tcPr>
          <w:p w:rsidR="002820B7" w:rsidRDefault="002820B7" w:rsidP="00EC58A8">
            <w:pPr>
              <w:jc w:val="center"/>
              <w:rPr>
                <w:rFonts w:asciiTheme="minorHAnsi" w:hAnsiTheme="minorHAnsi"/>
                <w:sz w:val="22"/>
                <w:szCs w:val="22"/>
              </w:rPr>
            </w:pPr>
            <w:r>
              <w:rPr>
                <w:rFonts w:asciiTheme="minorHAnsi" w:hAnsiTheme="minorHAnsi"/>
                <w:sz w:val="22"/>
                <w:szCs w:val="22"/>
              </w:rPr>
              <w:t>Actual Final Calculation</w:t>
            </w:r>
          </w:p>
        </w:tc>
      </w:tr>
      <w:tr w:rsidR="002820B7" w:rsidTr="00EC58A8">
        <w:tc>
          <w:tcPr>
            <w:tcW w:w="2430" w:type="dxa"/>
          </w:tcPr>
          <w:p w:rsidR="002820B7" w:rsidRDefault="002820B7" w:rsidP="007F78FD">
            <w:pPr>
              <w:rPr>
                <w:rFonts w:asciiTheme="minorHAnsi" w:hAnsiTheme="minorHAnsi"/>
                <w:sz w:val="22"/>
                <w:szCs w:val="22"/>
              </w:rPr>
            </w:pPr>
            <w:r>
              <w:rPr>
                <w:rFonts w:asciiTheme="minorHAnsi" w:hAnsiTheme="minorHAnsi"/>
                <w:sz w:val="22"/>
                <w:szCs w:val="22"/>
              </w:rPr>
              <w:t>Total Program Before Negative Factor</w:t>
            </w:r>
          </w:p>
        </w:tc>
        <w:tc>
          <w:tcPr>
            <w:tcW w:w="225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$6,514,240,501</w:t>
            </w:r>
          </w:p>
        </w:tc>
        <w:tc>
          <w:tcPr>
            <w:tcW w:w="261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-0-</w:t>
            </w:r>
          </w:p>
        </w:tc>
        <w:tc>
          <w:tcPr>
            <w:tcW w:w="216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$6,514,240,501</w:t>
            </w:r>
          </w:p>
        </w:tc>
      </w:tr>
      <w:tr w:rsidR="002820B7" w:rsidTr="00EC58A8">
        <w:tc>
          <w:tcPr>
            <w:tcW w:w="2430" w:type="dxa"/>
          </w:tcPr>
          <w:p w:rsidR="002820B7" w:rsidRDefault="002820B7" w:rsidP="007F78FD">
            <w:pPr>
              <w:rPr>
                <w:rFonts w:asciiTheme="minorHAnsi" w:hAnsiTheme="minorHAnsi"/>
                <w:sz w:val="22"/>
                <w:szCs w:val="22"/>
              </w:rPr>
            </w:pPr>
            <w:r>
              <w:rPr>
                <w:rFonts w:asciiTheme="minorHAnsi" w:hAnsiTheme="minorHAnsi"/>
                <w:sz w:val="22"/>
                <w:szCs w:val="22"/>
              </w:rPr>
              <w:t>Negative Factor</w:t>
            </w:r>
          </w:p>
        </w:tc>
        <w:tc>
          <w:tcPr>
            <w:tcW w:w="225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($1,008,908,477)</w:t>
            </w:r>
          </w:p>
        </w:tc>
        <w:tc>
          <w:tcPr>
            <w:tcW w:w="261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$3,054,100</w:t>
            </w:r>
          </w:p>
        </w:tc>
        <w:tc>
          <w:tcPr>
            <w:tcW w:w="216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($1,005,854,377)</w:t>
            </w:r>
          </w:p>
        </w:tc>
      </w:tr>
      <w:tr w:rsidR="002820B7" w:rsidTr="00EC58A8">
        <w:tc>
          <w:tcPr>
            <w:tcW w:w="2430" w:type="dxa"/>
          </w:tcPr>
          <w:p w:rsidR="002820B7" w:rsidRDefault="002820B7" w:rsidP="007F78FD">
            <w:pPr>
              <w:rPr>
                <w:rFonts w:asciiTheme="minorHAnsi" w:hAnsiTheme="minorHAnsi"/>
                <w:sz w:val="22"/>
                <w:szCs w:val="22"/>
              </w:rPr>
            </w:pPr>
            <w:r>
              <w:rPr>
                <w:rFonts w:asciiTheme="minorHAnsi" w:hAnsiTheme="minorHAnsi"/>
                <w:sz w:val="22"/>
                <w:szCs w:val="22"/>
              </w:rPr>
              <w:t>Total Program After Negative Factor</w:t>
            </w:r>
          </w:p>
        </w:tc>
        <w:tc>
          <w:tcPr>
            <w:tcW w:w="225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$5,505,332,024</w:t>
            </w:r>
          </w:p>
        </w:tc>
        <w:tc>
          <w:tcPr>
            <w:tcW w:w="261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$3,054,100</w:t>
            </w:r>
          </w:p>
        </w:tc>
        <w:tc>
          <w:tcPr>
            <w:tcW w:w="2160" w:type="dxa"/>
            <w:vAlign w:val="center"/>
          </w:tcPr>
          <w:p w:rsidR="002820B7" w:rsidRDefault="002820B7" w:rsidP="00EC58A8">
            <w:pPr>
              <w:jc w:val="center"/>
              <w:rPr>
                <w:rFonts w:asciiTheme="minorHAnsi" w:hAnsiTheme="minorHAnsi"/>
                <w:sz w:val="22"/>
                <w:szCs w:val="22"/>
              </w:rPr>
            </w:pPr>
            <w:r>
              <w:rPr>
                <w:rFonts w:asciiTheme="minorHAnsi" w:hAnsiTheme="minorHAnsi"/>
                <w:sz w:val="22"/>
                <w:szCs w:val="22"/>
              </w:rPr>
              <w:t>$5,508,386,124</w:t>
            </w:r>
          </w:p>
        </w:tc>
      </w:tr>
      <w:tr w:rsidR="00EC58A8" w:rsidTr="00EC58A8">
        <w:tc>
          <w:tcPr>
            <w:tcW w:w="2430" w:type="dxa"/>
          </w:tcPr>
          <w:p w:rsidR="00EC58A8" w:rsidRDefault="00EC58A8" w:rsidP="007F78FD">
            <w:pPr>
              <w:rPr>
                <w:rFonts w:asciiTheme="minorHAnsi" w:hAnsiTheme="minorHAnsi"/>
                <w:sz w:val="22"/>
                <w:szCs w:val="22"/>
              </w:rPr>
            </w:pPr>
            <w:r>
              <w:rPr>
                <w:rFonts w:asciiTheme="minorHAnsi" w:hAnsiTheme="minorHAnsi"/>
                <w:sz w:val="22"/>
                <w:szCs w:val="22"/>
              </w:rPr>
              <w:t>Negative Factor Percentage</w:t>
            </w:r>
          </w:p>
        </w:tc>
        <w:tc>
          <w:tcPr>
            <w:tcW w:w="2250" w:type="dxa"/>
            <w:vAlign w:val="center"/>
          </w:tcPr>
          <w:p w:rsidR="00EC58A8" w:rsidRDefault="00EC58A8" w:rsidP="00EC58A8">
            <w:pPr>
              <w:jc w:val="center"/>
              <w:rPr>
                <w:rFonts w:asciiTheme="minorHAnsi" w:hAnsiTheme="minorHAnsi"/>
                <w:sz w:val="22"/>
                <w:szCs w:val="22"/>
              </w:rPr>
            </w:pPr>
            <w:r>
              <w:rPr>
                <w:rFonts w:asciiTheme="minorHAnsi" w:hAnsiTheme="minorHAnsi"/>
                <w:sz w:val="22"/>
                <w:szCs w:val="22"/>
              </w:rPr>
              <w:t>15.49%</w:t>
            </w:r>
          </w:p>
        </w:tc>
        <w:tc>
          <w:tcPr>
            <w:tcW w:w="2610" w:type="dxa"/>
            <w:vAlign w:val="center"/>
          </w:tcPr>
          <w:p w:rsidR="00EC58A8" w:rsidRDefault="00EC58A8" w:rsidP="00EC58A8">
            <w:pPr>
              <w:jc w:val="center"/>
              <w:rPr>
                <w:rFonts w:asciiTheme="minorHAnsi" w:hAnsiTheme="minorHAnsi"/>
                <w:sz w:val="22"/>
                <w:szCs w:val="22"/>
              </w:rPr>
            </w:pPr>
            <w:r>
              <w:rPr>
                <w:rFonts w:asciiTheme="minorHAnsi" w:hAnsiTheme="minorHAnsi"/>
                <w:sz w:val="22"/>
                <w:szCs w:val="22"/>
              </w:rPr>
              <w:t>NA</w:t>
            </w:r>
          </w:p>
        </w:tc>
        <w:tc>
          <w:tcPr>
            <w:tcW w:w="2160" w:type="dxa"/>
            <w:vAlign w:val="center"/>
          </w:tcPr>
          <w:p w:rsidR="00EC58A8" w:rsidRDefault="00EC58A8" w:rsidP="00EC58A8">
            <w:pPr>
              <w:jc w:val="center"/>
              <w:rPr>
                <w:rFonts w:asciiTheme="minorHAnsi" w:hAnsiTheme="minorHAnsi"/>
                <w:sz w:val="22"/>
                <w:szCs w:val="22"/>
              </w:rPr>
            </w:pPr>
            <w:r>
              <w:rPr>
                <w:rFonts w:asciiTheme="minorHAnsi" w:hAnsiTheme="minorHAnsi"/>
                <w:sz w:val="22"/>
                <w:szCs w:val="22"/>
              </w:rPr>
              <w:t>NA</w:t>
            </w:r>
          </w:p>
        </w:tc>
      </w:tr>
    </w:tbl>
    <w:p w:rsidR="002820B7" w:rsidRDefault="002820B7" w:rsidP="007F78FD">
      <w:pPr>
        <w:rPr>
          <w:rFonts w:asciiTheme="minorHAnsi" w:hAnsiTheme="minorHAnsi"/>
          <w:sz w:val="22"/>
          <w:szCs w:val="22"/>
        </w:rPr>
      </w:pPr>
    </w:p>
    <w:p w:rsidR="002820B7" w:rsidRPr="00EC58A8" w:rsidRDefault="002820B7" w:rsidP="002820B7">
      <w:pPr>
        <w:rPr>
          <w:rFonts w:asciiTheme="minorHAnsi" w:hAnsiTheme="minorHAnsi"/>
          <w:sz w:val="22"/>
          <w:szCs w:val="22"/>
        </w:rPr>
      </w:pPr>
      <w:r w:rsidRPr="00EC58A8">
        <w:rPr>
          <w:rFonts w:asciiTheme="minorHAnsi" w:hAnsiTheme="minorHAnsi"/>
          <w:sz w:val="22"/>
          <w:szCs w:val="22"/>
        </w:rPr>
        <w:t xml:space="preserve">The negative factor percentage of 15.49% results in a negative factor amount of $1,005,854,377 that districts will </w:t>
      </w:r>
      <w:r w:rsidRPr="00EC58A8">
        <w:rPr>
          <w:rFonts w:asciiTheme="minorHAnsi" w:hAnsiTheme="minorHAnsi"/>
          <w:sz w:val="22"/>
          <w:szCs w:val="22"/>
          <w:u w:val="single"/>
        </w:rPr>
        <w:t>absorb</w:t>
      </w:r>
      <w:r w:rsidRPr="00EC58A8">
        <w:rPr>
          <w:rFonts w:asciiTheme="minorHAnsi" w:hAnsiTheme="minorHAnsi"/>
          <w:sz w:val="22"/>
          <w:szCs w:val="22"/>
        </w:rPr>
        <w:t xml:space="preserve"> in 2013-14.  Since the negative factor is applied to the state share portion of Total Program, some districts do not have enough state share to absorb the entire negative factor.  Therefore, </w:t>
      </w:r>
      <w:r w:rsidR="00EC58A8" w:rsidRPr="00EC58A8">
        <w:rPr>
          <w:rFonts w:asciiTheme="minorHAnsi" w:hAnsiTheme="minorHAnsi"/>
          <w:sz w:val="22"/>
          <w:szCs w:val="22"/>
        </w:rPr>
        <w:t>the Actual Final Calculation</w:t>
      </w:r>
      <w:r w:rsidR="00EC58A8">
        <w:rPr>
          <w:rFonts w:asciiTheme="minorHAnsi" w:hAnsiTheme="minorHAnsi"/>
          <w:sz w:val="22"/>
          <w:szCs w:val="22"/>
        </w:rPr>
        <w:t xml:space="preserve"> for Total Program after the Negative Factor</w:t>
      </w:r>
      <w:r w:rsidR="00EC58A8" w:rsidRPr="00EC58A8">
        <w:rPr>
          <w:rFonts w:asciiTheme="minorHAnsi" w:hAnsiTheme="minorHAnsi"/>
          <w:sz w:val="22"/>
          <w:szCs w:val="22"/>
        </w:rPr>
        <w:t xml:space="preserve"> is higher than the statutory amount for Total Program.</w:t>
      </w:r>
    </w:p>
    <w:p w:rsidR="00EE1DCA" w:rsidRPr="001763C4" w:rsidRDefault="00EE1DCA" w:rsidP="007F78FD">
      <w:pPr>
        <w:rPr>
          <w:rFonts w:asciiTheme="minorHAnsi" w:hAnsiTheme="minorHAnsi"/>
          <w:sz w:val="22"/>
          <w:szCs w:val="22"/>
        </w:rPr>
      </w:pPr>
    </w:p>
    <w:p w:rsidR="009601C8" w:rsidRPr="001763C4" w:rsidRDefault="009601C8" w:rsidP="007F78FD">
      <w:pPr>
        <w:rPr>
          <w:rFonts w:asciiTheme="minorHAnsi" w:hAnsiTheme="minorHAnsi"/>
          <w:sz w:val="22"/>
          <w:szCs w:val="22"/>
        </w:rPr>
      </w:pPr>
    </w:p>
    <w:p w:rsidR="009601C8" w:rsidRPr="001763C4" w:rsidRDefault="009601C8" w:rsidP="007F78FD">
      <w:pPr>
        <w:rPr>
          <w:rFonts w:asciiTheme="minorHAnsi" w:hAnsiTheme="minorHAnsi"/>
          <w:b/>
          <w:sz w:val="22"/>
          <w:szCs w:val="22"/>
        </w:rPr>
      </w:pPr>
      <w:r w:rsidRPr="001763C4">
        <w:rPr>
          <w:rFonts w:asciiTheme="minorHAnsi" w:hAnsiTheme="minorHAnsi"/>
          <w:b/>
          <w:sz w:val="22"/>
          <w:szCs w:val="22"/>
        </w:rPr>
        <w:lastRenderedPageBreak/>
        <w:t xml:space="preserve">Section 2 </w:t>
      </w:r>
    </w:p>
    <w:p w:rsidR="001C6C63" w:rsidRPr="001763C4" w:rsidRDefault="001C6C63" w:rsidP="007F78FD">
      <w:pPr>
        <w:rPr>
          <w:rFonts w:asciiTheme="minorHAnsi" w:hAnsiTheme="minorHAnsi"/>
          <w:sz w:val="22"/>
          <w:szCs w:val="22"/>
        </w:rPr>
      </w:pPr>
    </w:p>
    <w:p w:rsidR="001C6C63" w:rsidRPr="001763C4" w:rsidRDefault="001C6C63" w:rsidP="007F78FD">
      <w:pPr>
        <w:rPr>
          <w:rFonts w:asciiTheme="minorHAnsi" w:hAnsiTheme="minorHAnsi"/>
          <w:sz w:val="22"/>
          <w:szCs w:val="22"/>
        </w:rPr>
      </w:pPr>
      <w:r w:rsidRPr="001763C4">
        <w:rPr>
          <w:rFonts w:asciiTheme="minorHAnsi" w:hAnsiTheme="minorHAnsi"/>
          <w:sz w:val="22"/>
          <w:szCs w:val="22"/>
        </w:rPr>
        <w:t xml:space="preserve">The bill specifies that no district shall have a funded pupil count of less than 50 pupils. </w:t>
      </w:r>
      <w:r w:rsidR="0053603B">
        <w:rPr>
          <w:rFonts w:asciiTheme="minorHAnsi" w:hAnsiTheme="minorHAnsi"/>
          <w:sz w:val="22"/>
          <w:szCs w:val="22"/>
        </w:rPr>
        <w:t>This means that any district with fewer than 50 pupils will be funded for a minimum of 50 pupils.</w:t>
      </w:r>
    </w:p>
    <w:p w:rsidR="001C6C63" w:rsidRPr="001763C4" w:rsidRDefault="001C6C63" w:rsidP="007F78FD">
      <w:pPr>
        <w:rPr>
          <w:rFonts w:asciiTheme="minorHAnsi" w:hAnsiTheme="minorHAnsi"/>
          <w:sz w:val="22"/>
          <w:szCs w:val="22"/>
        </w:rPr>
      </w:pPr>
    </w:p>
    <w:p w:rsidR="00D07F56" w:rsidRPr="001763C4" w:rsidRDefault="00D07F56" w:rsidP="007F78FD">
      <w:pPr>
        <w:rPr>
          <w:rFonts w:asciiTheme="minorHAnsi" w:hAnsiTheme="minorHAnsi"/>
          <w:b/>
          <w:sz w:val="22"/>
          <w:szCs w:val="22"/>
        </w:rPr>
      </w:pPr>
    </w:p>
    <w:p w:rsidR="001C6C63" w:rsidRPr="001763C4" w:rsidRDefault="009601C8" w:rsidP="007F78FD">
      <w:pPr>
        <w:rPr>
          <w:rFonts w:asciiTheme="minorHAnsi" w:hAnsiTheme="minorHAnsi"/>
          <w:b/>
          <w:sz w:val="22"/>
          <w:szCs w:val="22"/>
        </w:rPr>
      </w:pPr>
      <w:r w:rsidRPr="001763C4">
        <w:rPr>
          <w:rFonts w:asciiTheme="minorHAnsi" w:hAnsiTheme="minorHAnsi"/>
          <w:b/>
          <w:sz w:val="22"/>
          <w:szCs w:val="22"/>
        </w:rPr>
        <w:t>Section 4</w:t>
      </w:r>
    </w:p>
    <w:p w:rsidR="0069349A" w:rsidRPr="001763C4" w:rsidRDefault="0069349A" w:rsidP="007F78FD">
      <w:pPr>
        <w:rPr>
          <w:rFonts w:asciiTheme="minorHAnsi" w:hAnsiTheme="minorHAnsi"/>
          <w:sz w:val="22"/>
          <w:szCs w:val="22"/>
        </w:rPr>
      </w:pPr>
    </w:p>
    <w:p w:rsidR="001C6C63" w:rsidRPr="001763C4" w:rsidRDefault="004C09EC" w:rsidP="0029061E">
      <w:pPr>
        <w:rPr>
          <w:rFonts w:asciiTheme="minorHAnsi" w:hAnsiTheme="minorHAnsi"/>
          <w:sz w:val="22"/>
          <w:szCs w:val="22"/>
        </w:rPr>
      </w:pPr>
      <w:r w:rsidRPr="001763C4">
        <w:rPr>
          <w:rFonts w:asciiTheme="minorHAnsi" w:hAnsiTheme="minorHAnsi"/>
          <w:sz w:val="22"/>
          <w:szCs w:val="22"/>
        </w:rPr>
        <w:t xml:space="preserve">The bill </w:t>
      </w:r>
      <w:r w:rsidR="00D07F56" w:rsidRPr="001763C4">
        <w:rPr>
          <w:rFonts w:asciiTheme="minorHAnsi" w:hAnsiTheme="minorHAnsi"/>
          <w:sz w:val="22"/>
          <w:szCs w:val="22"/>
        </w:rPr>
        <w:t>changes the source of funding for the at-risk supplemental aid from audit recoveries to the State Public School Fund.</w:t>
      </w:r>
      <w:r w:rsidR="001C6C63" w:rsidRPr="001763C4">
        <w:rPr>
          <w:rFonts w:asciiTheme="minorHAnsi" w:hAnsiTheme="minorHAnsi"/>
          <w:sz w:val="22"/>
          <w:szCs w:val="22"/>
        </w:rPr>
        <w:t xml:space="preserve">  </w:t>
      </w:r>
    </w:p>
    <w:p w:rsidR="001E0571" w:rsidRPr="001763C4" w:rsidRDefault="001E0571" w:rsidP="007F78FD">
      <w:pPr>
        <w:rPr>
          <w:rFonts w:asciiTheme="minorHAnsi" w:hAnsiTheme="minorHAnsi"/>
          <w:sz w:val="22"/>
          <w:szCs w:val="22"/>
        </w:rPr>
      </w:pPr>
    </w:p>
    <w:p w:rsidR="00A61064" w:rsidRDefault="00A61064" w:rsidP="007F78FD">
      <w:pPr>
        <w:rPr>
          <w:rFonts w:asciiTheme="minorHAnsi" w:hAnsiTheme="minorHAnsi"/>
          <w:b/>
          <w:sz w:val="22"/>
          <w:szCs w:val="22"/>
        </w:rPr>
      </w:pPr>
    </w:p>
    <w:p w:rsidR="001E0571" w:rsidRPr="001763C4" w:rsidRDefault="009601C8" w:rsidP="007F78FD">
      <w:pPr>
        <w:rPr>
          <w:rFonts w:asciiTheme="minorHAnsi" w:hAnsiTheme="minorHAnsi"/>
          <w:b/>
          <w:sz w:val="22"/>
          <w:szCs w:val="22"/>
        </w:rPr>
      </w:pPr>
      <w:r w:rsidRPr="001763C4">
        <w:rPr>
          <w:rFonts w:asciiTheme="minorHAnsi" w:hAnsiTheme="minorHAnsi"/>
          <w:b/>
          <w:sz w:val="22"/>
          <w:szCs w:val="22"/>
        </w:rPr>
        <w:t>Section 5</w:t>
      </w:r>
    </w:p>
    <w:p w:rsidR="0029061E" w:rsidRPr="001763C4" w:rsidRDefault="0029061E" w:rsidP="007F78FD">
      <w:pPr>
        <w:rPr>
          <w:rFonts w:asciiTheme="minorHAnsi" w:hAnsiTheme="minorHAnsi"/>
          <w:sz w:val="22"/>
          <w:szCs w:val="22"/>
        </w:rPr>
      </w:pPr>
    </w:p>
    <w:p w:rsidR="001C6C63" w:rsidRDefault="001C6C63" w:rsidP="001C6C63">
      <w:pPr>
        <w:rPr>
          <w:rFonts w:asciiTheme="minorHAnsi" w:hAnsiTheme="minorHAnsi"/>
          <w:sz w:val="22"/>
          <w:szCs w:val="22"/>
        </w:rPr>
      </w:pPr>
      <w:r w:rsidRPr="001763C4">
        <w:rPr>
          <w:rFonts w:asciiTheme="minorHAnsi" w:hAnsiTheme="minorHAnsi"/>
          <w:sz w:val="22"/>
          <w:szCs w:val="22"/>
        </w:rPr>
        <w:t>The bill provides an additional $1.0 million for charter school capital construction taking the amount to a total of $7.0 million.</w:t>
      </w:r>
    </w:p>
    <w:p w:rsidR="0087047E" w:rsidRDefault="0087047E" w:rsidP="001C6C63">
      <w:pPr>
        <w:rPr>
          <w:rFonts w:asciiTheme="minorHAnsi" w:hAnsiTheme="minorHAnsi"/>
          <w:sz w:val="22"/>
          <w:szCs w:val="22"/>
        </w:rPr>
      </w:pPr>
    </w:p>
    <w:p w:rsidR="0087047E" w:rsidRDefault="0087047E" w:rsidP="0087047E">
      <w:pPr>
        <w:rPr>
          <w:rFonts w:asciiTheme="minorHAnsi" w:hAnsiTheme="minorHAnsi"/>
          <w:b/>
          <w:color w:val="203C73"/>
          <w:sz w:val="22"/>
          <w:szCs w:val="22"/>
        </w:rPr>
      </w:pPr>
      <w:r w:rsidRPr="0087047E">
        <w:rPr>
          <w:rFonts w:asciiTheme="minorHAnsi" w:hAnsiTheme="minorHAnsi"/>
          <w:b/>
          <w:color w:val="203C73"/>
          <w:sz w:val="22"/>
          <w:szCs w:val="22"/>
        </w:rPr>
        <w:t>Section 6</w:t>
      </w:r>
    </w:p>
    <w:p w:rsidR="0087047E" w:rsidRDefault="0087047E" w:rsidP="0087047E">
      <w:pPr>
        <w:rPr>
          <w:rFonts w:asciiTheme="minorHAnsi" w:hAnsiTheme="minorHAnsi"/>
          <w:b/>
          <w:color w:val="203C73"/>
          <w:sz w:val="22"/>
          <w:szCs w:val="22"/>
        </w:rPr>
      </w:pPr>
    </w:p>
    <w:p w:rsidR="0087047E" w:rsidRPr="0087047E" w:rsidRDefault="0087047E" w:rsidP="0087047E">
      <w:pPr>
        <w:rPr>
          <w:rFonts w:asciiTheme="minorHAnsi" w:hAnsiTheme="minorHAnsi"/>
          <w:b/>
          <w:color w:val="203C73"/>
          <w:sz w:val="22"/>
          <w:szCs w:val="22"/>
        </w:rPr>
      </w:pPr>
      <w:r>
        <w:rPr>
          <w:rFonts w:asciiTheme="minorHAnsi" w:hAnsiTheme="minorHAnsi"/>
          <w:b/>
          <w:color w:val="203C73"/>
          <w:sz w:val="22"/>
          <w:szCs w:val="22"/>
        </w:rPr>
        <w:t>Adds funding for facility schools</w:t>
      </w:r>
      <w:r w:rsidR="003F1099">
        <w:rPr>
          <w:rFonts w:asciiTheme="minorHAnsi" w:hAnsiTheme="minorHAnsi"/>
          <w:b/>
          <w:color w:val="203C73"/>
          <w:sz w:val="22"/>
          <w:szCs w:val="22"/>
        </w:rPr>
        <w:t xml:space="preserve">. </w:t>
      </w:r>
      <w:r>
        <w:rPr>
          <w:rFonts w:asciiTheme="minorHAnsi" w:hAnsiTheme="minorHAnsi"/>
          <w:b/>
          <w:color w:val="203C73"/>
          <w:sz w:val="22"/>
          <w:szCs w:val="22"/>
        </w:rPr>
        <w:t xml:space="preserve"> Currently the funding for facility schools is 1.33</w:t>
      </w:r>
      <w:r w:rsidR="003727C5">
        <w:rPr>
          <w:rFonts w:asciiTheme="minorHAnsi" w:hAnsiTheme="minorHAnsi"/>
          <w:b/>
          <w:color w:val="203C73"/>
          <w:sz w:val="22"/>
          <w:szCs w:val="22"/>
        </w:rPr>
        <w:t xml:space="preserve"> times statewide average per pupil funding.  The amendment changes the funding to </w:t>
      </w:r>
      <w:r>
        <w:rPr>
          <w:rFonts w:asciiTheme="minorHAnsi" w:hAnsiTheme="minorHAnsi"/>
          <w:b/>
          <w:color w:val="203C73"/>
          <w:sz w:val="22"/>
          <w:szCs w:val="22"/>
        </w:rPr>
        <w:t xml:space="preserve">1.73 </w:t>
      </w:r>
      <w:r w:rsidR="003727C5">
        <w:rPr>
          <w:rFonts w:asciiTheme="minorHAnsi" w:hAnsiTheme="minorHAnsi"/>
          <w:b/>
          <w:color w:val="203C73"/>
          <w:sz w:val="22"/>
          <w:szCs w:val="22"/>
        </w:rPr>
        <w:t>times</w:t>
      </w:r>
      <w:r w:rsidR="00305789">
        <w:rPr>
          <w:rFonts w:asciiTheme="minorHAnsi" w:hAnsiTheme="minorHAnsi"/>
          <w:b/>
          <w:color w:val="203C73"/>
          <w:sz w:val="22"/>
          <w:szCs w:val="22"/>
        </w:rPr>
        <w:t xml:space="preserve"> statewide</w:t>
      </w:r>
      <w:r>
        <w:rPr>
          <w:rFonts w:asciiTheme="minorHAnsi" w:hAnsiTheme="minorHAnsi"/>
          <w:b/>
          <w:color w:val="203C73"/>
          <w:sz w:val="22"/>
          <w:szCs w:val="22"/>
        </w:rPr>
        <w:t xml:space="preserve"> base per pupil funding for pupils enrolled in facility schools.</w:t>
      </w:r>
    </w:p>
    <w:p w:rsidR="0087047E" w:rsidRPr="001763C4" w:rsidRDefault="0087047E" w:rsidP="0087047E">
      <w:pPr>
        <w:rPr>
          <w:rFonts w:asciiTheme="minorHAnsi" w:hAnsiTheme="minorHAnsi"/>
          <w:sz w:val="22"/>
          <w:szCs w:val="22"/>
        </w:rPr>
      </w:pPr>
    </w:p>
    <w:p w:rsidR="009601C8" w:rsidRPr="001763C4" w:rsidRDefault="009601C8" w:rsidP="001C6C63">
      <w:pPr>
        <w:rPr>
          <w:rFonts w:asciiTheme="minorHAnsi" w:hAnsiTheme="minorHAnsi"/>
          <w:sz w:val="22"/>
          <w:szCs w:val="22"/>
        </w:rPr>
      </w:pPr>
    </w:p>
    <w:p w:rsidR="009601C8" w:rsidRPr="001763C4" w:rsidRDefault="0087047E" w:rsidP="001C6C63">
      <w:pPr>
        <w:rPr>
          <w:rFonts w:asciiTheme="minorHAnsi" w:hAnsiTheme="minorHAnsi"/>
          <w:b/>
          <w:sz w:val="22"/>
          <w:szCs w:val="22"/>
        </w:rPr>
      </w:pPr>
      <w:r>
        <w:rPr>
          <w:rFonts w:asciiTheme="minorHAnsi" w:hAnsiTheme="minorHAnsi"/>
          <w:b/>
          <w:sz w:val="22"/>
          <w:szCs w:val="22"/>
        </w:rPr>
        <w:t>Section 7</w:t>
      </w:r>
    </w:p>
    <w:p w:rsidR="009601C8" w:rsidRPr="001763C4" w:rsidRDefault="009601C8" w:rsidP="001C6C63">
      <w:pPr>
        <w:rPr>
          <w:rFonts w:asciiTheme="minorHAnsi" w:hAnsiTheme="minorHAnsi"/>
          <w:sz w:val="22"/>
          <w:szCs w:val="22"/>
        </w:rPr>
      </w:pPr>
    </w:p>
    <w:p w:rsidR="009601C8" w:rsidRPr="001763C4" w:rsidRDefault="00D07F56" w:rsidP="001C6C63">
      <w:pPr>
        <w:rPr>
          <w:rFonts w:asciiTheme="minorHAnsi" w:hAnsiTheme="minorHAnsi"/>
          <w:sz w:val="22"/>
          <w:szCs w:val="22"/>
        </w:rPr>
      </w:pPr>
      <w:r w:rsidRPr="001763C4">
        <w:rPr>
          <w:rFonts w:asciiTheme="minorHAnsi" w:hAnsiTheme="minorHAnsi"/>
          <w:sz w:val="22"/>
          <w:szCs w:val="22"/>
        </w:rPr>
        <w:t>Changes the funding source for the READ Act to the State Education Fund.</w:t>
      </w:r>
    </w:p>
    <w:p w:rsidR="0029061E" w:rsidRPr="001763C4" w:rsidRDefault="0029061E" w:rsidP="007F78FD">
      <w:pPr>
        <w:rPr>
          <w:rFonts w:asciiTheme="minorHAnsi" w:hAnsiTheme="minorHAnsi"/>
          <w:sz w:val="22"/>
          <w:szCs w:val="22"/>
        </w:rPr>
      </w:pPr>
    </w:p>
    <w:p w:rsidR="0029061E" w:rsidRPr="001763C4" w:rsidRDefault="0087047E" w:rsidP="007F78FD">
      <w:pPr>
        <w:rPr>
          <w:rFonts w:asciiTheme="minorHAnsi" w:hAnsiTheme="minorHAnsi"/>
          <w:b/>
          <w:sz w:val="22"/>
          <w:szCs w:val="22"/>
        </w:rPr>
      </w:pPr>
      <w:r>
        <w:rPr>
          <w:rFonts w:asciiTheme="minorHAnsi" w:hAnsiTheme="minorHAnsi"/>
          <w:b/>
          <w:sz w:val="22"/>
          <w:szCs w:val="22"/>
        </w:rPr>
        <w:t>Section 8</w:t>
      </w:r>
    </w:p>
    <w:p w:rsidR="00D07F56" w:rsidRPr="001763C4" w:rsidRDefault="00D07F56" w:rsidP="007F78FD">
      <w:pPr>
        <w:rPr>
          <w:rFonts w:asciiTheme="minorHAnsi" w:hAnsiTheme="minorHAnsi"/>
          <w:b/>
          <w:sz w:val="22"/>
          <w:szCs w:val="22"/>
        </w:rPr>
      </w:pPr>
    </w:p>
    <w:p w:rsidR="0029061E" w:rsidRPr="001763C4" w:rsidRDefault="00D07F56" w:rsidP="007F78FD">
      <w:pPr>
        <w:rPr>
          <w:rFonts w:asciiTheme="minorHAnsi" w:hAnsiTheme="minorHAnsi"/>
          <w:b/>
          <w:sz w:val="22"/>
          <w:szCs w:val="22"/>
        </w:rPr>
      </w:pPr>
      <w:r w:rsidRPr="001763C4">
        <w:rPr>
          <w:rFonts w:asciiTheme="minorHAnsi" w:hAnsiTheme="minorHAnsi"/>
          <w:sz w:val="22"/>
          <w:szCs w:val="22"/>
        </w:rPr>
        <w:t>Funding for the Great Teachers and Leaders Fund - $200,000 will be available for this fund from the State Education Fund.</w:t>
      </w:r>
      <w:r w:rsidR="001F5DBF" w:rsidRPr="001763C4">
        <w:rPr>
          <w:rFonts w:asciiTheme="minorHAnsi" w:hAnsiTheme="minorHAnsi"/>
          <w:sz w:val="22"/>
          <w:szCs w:val="22"/>
        </w:rPr>
        <w:t xml:space="preserve">  This is</w:t>
      </w:r>
      <w:r w:rsidR="002C7AB5" w:rsidRPr="001763C4">
        <w:rPr>
          <w:rFonts w:asciiTheme="minorHAnsi" w:hAnsiTheme="minorHAnsi"/>
          <w:sz w:val="22"/>
          <w:szCs w:val="22"/>
        </w:rPr>
        <w:t xml:space="preserve"> to support the work of the </w:t>
      </w:r>
      <w:r w:rsidR="001F5DBF" w:rsidRPr="001763C4">
        <w:rPr>
          <w:rFonts w:asciiTheme="minorHAnsi" w:hAnsiTheme="minorHAnsi"/>
          <w:sz w:val="22"/>
          <w:szCs w:val="22"/>
        </w:rPr>
        <w:t>State Council for Education Effectiveness.</w:t>
      </w:r>
      <w:r w:rsidR="003F1099">
        <w:rPr>
          <w:rFonts w:asciiTheme="minorHAnsi" w:hAnsiTheme="minorHAnsi"/>
          <w:sz w:val="22"/>
          <w:szCs w:val="22"/>
        </w:rPr>
        <w:t xml:space="preserve"> </w:t>
      </w:r>
      <w:r w:rsidR="003F1099" w:rsidRPr="003F1099">
        <w:rPr>
          <w:rFonts w:asciiTheme="minorHAnsi" w:hAnsiTheme="minorHAnsi"/>
          <w:b/>
          <w:color w:val="203C73"/>
          <w:sz w:val="22"/>
          <w:szCs w:val="22"/>
        </w:rPr>
        <w:t xml:space="preserve"> </w:t>
      </w:r>
    </w:p>
    <w:p w:rsidR="0029061E" w:rsidRPr="001763C4" w:rsidRDefault="0029061E" w:rsidP="0029061E">
      <w:pPr>
        <w:rPr>
          <w:rFonts w:asciiTheme="minorHAnsi" w:hAnsiTheme="minorHAnsi"/>
          <w:color w:val="000000"/>
          <w:sz w:val="22"/>
          <w:szCs w:val="22"/>
        </w:rPr>
      </w:pPr>
    </w:p>
    <w:p w:rsidR="0029061E" w:rsidRPr="001763C4" w:rsidRDefault="0029061E" w:rsidP="0029061E">
      <w:pPr>
        <w:rPr>
          <w:rFonts w:asciiTheme="minorHAnsi" w:hAnsiTheme="minorHAnsi" w:cs="Arial"/>
          <w:b/>
          <w:sz w:val="22"/>
          <w:szCs w:val="22"/>
        </w:rPr>
      </w:pPr>
      <w:r w:rsidRPr="001763C4">
        <w:rPr>
          <w:rFonts w:asciiTheme="minorHAnsi" w:hAnsiTheme="minorHAnsi"/>
          <w:b/>
          <w:color w:val="000000"/>
          <w:sz w:val="22"/>
          <w:szCs w:val="22"/>
        </w:rPr>
        <w:t xml:space="preserve">Section </w:t>
      </w:r>
      <w:r w:rsidR="0087047E">
        <w:rPr>
          <w:rFonts w:asciiTheme="minorHAnsi" w:hAnsiTheme="minorHAnsi"/>
          <w:b/>
          <w:color w:val="000000"/>
          <w:sz w:val="22"/>
          <w:szCs w:val="22"/>
        </w:rPr>
        <w:t>9</w:t>
      </w:r>
    </w:p>
    <w:p w:rsidR="0029061E" w:rsidRPr="001763C4" w:rsidRDefault="0029061E" w:rsidP="007F78FD">
      <w:pPr>
        <w:rPr>
          <w:rFonts w:asciiTheme="minorHAnsi" w:hAnsiTheme="minorHAnsi"/>
          <w:b/>
          <w:sz w:val="22"/>
          <w:szCs w:val="22"/>
        </w:rPr>
      </w:pPr>
    </w:p>
    <w:p w:rsidR="003F1099" w:rsidRDefault="004C09EC" w:rsidP="007F78FD">
      <w:pPr>
        <w:rPr>
          <w:rFonts w:asciiTheme="minorHAnsi" w:hAnsiTheme="minorHAnsi"/>
          <w:sz w:val="22"/>
          <w:szCs w:val="22"/>
        </w:rPr>
      </w:pPr>
      <w:r w:rsidRPr="001763C4">
        <w:rPr>
          <w:rFonts w:asciiTheme="minorHAnsi" w:hAnsiTheme="minorHAnsi"/>
          <w:sz w:val="22"/>
          <w:szCs w:val="22"/>
        </w:rPr>
        <w:t>Increases the</w:t>
      </w:r>
      <w:r w:rsidR="009601C8" w:rsidRPr="001763C4">
        <w:rPr>
          <w:rFonts w:asciiTheme="minorHAnsi" w:hAnsiTheme="minorHAnsi"/>
          <w:sz w:val="22"/>
          <w:szCs w:val="22"/>
        </w:rPr>
        <w:t xml:space="preserve"> appropriation</w:t>
      </w:r>
      <w:r w:rsidRPr="001763C4">
        <w:rPr>
          <w:rFonts w:asciiTheme="minorHAnsi" w:hAnsiTheme="minorHAnsi"/>
          <w:sz w:val="22"/>
          <w:szCs w:val="22"/>
        </w:rPr>
        <w:t xml:space="preserve"> </w:t>
      </w:r>
      <w:r w:rsidR="009601C8" w:rsidRPr="001763C4">
        <w:rPr>
          <w:rFonts w:asciiTheme="minorHAnsi" w:hAnsiTheme="minorHAnsi"/>
          <w:sz w:val="22"/>
          <w:szCs w:val="22"/>
        </w:rPr>
        <w:t xml:space="preserve">for “Tier B” special education </w:t>
      </w:r>
      <w:r w:rsidRPr="001763C4">
        <w:rPr>
          <w:rFonts w:asciiTheme="minorHAnsi" w:hAnsiTheme="minorHAnsi"/>
          <w:sz w:val="22"/>
          <w:szCs w:val="22"/>
        </w:rPr>
        <w:t>funding by $20 million.  The add</w:t>
      </w:r>
      <w:r w:rsidR="001F5DBF" w:rsidRPr="001763C4">
        <w:rPr>
          <w:rFonts w:asciiTheme="minorHAnsi" w:hAnsiTheme="minorHAnsi"/>
          <w:sz w:val="22"/>
          <w:szCs w:val="22"/>
        </w:rPr>
        <w:t>itional funds will be from the State Education F</w:t>
      </w:r>
      <w:r w:rsidRPr="001763C4">
        <w:rPr>
          <w:rFonts w:asciiTheme="minorHAnsi" w:hAnsiTheme="minorHAnsi"/>
          <w:sz w:val="22"/>
          <w:szCs w:val="22"/>
        </w:rPr>
        <w:t xml:space="preserve">und. </w:t>
      </w:r>
      <w:r w:rsidR="0087047E">
        <w:rPr>
          <w:rFonts w:asciiTheme="minorHAnsi" w:hAnsiTheme="minorHAnsi"/>
          <w:sz w:val="22"/>
          <w:szCs w:val="22"/>
        </w:rPr>
        <w:t xml:space="preserve"> </w:t>
      </w:r>
    </w:p>
    <w:p w:rsidR="003F1099" w:rsidRDefault="003F1099" w:rsidP="007F78FD">
      <w:pPr>
        <w:rPr>
          <w:rFonts w:asciiTheme="minorHAnsi" w:hAnsiTheme="minorHAnsi"/>
          <w:sz w:val="22"/>
          <w:szCs w:val="22"/>
        </w:rPr>
      </w:pPr>
    </w:p>
    <w:p w:rsidR="0087047E" w:rsidRPr="0087047E" w:rsidRDefault="0087047E" w:rsidP="007F78FD">
      <w:pPr>
        <w:rPr>
          <w:rFonts w:asciiTheme="minorHAnsi" w:hAnsiTheme="minorHAnsi"/>
          <w:color w:val="203C73"/>
          <w:sz w:val="22"/>
          <w:szCs w:val="22"/>
        </w:rPr>
      </w:pPr>
      <w:r w:rsidRPr="0087047E">
        <w:rPr>
          <w:rFonts w:asciiTheme="minorHAnsi" w:hAnsiTheme="minorHAnsi"/>
          <w:b/>
          <w:color w:val="203C73"/>
          <w:sz w:val="22"/>
          <w:szCs w:val="22"/>
        </w:rPr>
        <w:t>Adds ma</w:t>
      </w:r>
      <w:r>
        <w:rPr>
          <w:rFonts w:asciiTheme="minorHAnsi" w:hAnsiTheme="minorHAnsi"/>
          <w:b/>
          <w:color w:val="203C73"/>
          <w:sz w:val="22"/>
          <w:szCs w:val="22"/>
        </w:rPr>
        <w:t>intenance of effort language</w:t>
      </w:r>
      <w:r w:rsidR="003F1099">
        <w:rPr>
          <w:rFonts w:asciiTheme="minorHAnsi" w:hAnsiTheme="minorHAnsi"/>
          <w:b/>
          <w:color w:val="203C73"/>
          <w:sz w:val="22"/>
          <w:szCs w:val="22"/>
        </w:rPr>
        <w:t xml:space="preserve"> regarding the increase in state funding.  State and local expenditures shall not be reduced below the level of state and local expenditures in the preceding year.</w:t>
      </w:r>
    </w:p>
    <w:p w:rsidR="001E0571" w:rsidRPr="001763C4" w:rsidRDefault="001E0571" w:rsidP="007F78FD">
      <w:pPr>
        <w:rPr>
          <w:rFonts w:asciiTheme="minorHAnsi" w:hAnsiTheme="minorHAnsi"/>
          <w:b/>
          <w:sz w:val="22"/>
          <w:szCs w:val="22"/>
        </w:rPr>
      </w:pPr>
    </w:p>
    <w:p w:rsidR="0064656C" w:rsidRPr="001763C4" w:rsidRDefault="004C09EC" w:rsidP="007F78FD">
      <w:pPr>
        <w:rPr>
          <w:rFonts w:asciiTheme="minorHAnsi" w:hAnsiTheme="minorHAnsi"/>
          <w:b/>
          <w:sz w:val="22"/>
          <w:szCs w:val="22"/>
        </w:rPr>
      </w:pPr>
      <w:r w:rsidRPr="001763C4">
        <w:rPr>
          <w:rFonts w:asciiTheme="minorHAnsi" w:hAnsiTheme="minorHAnsi"/>
          <w:b/>
          <w:sz w:val="22"/>
          <w:szCs w:val="22"/>
        </w:rPr>
        <w:t xml:space="preserve">Section </w:t>
      </w:r>
      <w:r w:rsidR="003F1099">
        <w:rPr>
          <w:rFonts w:asciiTheme="minorHAnsi" w:hAnsiTheme="minorHAnsi"/>
          <w:b/>
          <w:sz w:val="22"/>
          <w:szCs w:val="22"/>
        </w:rPr>
        <w:t>10</w:t>
      </w:r>
    </w:p>
    <w:p w:rsidR="0064656C" w:rsidRPr="001763C4" w:rsidRDefault="0064656C" w:rsidP="007F78FD">
      <w:pPr>
        <w:rPr>
          <w:rFonts w:asciiTheme="minorHAnsi" w:hAnsiTheme="minorHAnsi"/>
          <w:sz w:val="22"/>
          <w:szCs w:val="22"/>
        </w:rPr>
      </w:pPr>
    </w:p>
    <w:p w:rsidR="004C09EC" w:rsidRPr="001763C4" w:rsidRDefault="001F5DBF" w:rsidP="007F78FD">
      <w:pPr>
        <w:rPr>
          <w:rFonts w:asciiTheme="minorHAnsi" w:hAnsiTheme="minorHAnsi"/>
          <w:sz w:val="22"/>
          <w:szCs w:val="22"/>
        </w:rPr>
      </w:pPr>
      <w:r w:rsidRPr="001763C4">
        <w:rPr>
          <w:rFonts w:asciiTheme="minorHAnsi" w:hAnsiTheme="minorHAnsi"/>
          <w:sz w:val="22"/>
          <w:szCs w:val="22"/>
        </w:rPr>
        <w:t xml:space="preserve">The bill increases the number of CPP slots by 3,200 for a total of 23,360.  The additional slots may be used to serve either a half-day or full-day of preschool through the CPP or a full-day of kindergarten through existing full-day kindergarten programs. </w:t>
      </w:r>
    </w:p>
    <w:p w:rsidR="00A93E52" w:rsidRPr="00C3659E" w:rsidRDefault="00A93E52" w:rsidP="007F78FD">
      <w:pPr>
        <w:rPr>
          <w:rFonts w:asciiTheme="minorHAnsi" w:hAnsiTheme="minorHAnsi"/>
          <w:b/>
          <w:color w:val="7030A0"/>
          <w:sz w:val="22"/>
          <w:szCs w:val="22"/>
        </w:rPr>
      </w:pPr>
    </w:p>
    <w:p w:rsidR="004C09EC" w:rsidRPr="00C3659E" w:rsidRDefault="00C3659E" w:rsidP="007F78FD">
      <w:pPr>
        <w:rPr>
          <w:rFonts w:asciiTheme="minorHAnsi" w:hAnsiTheme="minorHAnsi"/>
          <w:b/>
          <w:color w:val="7030A0"/>
          <w:sz w:val="22"/>
          <w:szCs w:val="22"/>
        </w:rPr>
      </w:pPr>
      <w:r w:rsidRPr="00C3659E">
        <w:rPr>
          <w:rFonts w:asciiTheme="minorHAnsi" w:hAnsiTheme="minorHAnsi"/>
          <w:b/>
          <w:color w:val="7030A0"/>
          <w:sz w:val="22"/>
          <w:szCs w:val="22"/>
        </w:rPr>
        <w:t>Provides clarity that if a district uses a CPP position</w:t>
      </w:r>
      <w:r w:rsidR="00E30CD7">
        <w:rPr>
          <w:rFonts w:asciiTheme="minorHAnsi" w:hAnsiTheme="minorHAnsi"/>
          <w:b/>
          <w:color w:val="7030A0"/>
          <w:sz w:val="22"/>
          <w:szCs w:val="22"/>
        </w:rPr>
        <w:t xml:space="preserve"> </w:t>
      </w:r>
      <w:r w:rsidRPr="00C3659E">
        <w:rPr>
          <w:rFonts w:asciiTheme="minorHAnsi" w:hAnsiTheme="minorHAnsi"/>
          <w:b/>
          <w:color w:val="7030A0"/>
          <w:sz w:val="22"/>
          <w:szCs w:val="22"/>
        </w:rPr>
        <w:t xml:space="preserve"> to enroll a child</w:t>
      </w:r>
      <w:r w:rsidR="00E30CD7">
        <w:rPr>
          <w:rFonts w:asciiTheme="minorHAnsi" w:hAnsiTheme="minorHAnsi"/>
          <w:b/>
          <w:color w:val="7030A0"/>
          <w:sz w:val="22"/>
          <w:szCs w:val="22"/>
        </w:rPr>
        <w:t xml:space="preserve"> full-time</w:t>
      </w:r>
      <w:r w:rsidRPr="00C3659E">
        <w:rPr>
          <w:rFonts w:asciiTheme="minorHAnsi" w:hAnsiTheme="minorHAnsi"/>
          <w:b/>
          <w:color w:val="7030A0"/>
          <w:sz w:val="22"/>
          <w:szCs w:val="22"/>
        </w:rPr>
        <w:t xml:space="preserve"> in an existing Full-Day Kindergarten program, the district will receive the supplemental FDK funding of .08 for that student.</w:t>
      </w:r>
    </w:p>
    <w:p w:rsidR="00C3659E" w:rsidRPr="00C3659E" w:rsidRDefault="00C3659E" w:rsidP="007F78FD">
      <w:pPr>
        <w:rPr>
          <w:rFonts w:asciiTheme="minorHAnsi" w:hAnsiTheme="minorHAnsi"/>
          <w:color w:val="7030A0"/>
          <w:sz w:val="22"/>
          <w:szCs w:val="22"/>
        </w:rPr>
      </w:pPr>
    </w:p>
    <w:p w:rsidR="004C09EC" w:rsidRPr="003F1099" w:rsidRDefault="003F1099" w:rsidP="007F78FD">
      <w:pPr>
        <w:rPr>
          <w:rFonts w:asciiTheme="minorHAnsi" w:hAnsiTheme="minorHAnsi"/>
          <w:b/>
          <w:color w:val="203C73"/>
          <w:sz w:val="22"/>
          <w:szCs w:val="22"/>
        </w:rPr>
      </w:pPr>
      <w:r w:rsidRPr="003F1099">
        <w:rPr>
          <w:rFonts w:asciiTheme="minorHAnsi" w:hAnsiTheme="minorHAnsi"/>
          <w:b/>
          <w:color w:val="203C73"/>
          <w:sz w:val="22"/>
          <w:szCs w:val="22"/>
        </w:rPr>
        <w:t>Removes the original proposal regarding expanding quality incentive program</w:t>
      </w:r>
    </w:p>
    <w:p w:rsidR="00A93E52" w:rsidRPr="001763C4" w:rsidRDefault="00A93E52" w:rsidP="007F78FD">
      <w:pPr>
        <w:rPr>
          <w:rFonts w:asciiTheme="minorHAnsi" w:hAnsiTheme="minorHAnsi"/>
          <w:b/>
          <w:sz w:val="22"/>
          <w:szCs w:val="22"/>
        </w:rPr>
      </w:pPr>
    </w:p>
    <w:p w:rsidR="001F5DBF" w:rsidRPr="00C37CE3" w:rsidRDefault="001F5DBF" w:rsidP="008A219A">
      <w:pPr>
        <w:rPr>
          <w:rFonts w:asciiTheme="minorHAnsi" w:hAnsiTheme="minorHAnsi"/>
          <w:strike/>
          <w:sz w:val="22"/>
          <w:szCs w:val="22"/>
        </w:rPr>
      </w:pPr>
      <w:r w:rsidRPr="00C37CE3">
        <w:rPr>
          <w:rFonts w:asciiTheme="minorHAnsi" w:hAnsiTheme="minorHAnsi"/>
          <w:strike/>
          <w:sz w:val="22"/>
          <w:szCs w:val="22"/>
        </w:rPr>
        <w:lastRenderedPageBreak/>
        <w:t>The bill creates, in the</w:t>
      </w:r>
      <w:r w:rsidR="008A219A" w:rsidRPr="00C37CE3">
        <w:rPr>
          <w:rFonts w:asciiTheme="minorHAnsi" w:hAnsiTheme="minorHAnsi"/>
          <w:strike/>
          <w:sz w:val="22"/>
          <w:szCs w:val="22"/>
        </w:rPr>
        <w:t xml:space="preserve"> </w:t>
      </w:r>
      <w:r w:rsidRPr="00C37CE3">
        <w:rPr>
          <w:rFonts w:asciiTheme="minorHAnsi" w:hAnsiTheme="minorHAnsi"/>
          <w:strike/>
          <w:sz w:val="22"/>
          <w:szCs w:val="22"/>
        </w:rPr>
        <w:t>department and within the CPP, the expanding quality incentive program. Through the program, an eligible school district may apply to</w:t>
      </w:r>
      <w:r w:rsidR="008A219A" w:rsidRPr="00C37CE3">
        <w:rPr>
          <w:rFonts w:asciiTheme="minorHAnsi" w:hAnsiTheme="minorHAnsi"/>
          <w:strike/>
          <w:sz w:val="22"/>
          <w:szCs w:val="22"/>
        </w:rPr>
        <w:t xml:space="preserve"> </w:t>
      </w:r>
      <w:r w:rsidRPr="00C37CE3">
        <w:rPr>
          <w:rFonts w:asciiTheme="minorHAnsi" w:hAnsiTheme="minorHAnsi"/>
          <w:strike/>
          <w:sz w:val="22"/>
          <w:szCs w:val="22"/>
        </w:rPr>
        <w:t>the department for a grant to obtain a school-readiness quality rating for</w:t>
      </w:r>
      <w:r w:rsidR="008A219A" w:rsidRPr="00C37CE3">
        <w:rPr>
          <w:rFonts w:asciiTheme="minorHAnsi" w:hAnsiTheme="minorHAnsi"/>
          <w:strike/>
          <w:sz w:val="22"/>
          <w:szCs w:val="22"/>
        </w:rPr>
        <w:t xml:space="preserve"> </w:t>
      </w:r>
      <w:r w:rsidRPr="00C37CE3">
        <w:rPr>
          <w:rFonts w:asciiTheme="minorHAnsi" w:hAnsiTheme="minorHAnsi"/>
          <w:strike/>
          <w:sz w:val="22"/>
          <w:szCs w:val="22"/>
        </w:rPr>
        <w:t>the district's preschool program and, based on the quality rating that the</w:t>
      </w:r>
      <w:r w:rsidR="008A219A" w:rsidRPr="00C37CE3">
        <w:rPr>
          <w:rFonts w:asciiTheme="minorHAnsi" w:hAnsiTheme="minorHAnsi"/>
          <w:strike/>
          <w:sz w:val="22"/>
          <w:szCs w:val="22"/>
        </w:rPr>
        <w:t xml:space="preserve"> </w:t>
      </w:r>
      <w:r w:rsidRPr="00C37CE3">
        <w:rPr>
          <w:rFonts w:asciiTheme="minorHAnsi" w:hAnsiTheme="minorHAnsi"/>
          <w:strike/>
          <w:sz w:val="22"/>
          <w:szCs w:val="22"/>
        </w:rPr>
        <w:t>district's preschool program achieves, receive a quality improvement</w:t>
      </w:r>
      <w:r w:rsidR="008A219A" w:rsidRPr="00C37CE3">
        <w:rPr>
          <w:rFonts w:asciiTheme="minorHAnsi" w:hAnsiTheme="minorHAnsi"/>
          <w:strike/>
          <w:sz w:val="22"/>
          <w:szCs w:val="22"/>
        </w:rPr>
        <w:t xml:space="preserve"> </w:t>
      </w:r>
      <w:r w:rsidRPr="00C37CE3">
        <w:rPr>
          <w:rFonts w:asciiTheme="minorHAnsi" w:hAnsiTheme="minorHAnsi"/>
          <w:strike/>
          <w:sz w:val="22"/>
          <w:szCs w:val="22"/>
        </w:rPr>
        <w:t>grant that the district must use to enhance the quality of the district's</w:t>
      </w:r>
      <w:r w:rsidR="008A219A" w:rsidRPr="00C37CE3">
        <w:rPr>
          <w:rFonts w:asciiTheme="minorHAnsi" w:hAnsiTheme="minorHAnsi"/>
          <w:strike/>
          <w:sz w:val="22"/>
          <w:szCs w:val="22"/>
        </w:rPr>
        <w:t xml:space="preserve"> preschool program.</w:t>
      </w:r>
    </w:p>
    <w:p w:rsidR="007D7AAC" w:rsidRPr="00C37CE3" w:rsidRDefault="007D7AAC" w:rsidP="008A219A">
      <w:pPr>
        <w:rPr>
          <w:rFonts w:asciiTheme="minorHAnsi" w:hAnsiTheme="minorHAnsi"/>
          <w:strike/>
          <w:sz w:val="22"/>
          <w:szCs w:val="22"/>
        </w:rPr>
      </w:pPr>
    </w:p>
    <w:p w:rsidR="007D7AAC" w:rsidRPr="00C37CE3" w:rsidRDefault="007D7AAC" w:rsidP="007D7AAC">
      <w:pPr>
        <w:rPr>
          <w:rFonts w:asciiTheme="minorHAnsi" w:hAnsiTheme="minorHAnsi"/>
          <w:strike/>
          <w:sz w:val="22"/>
          <w:szCs w:val="22"/>
        </w:rPr>
      </w:pPr>
      <w:r w:rsidRPr="00C37CE3">
        <w:rPr>
          <w:rFonts w:asciiTheme="minorHAnsi" w:hAnsiTheme="minorHAnsi"/>
          <w:strike/>
          <w:sz w:val="22"/>
          <w:szCs w:val="22"/>
        </w:rPr>
        <w:t>While the bill does not currently contain an appropriation, the fiscal note assumes that $5 million will be required to fund the program. The fiscal note will be updated as more information on the costs of the program become available.</w:t>
      </w:r>
    </w:p>
    <w:p w:rsidR="00A93E52" w:rsidRPr="003F1099" w:rsidRDefault="00A93E52" w:rsidP="007F78FD">
      <w:pPr>
        <w:rPr>
          <w:rFonts w:asciiTheme="minorHAnsi" w:hAnsiTheme="minorHAnsi"/>
          <w:strike/>
          <w:color w:val="203C73"/>
          <w:sz w:val="22"/>
          <w:szCs w:val="22"/>
        </w:rPr>
      </w:pPr>
    </w:p>
    <w:p w:rsidR="003F1099" w:rsidRDefault="003F1099" w:rsidP="007F78FD">
      <w:pPr>
        <w:rPr>
          <w:rFonts w:asciiTheme="minorHAnsi" w:hAnsiTheme="minorHAnsi"/>
          <w:b/>
          <w:sz w:val="22"/>
          <w:szCs w:val="22"/>
        </w:rPr>
      </w:pPr>
    </w:p>
    <w:p w:rsidR="00A93E52" w:rsidRPr="001763C4" w:rsidRDefault="00A93E52" w:rsidP="007F78FD">
      <w:pPr>
        <w:rPr>
          <w:rFonts w:asciiTheme="minorHAnsi" w:hAnsiTheme="minorHAnsi"/>
          <w:b/>
          <w:sz w:val="22"/>
          <w:szCs w:val="22"/>
        </w:rPr>
      </w:pPr>
      <w:r w:rsidRPr="001763C4">
        <w:rPr>
          <w:rFonts w:asciiTheme="minorHAnsi" w:hAnsiTheme="minorHAnsi"/>
          <w:b/>
          <w:sz w:val="22"/>
          <w:szCs w:val="22"/>
        </w:rPr>
        <w:t>Sect</w:t>
      </w:r>
      <w:r w:rsidR="008A219A" w:rsidRPr="001763C4">
        <w:rPr>
          <w:rFonts w:asciiTheme="minorHAnsi" w:hAnsiTheme="minorHAnsi"/>
          <w:b/>
          <w:sz w:val="22"/>
          <w:szCs w:val="22"/>
        </w:rPr>
        <w:t>ion 11</w:t>
      </w:r>
    </w:p>
    <w:p w:rsidR="008A219A" w:rsidRPr="001763C4" w:rsidRDefault="008A219A" w:rsidP="007F78FD">
      <w:pPr>
        <w:rPr>
          <w:rFonts w:asciiTheme="minorHAnsi" w:hAnsiTheme="minorHAnsi"/>
          <w:sz w:val="22"/>
          <w:szCs w:val="22"/>
        </w:rPr>
      </w:pPr>
    </w:p>
    <w:p w:rsidR="008A219A" w:rsidRPr="001763C4" w:rsidRDefault="008A219A" w:rsidP="007F78FD">
      <w:pPr>
        <w:rPr>
          <w:rFonts w:asciiTheme="minorHAnsi" w:hAnsiTheme="minorHAnsi"/>
          <w:sz w:val="22"/>
          <w:szCs w:val="22"/>
        </w:rPr>
      </w:pPr>
      <w:r w:rsidRPr="001763C4">
        <w:rPr>
          <w:rFonts w:asciiTheme="minorHAnsi" w:hAnsiTheme="minorHAnsi"/>
          <w:sz w:val="22"/>
          <w:szCs w:val="22"/>
        </w:rPr>
        <w:t>Changes the amount of interest/income earned in the Public School Fund that is credited to the State Public School Fund.</w:t>
      </w:r>
    </w:p>
    <w:p w:rsidR="008A219A" w:rsidRPr="001763C4" w:rsidRDefault="008A219A" w:rsidP="007F78FD">
      <w:pPr>
        <w:rPr>
          <w:rFonts w:asciiTheme="minorHAnsi" w:hAnsiTheme="minorHAnsi"/>
          <w:sz w:val="22"/>
          <w:szCs w:val="22"/>
        </w:rPr>
      </w:pPr>
    </w:p>
    <w:p w:rsidR="001763C4" w:rsidRDefault="001763C4" w:rsidP="007F78FD">
      <w:pPr>
        <w:rPr>
          <w:rFonts w:asciiTheme="minorHAnsi" w:hAnsiTheme="minorHAnsi"/>
          <w:b/>
          <w:sz w:val="22"/>
          <w:szCs w:val="22"/>
        </w:rPr>
      </w:pPr>
    </w:p>
    <w:p w:rsidR="008A219A" w:rsidRPr="001763C4" w:rsidRDefault="008A219A" w:rsidP="007F78FD">
      <w:pPr>
        <w:rPr>
          <w:rFonts w:asciiTheme="minorHAnsi" w:hAnsiTheme="minorHAnsi"/>
          <w:b/>
          <w:sz w:val="22"/>
          <w:szCs w:val="22"/>
        </w:rPr>
      </w:pPr>
      <w:r w:rsidRPr="001763C4">
        <w:rPr>
          <w:rFonts w:asciiTheme="minorHAnsi" w:hAnsiTheme="minorHAnsi"/>
          <w:b/>
          <w:sz w:val="22"/>
          <w:szCs w:val="22"/>
        </w:rPr>
        <w:t>Section 12</w:t>
      </w:r>
    </w:p>
    <w:p w:rsidR="008A219A" w:rsidRPr="001763C4" w:rsidRDefault="008A219A" w:rsidP="007F78FD">
      <w:pPr>
        <w:rPr>
          <w:rFonts w:asciiTheme="minorHAnsi" w:hAnsiTheme="minorHAnsi"/>
          <w:sz w:val="22"/>
          <w:szCs w:val="22"/>
        </w:rPr>
      </w:pPr>
    </w:p>
    <w:p w:rsidR="008A219A" w:rsidRPr="001763C4" w:rsidRDefault="008A219A" w:rsidP="007F78FD">
      <w:pPr>
        <w:rPr>
          <w:rFonts w:asciiTheme="minorHAnsi" w:hAnsiTheme="minorHAnsi"/>
          <w:strike/>
          <w:color w:val="FF0000"/>
          <w:sz w:val="22"/>
          <w:szCs w:val="22"/>
        </w:rPr>
      </w:pPr>
      <w:r w:rsidRPr="001763C4">
        <w:rPr>
          <w:rFonts w:asciiTheme="minorHAnsi" w:hAnsiTheme="minorHAnsi"/>
          <w:strike/>
          <w:color w:val="FF0000"/>
          <w:sz w:val="22"/>
          <w:szCs w:val="22"/>
        </w:rPr>
        <w:t>The introduced bill changed the amount of funding that would be transferred into the BEST program by eliminating the income from bonus payments from the Lowry Range contracts.</w:t>
      </w:r>
    </w:p>
    <w:p w:rsidR="008A219A" w:rsidRPr="001763C4" w:rsidRDefault="008A219A" w:rsidP="007F78FD">
      <w:pPr>
        <w:rPr>
          <w:rFonts w:asciiTheme="minorHAnsi" w:hAnsiTheme="minorHAnsi"/>
          <w:sz w:val="22"/>
          <w:szCs w:val="22"/>
        </w:rPr>
      </w:pPr>
    </w:p>
    <w:p w:rsidR="00A93E52" w:rsidRPr="001763C4" w:rsidRDefault="003F1099" w:rsidP="007F78FD">
      <w:pPr>
        <w:rPr>
          <w:rFonts w:asciiTheme="minorHAnsi" w:hAnsiTheme="minorHAnsi"/>
          <w:b/>
          <w:sz w:val="22"/>
          <w:szCs w:val="22"/>
        </w:rPr>
      </w:pPr>
      <w:r>
        <w:rPr>
          <w:rFonts w:asciiTheme="minorHAnsi" w:hAnsiTheme="minorHAnsi"/>
          <w:b/>
          <w:sz w:val="22"/>
          <w:szCs w:val="22"/>
        </w:rPr>
        <w:t>Section 12</w:t>
      </w:r>
    </w:p>
    <w:p w:rsidR="008A219A" w:rsidRPr="001763C4" w:rsidRDefault="008A219A" w:rsidP="007F78FD">
      <w:pPr>
        <w:rPr>
          <w:rFonts w:asciiTheme="minorHAnsi" w:hAnsiTheme="minorHAnsi"/>
          <w:b/>
          <w:sz w:val="22"/>
          <w:szCs w:val="22"/>
        </w:rPr>
      </w:pPr>
    </w:p>
    <w:p w:rsidR="008A219A" w:rsidRPr="001763C4" w:rsidRDefault="00E46FCD" w:rsidP="00E46FCD">
      <w:pPr>
        <w:rPr>
          <w:rFonts w:asciiTheme="minorHAnsi" w:hAnsiTheme="minorHAnsi"/>
          <w:sz w:val="22"/>
          <w:szCs w:val="22"/>
        </w:rPr>
      </w:pPr>
      <w:r w:rsidRPr="001763C4">
        <w:rPr>
          <w:rFonts w:asciiTheme="minorHAnsi" w:hAnsiTheme="minorHAnsi"/>
          <w:sz w:val="22"/>
          <w:szCs w:val="22"/>
        </w:rPr>
        <w:t>The bill requires the department to contract at least one organization (vendors) to create a quality teacher recruitment program (recruitment program) for the state to recruit, select, train and retain highly qualified teachers to teach in schools and school districts in Colorado that can demonstrate historic difficulty in recruiting and retaining highly qualified teachers.</w:t>
      </w:r>
      <w:r w:rsidR="00C3659E">
        <w:rPr>
          <w:rFonts w:asciiTheme="minorHAnsi" w:hAnsiTheme="minorHAnsi"/>
          <w:sz w:val="22"/>
          <w:szCs w:val="22"/>
        </w:rPr>
        <w:t xml:space="preserve">  $3,000,000 is appropriated for this initiative from the State Education Fund.</w:t>
      </w:r>
    </w:p>
    <w:p w:rsidR="00E46FCD" w:rsidRPr="001763C4" w:rsidRDefault="00E46FCD" w:rsidP="00E46FCD">
      <w:pPr>
        <w:rPr>
          <w:rFonts w:asciiTheme="minorHAnsi" w:hAnsiTheme="minorHAnsi"/>
          <w:sz w:val="22"/>
          <w:szCs w:val="22"/>
        </w:rPr>
      </w:pPr>
    </w:p>
    <w:p w:rsidR="003F1099" w:rsidRPr="001763C4" w:rsidRDefault="003F1099" w:rsidP="003F1099">
      <w:pPr>
        <w:rPr>
          <w:rFonts w:asciiTheme="minorHAnsi" w:hAnsiTheme="minorHAnsi"/>
          <w:b/>
          <w:color w:val="FF0000"/>
          <w:sz w:val="22"/>
          <w:szCs w:val="22"/>
        </w:rPr>
      </w:pPr>
      <w:r>
        <w:rPr>
          <w:rFonts w:asciiTheme="minorHAnsi" w:hAnsiTheme="minorHAnsi"/>
          <w:b/>
          <w:color w:val="FF0000"/>
          <w:sz w:val="22"/>
          <w:szCs w:val="22"/>
        </w:rPr>
        <w:t>Section 13</w:t>
      </w:r>
    </w:p>
    <w:p w:rsidR="003F1099" w:rsidRPr="001763C4" w:rsidRDefault="003F1099" w:rsidP="003F1099">
      <w:pPr>
        <w:rPr>
          <w:rFonts w:asciiTheme="minorHAnsi" w:hAnsiTheme="minorHAnsi"/>
          <w:b/>
          <w:color w:val="FF0000"/>
          <w:sz w:val="22"/>
          <w:szCs w:val="22"/>
        </w:rPr>
      </w:pPr>
    </w:p>
    <w:p w:rsidR="003F1099" w:rsidRPr="001763C4" w:rsidRDefault="003F1099" w:rsidP="003F1099">
      <w:pPr>
        <w:rPr>
          <w:rFonts w:asciiTheme="minorHAnsi" w:hAnsiTheme="minorHAnsi"/>
          <w:color w:val="FF0000"/>
          <w:sz w:val="22"/>
          <w:szCs w:val="22"/>
        </w:rPr>
      </w:pPr>
      <w:r w:rsidRPr="001763C4">
        <w:rPr>
          <w:rFonts w:asciiTheme="minorHAnsi" w:hAnsiTheme="minorHAnsi"/>
          <w:color w:val="FF0000"/>
          <w:sz w:val="22"/>
          <w:szCs w:val="22"/>
        </w:rPr>
        <w:t xml:space="preserve">Adds language that </w:t>
      </w:r>
      <w:r w:rsidRPr="00C3659E">
        <w:rPr>
          <w:rFonts w:asciiTheme="minorHAnsi" w:hAnsiTheme="minorHAnsi"/>
          <w:strike/>
          <w:color w:val="FF0000"/>
          <w:sz w:val="22"/>
          <w:szCs w:val="22"/>
        </w:rPr>
        <w:t>one half</w:t>
      </w:r>
      <w:r w:rsidRPr="001763C4">
        <w:rPr>
          <w:rFonts w:asciiTheme="minorHAnsi" w:hAnsiTheme="minorHAnsi"/>
          <w:color w:val="FF0000"/>
          <w:sz w:val="22"/>
          <w:szCs w:val="22"/>
        </w:rPr>
        <w:t xml:space="preserve"> </w:t>
      </w:r>
      <w:r w:rsidR="00C3659E">
        <w:rPr>
          <w:rFonts w:asciiTheme="minorHAnsi" w:hAnsiTheme="minorHAnsi"/>
          <w:b/>
          <w:color w:val="7030A0"/>
          <w:sz w:val="22"/>
          <w:szCs w:val="22"/>
        </w:rPr>
        <w:t xml:space="preserve">seventy-five percent </w:t>
      </w:r>
      <w:r w:rsidRPr="001763C4">
        <w:rPr>
          <w:rFonts w:asciiTheme="minorHAnsi" w:hAnsiTheme="minorHAnsi"/>
          <w:color w:val="FF0000"/>
          <w:sz w:val="22"/>
          <w:szCs w:val="22"/>
        </w:rPr>
        <w:t xml:space="preserve">of the amount above any reserve requirements </w:t>
      </w:r>
      <w:r w:rsidR="004A2B93">
        <w:rPr>
          <w:rFonts w:asciiTheme="minorHAnsi" w:hAnsiTheme="minorHAnsi"/>
          <w:color w:val="FF0000"/>
          <w:sz w:val="22"/>
          <w:szCs w:val="22"/>
        </w:rPr>
        <w:t xml:space="preserve">in the State’s General Fund </w:t>
      </w:r>
      <w:r w:rsidRPr="001763C4">
        <w:rPr>
          <w:rFonts w:asciiTheme="minorHAnsi" w:hAnsiTheme="minorHAnsi"/>
          <w:color w:val="FF0000"/>
          <w:sz w:val="22"/>
          <w:szCs w:val="22"/>
        </w:rPr>
        <w:t>at the end of 2013-14 would be transferred to the State Education Fund.</w:t>
      </w:r>
    </w:p>
    <w:p w:rsidR="003F1099" w:rsidRDefault="003F1099" w:rsidP="00E46FCD">
      <w:pPr>
        <w:rPr>
          <w:rFonts w:asciiTheme="minorHAnsi" w:hAnsiTheme="minorHAnsi"/>
          <w:b/>
          <w:sz w:val="22"/>
          <w:szCs w:val="22"/>
        </w:rPr>
      </w:pPr>
    </w:p>
    <w:p w:rsidR="003F1099" w:rsidRDefault="003F1099" w:rsidP="00E46FCD">
      <w:pPr>
        <w:rPr>
          <w:rFonts w:asciiTheme="minorHAnsi" w:hAnsiTheme="minorHAnsi"/>
          <w:b/>
          <w:sz w:val="22"/>
          <w:szCs w:val="22"/>
        </w:rPr>
      </w:pPr>
    </w:p>
    <w:p w:rsidR="007D7AAC" w:rsidRPr="001763C4" w:rsidRDefault="007D7AAC" w:rsidP="00E46FCD">
      <w:pPr>
        <w:rPr>
          <w:rFonts w:asciiTheme="minorHAnsi" w:hAnsiTheme="minorHAnsi"/>
          <w:b/>
          <w:sz w:val="22"/>
          <w:szCs w:val="22"/>
        </w:rPr>
      </w:pPr>
      <w:r w:rsidRPr="001763C4">
        <w:rPr>
          <w:rFonts w:asciiTheme="minorHAnsi" w:hAnsiTheme="minorHAnsi"/>
          <w:b/>
          <w:sz w:val="22"/>
          <w:szCs w:val="22"/>
        </w:rPr>
        <w:t>Section 14 – Appropriations Section</w:t>
      </w:r>
    </w:p>
    <w:p w:rsidR="00E46FCD" w:rsidRPr="001763C4" w:rsidRDefault="00E46FCD" w:rsidP="00E46FCD">
      <w:pPr>
        <w:rPr>
          <w:rFonts w:asciiTheme="minorHAnsi" w:hAnsiTheme="minorHAnsi"/>
          <w:sz w:val="22"/>
          <w:szCs w:val="22"/>
        </w:rPr>
      </w:pPr>
    </w:p>
    <w:p w:rsidR="00A93E52" w:rsidRPr="001763C4" w:rsidRDefault="007D7AAC" w:rsidP="007F78FD">
      <w:pPr>
        <w:rPr>
          <w:rFonts w:asciiTheme="minorHAnsi" w:hAnsiTheme="minorHAnsi"/>
          <w:sz w:val="22"/>
          <w:szCs w:val="22"/>
        </w:rPr>
      </w:pPr>
      <w:r w:rsidRPr="001763C4">
        <w:rPr>
          <w:rFonts w:asciiTheme="minorHAnsi" w:hAnsiTheme="minorHAnsi"/>
          <w:sz w:val="22"/>
          <w:szCs w:val="22"/>
        </w:rPr>
        <w:t xml:space="preserve">There is in the introduced bill funding for </w:t>
      </w:r>
      <w:r w:rsidR="00A93E52" w:rsidRPr="001763C4">
        <w:rPr>
          <w:rFonts w:asciiTheme="minorHAnsi" w:hAnsiTheme="minorHAnsi"/>
          <w:sz w:val="22"/>
          <w:szCs w:val="22"/>
        </w:rPr>
        <w:t>annual stipends for any teacher who holds a certification from the national boar</w:t>
      </w:r>
      <w:r w:rsidRPr="001763C4">
        <w:rPr>
          <w:rFonts w:asciiTheme="minorHAnsi" w:hAnsiTheme="minorHAnsi"/>
          <w:sz w:val="22"/>
          <w:szCs w:val="22"/>
        </w:rPr>
        <w:t>d</w:t>
      </w:r>
      <w:r w:rsidR="00A93E52" w:rsidRPr="001763C4">
        <w:rPr>
          <w:rFonts w:asciiTheme="minorHAnsi" w:hAnsiTheme="minorHAnsi"/>
          <w:sz w:val="22"/>
          <w:szCs w:val="22"/>
        </w:rPr>
        <w:t xml:space="preserve"> for professional teaching or principal standards.  The total appropriation of $1,339,200 will be from the state education fund.</w:t>
      </w:r>
    </w:p>
    <w:p w:rsidR="00A02C05" w:rsidRDefault="00A02C05" w:rsidP="007F78FD">
      <w:pPr>
        <w:rPr>
          <w:rFonts w:asciiTheme="minorHAnsi" w:hAnsiTheme="minorHAnsi"/>
          <w:sz w:val="22"/>
          <w:szCs w:val="22"/>
        </w:rPr>
      </w:pPr>
    </w:p>
    <w:p w:rsidR="0064656C" w:rsidRPr="001763C4" w:rsidRDefault="003F1099" w:rsidP="007F78FD">
      <w:pPr>
        <w:rPr>
          <w:rFonts w:asciiTheme="minorHAnsi" w:hAnsiTheme="minorHAnsi"/>
          <w:sz w:val="22"/>
          <w:szCs w:val="22"/>
        </w:rPr>
      </w:pPr>
      <w:r>
        <w:rPr>
          <w:rFonts w:asciiTheme="minorHAnsi" w:hAnsiTheme="minorHAnsi"/>
          <w:b/>
          <w:color w:val="203C73"/>
          <w:sz w:val="22"/>
          <w:szCs w:val="22"/>
        </w:rPr>
        <w:t>Other appropriation changes include funding sources as noted above.</w:t>
      </w:r>
    </w:p>
    <w:sectPr w:rsidR="0064656C" w:rsidRPr="001763C4" w:rsidSect="00EC58A8">
      <w:footerReference w:type="default" r:id="rId9"/>
      <w:pgSz w:w="12240" w:h="15840"/>
      <w:pgMar w:top="630" w:right="1170" w:bottom="720" w:left="11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B7" w:rsidRDefault="002820B7" w:rsidP="00CB4078">
      <w:r>
        <w:separator/>
      </w:r>
    </w:p>
  </w:endnote>
  <w:endnote w:type="continuationSeparator" w:id="0">
    <w:p w:rsidR="002820B7" w:rsidRDefault="002820B7" w:rsidP="00CB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B7" w:rsidRDefault="002820B7">
    <w:pPr>
      <w:pStyle w:val="Footer"/>
      <w:rPr>
        <w:rFonts w:asciiTheme="minorHAnsi" w:hAnsiTheme="minorHAnsi"/>
        <w:sz w:val="22"/>
        <w:szCs w:val="22"/>
      </w:rPr>
    </w:pPr>
    <w:r>
      <w:rPr>
        <w:rFonts w:asciiTheme="minorHAnsi" w:hAnsiTheme="minorHAnsi"/>
        <w:sz w:val="22"/>
        <w:szCs w:val="22"/>
      </w:rPr>
      <w:t>5/2/13</w:t>
    </w:r>
  </w:p>
  <w:p w:rsidR="002820B7" w:rsidRPr="001763C4" w:rsidRDefault="002820B7">
    <w:pPr>
      <w:pStyle w:val="Footer"/>
      <w:rPr>
        <w:rFonts w:asciiTheme="minorHAnsi" w:hAnsiTheme="minorHAnsi"/>
        <w:sz w:val="22"/>
        <w:szCs w:val="22"/>
      </w:rPr>
    </w:pPr>
  </w:p>
  <w:p w:rsidR="002820B7" w:rsidRDefault="00282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B7" w:rsidRDefault="002820B7" w:rsidP="00CB4078">
      <w:r>
        <w:separator/>
      </w:r>
    </w:p>
  </w:footnote>
  <w:footnote w:type="continuationSeparator" w:id="0">
    <w:p w:rsidR="002820B7" w:rsidRDefault="002820B7" w:rsidP="00CB4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31A"/>
    <w:multiLevelType w:val="hybridMultilevel"/>
    <w:tmpl w:val="EF868816"/>
    <w:lvl w:ilvl="0" w:tplc="95F8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03C7B"/>
    <w:multiLevelType w:val="hybridMultilevel"/>
    <w:tmpl w:val="725A8798"/>
    <w:lvl w:ilvl="0" w:tplc="E66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C09BF"/>
    <w:multiLevelType w:val="hybridMultilevel"/>
    <w:tmpl w:val="065A0F3E"/>
    <w:lvl w:ilvl="0" w:tplc="BDDAE962">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F60C3"/>
    <w:multiLevelType w:val="hybridMultilevel"/>
    <w:tmpl w:val="88580F2C"/>
    <w:lvl w:ilvl="0" w:tplc="8012A9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D91645"/>
    <w:multiLevelType w:val="hybridMultilevel"/>
    <w:tmpl w:val="C27461CC"/>
    <w:lvl w:ilvl="0" w:tplc="E66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A130C"/>
    <w:multiLevelType w:val="hybridMultilevel"/>
    <w:tmpl w:val="781A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60A96"/>
    <w:multiLevelType w:val="hybridMultilevel"/>
    <w:tmpl w:val="8CE4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C1748"/>
    <w:multiLevelType w:val="hybridMultilevel"/>
    <w:tmpl w:val="CEA2C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171727"/>
    <w:multiLevelType w:val="hybridMultilevel"/>
    <w:tmpl w:val="AE44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651F8E"/>
    <w:multiLevelType w:val="hybridMultilevel"/>
    <w:tmpl w:val="9768F7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D2B3855"/>
    <w:multiLevelType w:val="hybridMultilevel"/>
    <w:tmpl w:val="B36E132C"/>
    <w:lvl w:ilvl="0" w:tplc="04090001">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2223"/>
        </w:tabs>
        <w:ind w:left="2223" w:hanging="360"/>
      </w:pPr>
      <w:rPr>
        <w:rFonts w:ascii="Courier New" w:hAnsi="Courier New" w:cs="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cs="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cs="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11">
    <w:nsid w:val="5CD76145"/>
    <w:multiLevelType w:val="hybridMultilevel"/>
    <w:tmpl w:val="70AC14E8"/>
    <w:lvl w:ilvl="0" w:tplc="E66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00858"/>
    <w:multiLevelType w:val="hybridMultilevel"/>
    <w:tmpl w:val="EB4A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1531D8"/>
    <w:multiLevelType w:val="hybridMultilevel"/>
    <w:tmpl w:val="29B20160"/>
    <w:lvl w:ilvl="0" w:tplc="C018C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7D1BF8"/>
    <w:multiLevelType w:val="hybridMultilevel"/>
    <w:tmpl w:val="508C8A66"/>
    <w:lvl w:ilvl="0" w:tplc="E66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60C72"/>
    <w:multiLevelType w:val="hybridMultilevel"/>
    <w:tmpl w:val="21DEA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467602"/>
    <w:multiLevelType w:val="hybridMultilevel"/>
    <w:tmpl w:val="F51CF056"/>
    <w:lvl w:ilvl="0" w:tplc="8D347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7"/>
  </w:num>
  <w:num w:numId="5">
    <w:abstractNumId w:val="3"/>
  </w:num>
  <w:num w:numId="6">
    <w:abstractNumId w:val="8"/>
  </w:num>
  <w:num w:numId="7">
    <w:abstractNumId w:val="16"/>
  </w:num>
  <w:num w:numId="8">
    <w:abstractNumId w:val="13"/>
  </w:num>
  <w:num w:numId="9">
    <w:abstractNumId w:val="0"/>
  </w:num>
  <w:num w:numId="10">
    <w:abstractNumId w:val="2"/>
  </w:num>
  <w:num w:numId="11">
    <w:abstractNumId w:val="14"/>
  </w:num>
  <w:num w:numId="12">
    <w:abstractNumId w:val="11"/>
  </w:num>
  <w:num w:numId="13">
    <w:abstractNumId w:val="4"/>
  </w:num>
  <w:num w:numId="14">
    <w:abstractNumId w:val="1"/>
  </w:num>
  <w:num w:numId="15">
    <w:abstractNumId w:val="5"/>
  </w:num>
  <w:num w:numId="16">
    <w:abstractNumId w:val="6"/>
  </w:num>
  <w:num w:numId="1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FD"/>
    <w:rsid w:val="00017386"/>
    <w:rsid w:val="000228E2"/>
    <w:rsid w:val="00037600"/>
    <w:rsid w:val="000416FF"/>
    <w:rsid w:val="00053B9B"/>
    <w:rsid w:val="0007676C"/>
    <w:rsid w:val="00085E2D"/>
    <w:rsid w:val="000962B2"/>
    <w:rsid w:val="000A5481"/>
    <w:rsid w:val="000B2F19"/>
    <w:rsid w:val="000F2734"/>
    <w:rsid w:val="00125BEF"/>
    <w:rsid w:val="001419E7"/>
    <w:rsid w:val="0014463A"/>
    <w:rsid w:val="00151A83"/>
    <w:rsid w:val="00166993"/>
    <w:rsid w:val="001750BD"/>
    <w:rsid w:val="001763C4"/>
    <w:rsid w:val="001807BE"/>
    <w:rsid w:val="001A2090"/>
    <w:rsid w:val="001A258D"/>
    <w:rsid w:val="001B6585"/>
    <w:rsid w:val="001C3105"/>
    <w:rsid w:val="001C6C63"/>
    <w:rsid w:val="001E0571"/>
    <w:rsid w:val="001E5EAB"/>
    <w:rsid w:val="001F29A7"/>
    <w:rsid w:val="001F2EE5"/>
    <w:rsid w:val="001F462D"/>
    <w:rsid w:val="001F5822"/>
    <w:rsid w:val="001F5DBF"/>
    <w:rsid w:val="001F6B60"/>
    <w:rsid w:val="0020315F"/>
    <w:rsid w:val="0020462E"/>
    <w:rsid w:val="00222B4A"/>
    <w:rsid w:val="0024571B"/>
    <w:rsid w:val="00247C1D"/>
    <w:rsid w:val="00251326"/>
    <w:rsid w:val="00251676"/>
    <w:rsid w:val="002573EC"/>
    <w:rsid w:val="002816E8"/>
    <w:rsid w:val="00281838"/>
    <w:rsid w:val="002820B7"/>
    <w:rsid w:val="00286487"/>
    <w:rsid w:val="0029061E"/>
    <w:rsid w:val="0029794E"/>
    <w:rsid w:val="002C64A5"/>
    <w:rsid w:val="002C7AB5"/>
    <w:rsid w:val="00305789"/>
    <w:rsid w:val="00311E61"/>
    <w:rsid w:val="00314AC0"/>
    <w:rsid w:val="00314D9C"/>
    <w:rsid w:val="003241FA"/>
    <w:rsid w:val="00347967"/>
    <w:rsid w:val="0035318E"/>
    <w:rsid w:val="00354577"/>
    <w:rsid w:val="003564BB"/>
    <w:rsid w:val="003727C5"/>
    <w:rsid w:val="0038164F"/>
    <w:rsid w:val="00390ABA"/>
    <w:rsid w:val="003A2D3E"/>
    <w:rsid w:val="003A4872"/>
    <w:rsid w:val="003D4BCE"/>
    <w:rsid w:val="003F1099"/>
    <w:rsid w:val="0041072B"/>
    <w:rsid w:val="00430153"/>
    <w:rsid w:val="00440372"/>
    <w:rsid w:val="004739CE"/>
    <w:rsid w:val="00497959"/>
    <w:rsid w:val="004A2B93"/>
    <w:rsid w:val="004A3C3D"/>
    <w:rsid w:val="004B1002"/>
    <w:rsid w:val="004B5ED2"/>
    <w:rsid w:val="004C09EC"/>
    <w:rsid w:val="004C4135"/>
    <w:rsid w:val="004F76B2"/>
    <w:rsid w:val="00500FA9"/>
    <w:rsid w:val="00501E08"/>
    <w:rsid w:val="005039D4"/>
    <w:rsid w:val="005069E2"/>
    <w:rsid w:val="005073FC"/>
    <w:rsid w:val="00526A31"/>
    <w:rsid w:val="00535D20"/>
    <w:rsid w:val="0053603B"/>
    <w:rsid w:val="00576224"/>
    <w:rsid w:val="00577B00"/>
    <w:rsid w:val="005B0F13"/>
    <w:rsid w:val="005B2469"/>
    <w:rsid w:val="005C54FF"/>
    <w:rsid w:val="005D5266"/>
    <w:rsid w:val="005E2C3E"/>
    <w:rsid w:val="005F23F4"/>
    <w:rsid w:val="006016EA"/>
    <w:rsid w:val="00624EB8"/>
    <w:rsid w:val="0064392F"/>
    <w:rsid w:val="0064656C"/>
    <w:rsid w:val="006556E6"/>
    <w:rsid w:val="006574D6"/>
    <w:rsid w:val="0066597D"/>
    <w:rsid w:val="0068092B"/>
    <w:rsid w:val="006915FC"/>
    <w:rsid w:val="0069349A"/>
    <w:rsid w:val="006950CD"/>
    <w:rsid w:val="006A562F"/>
    <w:rsid w:val="006F4C7A"/>
    <w:rsid w:val="0071609A"/>
    <w:rsid w:val="00735E1A"/>
    <w:rsid w:val="00745E5B"/>
    <w:rsid w:val="0076239D"/>
    <w:rsid w:val="007764D2"/>
    <w:rsid w:val="0078499C"/>
    <w:rsid w:val="0079409A"/>
    <w:rsid w:val="007B47ED"/>
    <w:rsid w:val="007B4F65"/>
    <w:rsid w:val="007C3275"/>
    <w:rsid w:val="007D7AAC"/>
    <w:rsid w:val="007F78FD"/>
    <w:rsid w:val="008113FE"/>
    <w:rsid w:val="00814559"/>
    <w:rsid w:val="00820A8B"/>
    <w:rsid w:val="0082365F"/>
    <w:rsid w:val="00866C95"/>
    <w:rsid w:val="0087047E"/>
    <w:rsid w:val="00884DD2"/>
    <w:rsid w:val="008A219A"/>
    <w:rsid w:val="008D3BE4"/>
    <w:rsid w:val="008F0AD4"/>
    <w:rsid w:val="00944C67"/>
    <w:rsid w:val="009601C8"/>
    <w:rsid w:val="00977724"/>
    <w:rsid w:val="009C1206"/>
    <w:rsid w:val="009C3C13"/>
    <w:rsid w:val="009D72E0"/>
    <w:rsid w:val="009E3F63"/>
    <w:rsid w:val="009F497E"/>
    <w:rsid w:val="009F5358"/>
    <w:rsid w:val="00A02C05"/>
    <w:rsid w:val="00A11418"/>
    <w:rsid w:val="00A13348"/>
    <w:rsid w:val="00A16198"/>
    <w:rsid w:val="00A21FE9"/>
    <w:rsid w:val="00A236D8"/>
    <w:rsid w:val="00A24D46"/>
    <w:rsid w:val="00A61064"/>
    <w:rsid w:val="00A61D9E"/>
    <w:rsid w:val="00A64F54"/>
    <w:rsid w:val="00A8730A"/>
    <w:rsid w:val="00A93E52"/>
    <w:rsid w:val="00AB7208"/>
    <w:rsid w:val="00AC64DE"/>
    <w:rsid w:val="00AD1110"/>
    <w:rsid w:val="00AD58C4"/>
    <w:rsid w:val="00AD5DC2"/>
    <w:rsid w:val="00AE1AA6"/>
    <w:rsid w:val="00AE2D51"/>
    <w:rsid w:val="00AF35F9"/>
    <w:rsid w:val="00B059D0"/>
    <w:rsid w:val="00B11B77"/>
    <w:rsid w:val="00B15CF7"/>
    <w:rsid w:val="00B27304"/>
    <w:rsid w:val="00B32E3D"/>
    <w:rsid w:val="00B33FF7"/>
    <w:rsid w:val="00B41D8E"/>
    <w:rsid w:val="00B6328B"/>
    <w:rsid w:val="00B6416B"/>
    <w:rsid w:val="00B72CF8"/>
    <w:rsid w:val="00B845FF"/>
    <w:rsid w:val="00B94681"/>
    <w:rsid w:val="00BE2E3C"/>
    <w:rsid w:val="00C036B6"/>
    <w:rsid w:val="00C21B52"/>
    <w:rsid w:val="00C24326"/>
    <w:rsid w:val="00C3659E"/>
    <w:rsid w:val="00C37CE3"/>
    <w:rsid w:val="00C61CDC"/>
    <w:rsid w:val="00C861EC"/>
    <w:rsid w:val="00CA028B"/>
    <w:rsid w:val="00CA163C"/>
    <w:rsid w:val="00CA7474"/>
    <w:rsid w:val="00CB4078"/>
    <w:rsid w:val="00CC32D5"/>
    <w:rsid w:val="00CC44D8"/>
    <w:rsid w:val="00CD0719"/>
    <w:rsid w:val="00CD29EC"/>
    <w:rsid w:val="00CE128D"/>
    <w:rsid w:val="00CE184D"/>
    <w:rsid w:val="00CE2178"/>
    <w:rsid w:val="00D0208F"/>
    <w:rsid w:val="00D03F91"/>
    <w:rsid w:val="00D07F56"/>
    <w:rsid w:val="00D229E4"/>
    <w:rsid w:val="00D23E30"/>
    <w:rsid w:val="00D42548"/>
    <w:rsid w:val="00D44B36"/>
    <w:rsid w:val="00D44BA7"/>
    <w:rsid w:val="00D556FF"/>
    <w:rsid w:val="00D937E4"/>
    <w:rsid w:val="00DA115F"/>
    <w:rsid w:val="00DB6186"/>
    <w:rsid w:val="00DF69E8"/>
    <w:rsid w:val="00E30CD7"/>
    <w:rsid w:val="00E32934"/>
    <w:rsid w:val="00E408D6"/>
    <w:rsid w:val="00E41B75"/>
    <w:rsid w:val="00E42049"/>
    <w:rsid w:val="00E46FCD"/>
    <w:rsid w:val="00E518CC"/>
    <w:rsid w:val="00E61FDE"/>
    <w:rsid w:val="00E641AE"/>
    <w:rsid w:val="00E66211"/>
    <w:rsid w:val="00E7489F"/>
    <w:rsid w:val="00E76818"/>
    <w:rsid w:val="00E821EB"/>
    <w:rsid w:val="00EA2944"/>
    <w:rsid w:val="00EB71CC"/>
    <w:rsid w:val="00EC58A8"/>
    <w:rsid w:val="00EC7D4B"/>
    <w:rsid w:val="00ED4E72"/>
    <w:rsid w:val="00EE1DCA"/>
    <w:rsid w:val="00EF3759"/>
    <w:rsid w:val="00F13B36"/>
    <w:rsid w:val="00F3465D"/>
    <w:rsid w:val="00F551BD"/>
    <w:rsid w:val="00F7041D"/>
    <w:rsid w:val="00F779C8"/>
    <w:rsid w:val="00FA1C52"/>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8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944"/>
    <w:rPr>
      <w:rFonts w:ascii="Tahoma" w:hAnsi="Tahoma" w:cs="Tahoma"/>
      <w:sz w:val="16"/>
      <w:szCs w:val="16"/>
    </w:rPr>
  </w:style>
  <w:style w:type="paragraph" w:styleId="Header">
    <w:name w:val="header"/>
    <w:basedOn w:val="Normal"/>
    <w:link w:val="HeaderChar"/>
    <w:rsid w:val="00CB4078"/>
    <w:pPr>
      <w:tabs>
        <w:tab w:val="center" w:pos="4680"/>
        <w:tab w:val="right" w:pos="9360"/>
      </w:tabs>
    </w:pPr>
  </w:style>
  <w:style w:type="character" w:customStyle="1" w:styleId="HeaderChar">
    <w:name w:val="Header Char"/>
    <w:basedOn w:val="DefaultParagraphFont"/>
    <w:link w:val="Header"/>
    <w:rsid w:val="00CB4078"/>
    <w:rPr>
      <w:sz w:val="24"/>
      <w:szCs w:val="24"/>
    </w:rPr>
  </w:style>
  <w:style w:type="paragraph" w:styleId="Footer">
    <w:name w:val="footer"/>
    <w:basedOn w:val="Normal"/>
    <w:link w:val="FooterChar"/>
    <w:uiPriority w:val="99"/>
    <w:rsid w:val="00CB4078"/>
    <w:pPr>
      <w:tabs>
        <w:tab w:val="center" w:pos="4680"/>
        <w:tab w:val="right" w:pos="9360"/>
      </w:tabs>
    </w:pPr>
  </w:style>
  <w:style w:type="character" w:customStyle="1" w:styleId="FooterChar">
    <w:name w:val="Footer Char"/>
    <w:basedOn w:val="DefaultParagraphFont"/>
    <w:link w:val="Footer"/>
    <w:uiPriority w:val="99"/>
    <w:rsid w:val="00CB4078"/>
    <w:rPr>
      <w:sz w:val="24"/>
      <w:szCs w:val="24"/>
    </w:rPr>
  </w:style>
  <w:style w:type="table" w:styleId="TableGrid">
    <w:name w:val="Table Grid"/>
    <w:basedOn w:val="TableNormal"/>
    <w:rsid w:val="000A5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8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2944"/>
    <w:rPr>
      <w:rFonts w:ascii="Tahoma" w:hAnsi="Tahoma" w:cs="Tahoma"/>
      <w:sz w:val="16"/>
      <w:szCs w:val="16"/>
    </w:rPr>
  </w:style>
  <w:style w:type="paragraph" w:styleId="Header">
    <w:name w:val="header"/>
    <w:basedOn w:val="Normal"/>
    <w:link w:val="HeaderChar"/>
    <w:rsid w:val="00CB4078"/>
    <w:pPr>
      <w:tabs>
        <w:tab w:val="center" w:pos="4680"/>
        <w:tab w:val="right" w:pos="9360"/>
      </w:tabs>
    </w:pPr>
  </w:style>
  <w:style w:type="character" w:customStyle="1" w:styleId="HeaderChar">
    <w:name w:val="Header Char"/>
    <w:basedOn w:val="DefaultParagraphFont"/>
    <w:link w:val="Header"/>
    <w:rsid w:val="00CB4078"/>
    <w:rPr>
      <w:sz w:val="24"/>
      <w:szCs w:val="24"/>
    </w:rPr>
  </w:style>
  <w:style w:type="paragraph" w:styleId="Footer">
    <w:name w:val="footer"/>
    <w:basedOn w:val="Normal"/>
    <w:link w:val="FooterChar"/>
    <w:uiPriority w:val="99"/>
    <w:rsid w:val="00CB4078"/>
    <w:pPr>
      <w:tabs>
        <w:tab w:val="center" w:pos="4680"/>
        <w:tab w:val="right" w:pos="9360"/>
      </w:tabs>
    </w:pPr>
  </w:style>
  <w:style w:type="character" w:customStyle="1" w:styleId="FooterChar">
    <w:name w:val="Footer Char"/>
    <w:basedOn w:val="DefaultParagraphFont"/>
    <w:link w:val="Footer"/>
    <w:uiPriority w:val="99"/>
    <w:rsid w:val="00CB4078"/>
    <w:rPr>
      <w:sz w:val="24"/>
      <w:szCs w:val="24"/>
    </w:rPr>
  </w:style>
  <w:style w:type="table" w:styleId="TableGrid">
    <w:name w:val="Table Grid"/>
    <w:basedOn w:val="TableNormal"/>
    <w:rsid w:val="000A5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90338">
      <w:bodyDiv w:val="1"/>
      <w:marLeft w:val="0"/>
      <w:marRight w:val="0"/>
      <w:marTop w:val="0"/>
      <w:marBottom w:val="0"/>
      <w:divBdr>
        <w:top w:val="none" w:sz="0" w:space="0" w:color="auto"/>
        <w:left w:val="none" w:sz="0" w:space="0" w:color="auto"/>
        <w:bottom w:val="none" w:sz="0" w:space="0" w:color="auto"/>
        <w:right w:val="none" w:sz="0" w:space="0" w:color="auto"/>
      </w:divBdr>
    </w:div>
    <w:div w:id="11083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Colorado Department of Education</vt:lpstr>
    </vt:vector>
  </TitlesOfParts>
  <Company>CDE</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Department of Education</dc:title>
  <dc:creator>weaver_a</dc:creator>
  <cp:lastModifiedBy>Lucero, Yolanda</cp:lastModifiedBy>
  <cp:revision>2</cp:revision>
  <cp:lastPrinted>2013-05-02T19:14:00Z</cp:lastPrinted>
  <dcterms:created xsi:type="dcterms:W3CDTF">2013-07-11T19:02:00Z</dcterms:created>
  <dcterms:modified xsi:type="dcterms:W3CDTF">2013-07-11T19:02:00Z</dcterms:modified>
</cp:coreProperties>
</file>