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73E" w:rsidRDefault="00151DC7" w:rsidP="0043173E">
      <w:pPr>
        <w:spacing w:after="120" w:line="240" w:lineRule="auto"/>
        <w:rPr>
          <w:rFonts w:ascii="Museo Slab 500" w:hAnsi="Museo Slab 500"/>
          <w:sz w:val="24"/>
          <w:szCs w:val="20"/>
        </w:rPr>
      </w:pPr>
      <w:r>
        <w:rPr>
          <w:rFonts w:ascii="Museo Slab 500" w:hAnsi="Museo Slab 500"/>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orado Department of Education Logo" style="width:198.45pt;height:33.2pt">
            <v:imagedata r:id="rId7" o:title="cde_logo_fullColor-hor"/>
          </v:shape>
        </w:pict>
      </w:r>
    </w:p>
    <w:p w:rsidR="0043173E" w:rsidRDefault="0043173E" w:rsidP="0043173E">
      <w:pPr>
        <w:spacing w:after="120" w:line="240" w:lineRule="auto"/>
        <w:rPr>
          <w:rFonts w:ascii="Museo Slab 500" w:hAnsi="Museo Slab 500"/>
          <w:sz w:val="24"/>
          <w:szCs w:val="20"/>
        </w:rPr>
      </w:pPr>
    </w:p>
    <w:p w:rsidR="0043173E" w:rsidRDefault="0043173E" w:rsidP="0043173E">
      <w:pPr>
        <w:spacing w:after="120" w:line="240" w:lineRule="auto"/>
        <w:rPr>
          <w:rFonts w:ascii="Museo Slab 500" w:hAnsi="Museo Slab 500"/>
          <w:sz w:val="24"/>
          <w:szCs w:val="20"/>
        </w:rPr>
      </w:pPr>
    </w:p>
    <w:p w:rsidR="0043173E" w:rsidRDefault="0043173E" w:rsidP="0043173E">
      <w:pPr>
        <w:spacing w:after="120" w:line="240" w:lineRule="auto"/>
        <w:rPr>
          <w:rFonts w:ascii="Trebuchet MS" w:hAnsi="Trebuchet MS"/>
          <w:b/>
          <w:color w:val="0070C0"/>
          <w:sz w:val="18"/>
          <w:szCs w:val="20"/>
        </w:rPr>
      </w:pPr>
      <w:r>
        <w:rPr>
          <w:rFonts w:ascii="Trebuchet MS" w:hAnsi="Trebuchet MS"/>
          <w:b/>
          <w:color w:val="0070C0"/>
          <w:sz w:val="18"/>
          <w:szCs w:val="20"/>
        </w:rPr>
        <w:t>Division of Capital Construction</w:t>
      </w:r>
    </w:p>
    <w:p w:rsidR="005945F1" w:rsidRPr="0043173E" w:rsidRDefault="008113BE" w:rsidP="008113BE">
      <w:pPr>
        <w:spacing w:after="120" w:line="240" w:lineRule="auto"/>
        <w:rPr>
          <w:rFonts w:ascii="Museo Slab 500" w:hAnsi="Museo Slab 500"/>
          <w:sz w:val="24"/>
          <w:szCs w:val="20"/>
        </w:rPr>
      </w:pPr>
      <w:r w:rsidRPr="0043173E">
        <w:rPr>
          <w:rFonts w:ascii="Museo Slab 500" w:hAnsi="Museo Slab 500"/>
          <w:sz w:val="24"/>
          <w:szCs w:val="20"/>
        </w:rPr>
        <w:t>RFQ</w:t>
      </w:r>
      <w:r w:rsidR="0043173E">
        <w:rPr>
          <w:rFonts w:ascii="Museo Slab 500" w:hAnsi="Museo Slab 500"/>
          <w:sz w:val="24"/>
          <w:szCs w:val="20"/>
        </w:rPr>
        <w:t xml:space="preserve"> Scoring Tools Guide</w:t>
      </w:r>
    </w:p>
    <w:p w:rsidR="0043173E" w:rsidRDefault="0043173E" w:rsidP="0043173E">
      <w:pPr>
        <w:spacing w:after="120" w:line="240" w:lineRule="auto"/>
        <w:jc w:val="both"/>
        <w:rPr>
          <w:szCs w:val="20"/>
        </w:rPr>
      </w:pPr>
    </w:p>
    <w:p w:rsidR="0043173E" w:rsidRDefault="008113BE" w:rsidP="0043173E">
      <w:pPr>
        <w:spacing w:after="120" w:line="240" w:lineRule="auto"/>
        <w:jc w:val="both"/>
        <w:rPr>
          <w:b/>
          <w:szCs w:val="20"/>
          <w:u w:val="single"/>
        </w:rPr>
      </w:pPr>
      <w:r w:rsidRPr="0043173E">
        <w:rPr>
          <w:szCs w:val="20"/>
        </w:rPr>
        <w:t xml:space="preserve">When reviewing and evaluating RFQ responses from vendors, it is important for selection committees to put aside any personal biases for or against any specific </w:t>
      </w:r>
      <w:proofErr w:type="spellStart"/>
      <w:r w:rsidRPr="0043173E">
        <w:rPr>
          <w:szCs w:val="20"/>
        </w:rPr>
        <w:t>respondee</w:t>
      </w:r>
      <w:proofErr w:type="spellEnd"/>
      <w:r w:rsidRPr="0043173E">
        <w:rPr>
          <w:szCs w:val="20"/>
        </w:rPr>
        <w:t xml:space="preserve">, and objectively evaluate what has been presented. The RFQ scoring tools are provided as a resource for district selection committees </w:t>
      </w:r>
      <w:r w:rsidR="00F4063F" w:rsidRPr="0043173E">
        <w:rPr>
          <w:szCs w:val="20"/>
        </w:rPr>
        <w:t>to accomplish that goal.</w:t>
      </w:r>
      <w:r w:rsidR="00791269" w:rsidRPr="0043173E">
        <w:rPr>
          <w:b/>
          <w:szCs w:val="20"/>
          <w:u w:val="single"/>
        </w:rPr>
        <w:t xml:space="preserve"> </w:t>
      </w:r>
    </w:p>
    <w:p w:rsidR="0043173E" w:rsidRPr="0043173E" w:rsidRDefault="0043173E" w:rsidP="0043173E">
      <w:pPr>
        <w:spacing w:after="120" w:line="240" w:lineRule="auto"/>
        <w:jc w:val="both"/>
        <w:rPr>
          <w:b/>
          <w:szCs w:val="20"/>
          <w:u w:val="single"/>
        </w:rPr>
      </w:pPr>
    </w:p>
    <w:p w:rsidR="008113BE" w:rsidRPr="0043173E" w:rsidRDefault="008113BE" w:rsidP="008113BE">
      <w:pPr>
        <w:spacing w:after="120" w:line="240" w:lineRule="auto"/>
        <w:rPr>
          <w:rFonts w:ascii="Trebuchet MS" w:hAnsi="Trebuchet MS"/>
          <w:b/>
          <w:szCs w:val="20"/>
        </w:rPr>
      </w:pPr>
      <w:r w:rsidRPr="0043173E">
        <w:rPr>
          <w:rFonts w:ascii="Trebuchet MS" w:hAnsi="Trebuchet MS"/>
          <w:b/>
          <w:szCs w:val="20"/>
        </w:rPr>
        <w:t>SCORING WORKSHEET</w:t>
      </w:r>
    </w:p>
    <w:p w:rsidR="008113BE" w:rsidRPr="0043173E" w:rsidRDefault="008113BE" w:rsidP="0043173E">
      <w:pPr>
        <w:spacing w:after="120" w:line="240" w:lineRule="auto"/>
        <w:jc w:val="both"/>
        <w:rPr>
          <w:szCs w:val="20"/>
        </w:rPr>
      </w:pPr>
      <w:r w:rsidRPr="0043173E">
        <w:rPr>
          <w:szCs w:val="20"/>
        </w:rPr>
        <w:t xml:space="preserve">This worksheet is intended to be used by each committee member for each responding firm's submittal. In the case of </w:t>
      </w:r>
      <w:proofErr w:type="gramStart"/>
      <w:r w:rsidRPr="0043173E">
        <w:rPr>
          <w:szCs w:val="20"/>
        </w:rPr>
        <w:t>a large number of</w:t>
      </w:r>
      <w:proofErr w:type="gramEnd"/>
      <w:r w:rsidRPr="0043173E">
        <w:rPr>
          <w:szCs w:val="20"/>
        </w:rPr>
        <w:t xml:space="preserve"> responses, a first pass from individuals in the committee may be warranted to disqualify any responses with red flags or incomplete submittals prior to each member reviewing each submittal in detail, so that only the 'responsive' submittals are reviewed.</w:t>
      </w:r>
    </w:p>
    <w:p w:rsidR="008113BE" w:rsidRPr="0043173E" w:rsidRDefault="008113BE" w:rsidP="0043173E">
      <w:pPr>
        <w:spacing w:after="120" w:line="240" w:lineRule="auto"/>
        <w:jc w:val="both"/>
        <w:rPr>
          <w:szCs w:val="20"/>
        </w:rPr>
      </w:pPr>
      <w:r w:rsidRPr="0043173E">
        <w:rPr>
          <w:szCs w:val="20"/>
        </w:rPr>
        <w:t xml:space="preserve">The scoring guide provides a breakdown, based on the criteria identified in the RFQ, of what might constitute a submittal that exceeds the standard, meets the standard, partially meets the standard, or does not meet the standard of </w:t>
      </w:r>
      <w:r w:rsidR="00C7002A" w:rsidRPr="0043173E">
        <w:rPr>
          <w:szCs w:val="20"/>
        </w:rPr>
        <w:t>expectations.</w:t>
      </w:r>
      <w:r w:rsidRPr="0043173E">
        <w:rPr>
          <w:szCs w:val="20"/>
        </w:rPr>
        <w:t xml:space="preserve"> By scoring responses this way, the goal is to score them as independent submittals, not in relation to one another. The RFQ responses that most consistently are believed to meet or exceed the standard will score the </w:t>
      </w:r>
      <w:proofErr w:type="gramStart"/>
      <w:r w:rsidRPr="0043173E">
        <w:rPr>
          <w:szCs w:val="20"/>
        </w:rPr>
        <w:t>highest, and</w:t>
      </w:r>
      <w:proofErr w:type="gramEnd"/>
      <w:r w:rsidRPr="0043173E">
        <w:rPr>
          <w:szCs w:val="20"/>
        </w:rPr>
        <w:t xml:space="preserve"> should constitute the short-list of firms invited for the following round of selection, if any.</w:t>
      </w:r>
    </w:p>
    <w:p w:rsidR="00791269" w:rsidRPr="0043173E" w:rsidRDefault="008113BE" w:rsidP="0043173E">
      <w:pPr>
        <w:spacing w:line="240" w:lineRule="auto"/>
        <w:jc w:val="both"/>
        <w:rPr>
          <w:b/>
          <w:szCs w:val="20"/>
          <w:u w:val="single"/>
        </w:rPr>
      </w:pPr>
      <w:r w:rsidRPr="0043173E">
        <w:rPr>
          <w:szCs w:val="20"/>
        </w:rPr>
        <w:t xml:space="preserve">While at first glance, most submittals are impressive and put the best face on each organization, the RFQs are designed to bring out the information that can help selection committees determine the level of qualifications and quality of approach each firm intends to bring to the project.  Often evaluators will need to take note of evasive or vague language in submittals, and question whether a firm truly </w:t>
      </w:r>
      <w:proofErr w:type="gramStart"/>
      <w:r w:rsidRPr="0043173E">
        <w:rPr>
          <w:szCs w:val="20"/>
        </w:rPr>
        <w:t>has the expertise</w:t>
      </w:r>
      <w:proofErr w:type="gramEnd"/>
      <w:r w:rsidRPr="0043173E">
        <w:rPr>
          <w:szCs w:val="20"/>
        </w:rPr>
        <w:t xml:space="preserve"> requested, paying special attention to areas where requested information is not provided at all.</w:t>
      </w:r>
      <w:r w:rsidR="00791269" w:rsidRPr="0043173E">
        <w:rPr>
          <w:b/>
          <w:szCs w:val="20"/>
          <w:u w:val="single"/>
        </w:rPr>
        <w:t xml:space="preserve"> </w:t>
      </w:r>
    </w:p>
    <w:p w:rsidR="008113BE" w:rsidRDefault="00151DC7" w:rsidP="00791269">
      <w:pPr>
        <w:spacing w:after="0" w:line="240" w:lineRule="auto"/>
        <w:rPr>
          <w:b/>
          <w:sz w:val="21"/>
          <w:szCs w:val="21"/>
          <w:u w:val="single"/>
        </w:rPr>
      </w:pPr>
      <w:r>
        <w:rPr>
          <w:b/>
          <w:sz w:val="21"/>
          <w:szCs w:val="21"/>
          <w:u w:val="single"/>
        </w:rPr>
        <w:pict>
          <v:shape id="_x0000_i1026" type="#_x0000_t75" alt="Sample Image of scoring worksheet" style="width:467.7pt;height:131.5pt" o:bordertopcolor="this" o:borderleftcolor="this" o:borderbottomcolor="this" o:borderrightcolor="this">
            <v:imagedata r:id="rId8" o:title="sample"/>
            <w10:bordertop type="single" width="4"/>
            <w10:borderleft type="single" width="4"/>
            <w10:borderbottom type="single" width="4"/>
            <w10:borderright type="single" width="4"/>
          </v:shape>
        </w:pict>
      </w:r>
    </w:p>
    <w:p w:rsidR="00791269" w:rsidRPr="00791269" w:rsidRDefault="00791269" w:rsidP="00791269">
      <w:pPr>
        <w:spacing w:line="240" w:lineRule="auto"/>
        <w:jc w:val="right"/>
        <w:rPr>
          <w:sz w:val="14"/>
          <w:szCs w:val="14"/>
        </w:rPr>
      </w:pPr>
      <w:r w:rsidRPr="00791269">
        <w:rPr>
          <w:sz w:val="14"/>
          <w:szCs w:val="14"/>
        </w:rPr>
        <w:t xml:space="preserve">SAMPLE </w:t>
      </w:r>
      <w:r>
        <w:rPr>
          <w:sz w:val="14"/>
          <w:szCs w:val="14"/>
        </w:rPr>
        <w:t xml:space="preserve">PORTION OF </w:t>
      </w:r>
      <w:r w:rsidRPr="00791269">
        <w:rPr>
          <w:sz w:val="14"/>
          <w:szCs w:val="14"/>
        </w:rPr>
        <w:t xml:space="preserve">COMPLETED WORKSHEET </w:t>
      </w:r>
    </w:p>
    <w:p w:rsidR="0043173E" w:rsidRDefault="008113BE" w:rsidP="0043173E">
      <w:pPr>
        <w:spacing w:after="120" w:line="240" w:lineRule="auto"/>
        <w:jc w:val="both"/>
        <w:rPr>
          <w:szCs w:val="20"/>
        </w:rPr>
      </w:pPr>
      <w:r w:rsidRPr="0043173E">
        <w:rPr>
          <w:szCs w:val="20"/>
        </w:rPr>
        <w:lastRenderedPageBreak/>
        <w:t xml:space="preserve">After all submittals have been </w:t>
      </w:r>
      <w:r w:rsidR="00791269" w:rsidRPr="0043173E">
        <w:rPr>
          <w:szCs w:val="20"/>
        </w:rPr>
        <w:t xml:space="preserve">independently </w:t>
      </w:r>
      <w:r w:rsidRPr="0043173E">
        <w:rPr>
          <w:szCs w:val="20"/>
        </w:rPr>
        <w:t>reviewed and sc</w:t>
      </w:r>
      <w:bookmarkStart w:id="0" w:name="_GoBack"/>
      <w:bookmarkEnd w:id="0"/>
      <w:r w:rsidRPr="0043173E">
        <w:rPr>
          <w:szCs w:val="20"/>
        </w:rPr>
        <w:t>ored</w:t>
      </w:r>
      <w:r w:rsidR="00791269" w:rsidRPr="0043173E">
        <w:rPr>
          <w:szCs w:val="20"/>
        </w:rPr>
        <w:t xml:space="preserve"> by the committee</w:t>
      </w:r>
      <w:r w:rsidRPr="0043173E">
        <w:rPr>
          <w:szCs w:val="20"/>
        </w:rPr>
        <w:t xml:space="preserve">, there are two potential ways to discuss </w:t>
      </w:r>
      <w:r w:rsidR="00F4063F" w:rsidRPr="0043173E">
        <w:rPr>
          <w:szCs w:val="20"/>
        </w:rPr>
        <w:t xml:space="preserve">findings </w:t>
      </w:r>
      <w:r w:rsidRPr="0043173E">
        <w:rPr>
          <w:szCs w:val="20"/>
        </w:rPr>
        <w:t>and determine the short-list:</w:t>
      </w:r>
    </w:p>
    <w:p w:rsidR="0043173E" w:rsidRDefault="0043173E" w:rsidP="0043173E">
      <w:pPr>
        <w:spacing w:after="120" w:line="240" w:lineRule="auto"/>
        <w:jc w:val="both"/>
        <w:rPr>
          <w:szCs w:val="20"/>
        </w:rPr>
      </w:pPr>
    </w:p>
    <w:p w:rsidR="008113BE" w:rsidRPr="0043173E" w:rsidRDefault="008113BE" w:rsidP="0043173E">
      <w:pPr>
        <w:spacing w:after="120" w:line="240" w:lineRule="auto"/>
        <w:jc w:val="both"/>
        <w:rPr>
          <w:rFonts w:ascii="Trebuchet MS" w:hAnsi="Trebuchet MS"/>
          <w:b/>
          <w:caps/>
          <w:szCs w:val="20"/>
        </w:rPr>
      </w:pPr>
      <w:r w:rsidRPr="0043173E">
        <w:rPr>
          <w:rFonts w:ascii="Trebuchet MS" w:hAnsi="Trebuchet MS"/>
          <w:b/>
          <w:caps/>
          <w:szCs w:val="20"/>
        </w:rPr>
        <w:t>Scoring Tally</w:t>
      </w:r>
    </w:p>
    <w:p w:rsidR="008113BE" w:rsidRPr="0043173E" w:rsidRDefault="008113BE" w:rsidP="0043173E">
      <w:pPr>
        <w:spacing w:after="120" w:line="240" w:lineRule="auto"/>
        <w:jc w:val="both"/>
        <w:rPr>
          <w:szCs w:val="20"/>
        </w:rPr>
      </w:pPr>
      <w:r w:rsidRPr="0043173E">
        <w:rPr>
          <w:szCs w:val="20"/>
        </w:rPr>
        <w:t xml:space="preserve">This matrix simply </w:t>
      </w:r>
      <w:r w:rsidR="004318E5" w:rsidRPr="0043173E">
        <w:rPr>
          <w:szCs w:val="20"/>
        </w:rPr>
        <w:t>gathers the</w:t>
      </w:r>
      <w:r w:rsidRPr="0043173E">
        <w:rPr>
          <w:szCs w:val="20"/>
        </w:rPr>
        <w:t xml:space="preserve"> total numerical score for each applicant from each committee member to determine the cand</w:t>
      </w:r>
      <w:r w:rsidR="004318E5" w:rsidRPr="0043173E">
        <w:rPr>
          <w:szCs w:val="20"/>
        </w:rPr>
        <w:t>idates with the highest scores.  T</w:t>
      </w:r>
      <w:r w:rsidRPr="0043173E">
        <w:rPr>
          <w:szCs w:val="20"/>
        </w:rPr>
        <w:t xml:space="preserve">he top 3 candidates </w:t>
      </w:r>
      <w:r w:rsidR="004318E5" w:rsidRPr="0043173E">
        <w:rPr>
          <w:szCs w:val="20"/>
        </w:rPr>
        <w:t xml:space="preserve">would be selected </w:t>
      </w:r>
      <w:r w:rsidRPr="0043173E">
        <w:rPr>
          <w:szCs w:val="20"/>
        </w:rPr>
        <w:t xml:space="preserve">for the shortlist, unless a near tie gives the committee reason to believe that the fourth would also be equally competitive. </w:t>
      </w:r>
    </w:p>
    <w:p w:rsidR="00301A69" w:rsidRDefault="004318E5" w:rsidP="0043173E">
      <w:pPr>
        <w:spacing w:after="120" w:line="240" w:lineRule="auto"/>
        <w:jc w:val="both"/>
        <w:rPr>
          <w:szCs w:val="20"/>
        </w:rPr>
      </w:pPr>
      <w:r w:rsidRPr="0043173E">
        <w:rPr>
          <w:szCs w:val="20"/>
        </w:rPr>
        <w:t xml:space="preserve">Committees may wish to </w:t>
      </w:r>
      <w:r w:rsidR="00791269" w:rsidRPr="0043173E">
        <w:rPr>
          <w:szCs w:val="20"/>
        </w:rPr>
        <w:t>discuss the submittals</w:t>
      </w:r>
      <w:r w:rsidR="00DB6878" w:rsidRPr="0043173E">
        <w:rPr>
          <w:szCs w:val="20"/>
        </w:rPr>
        <w:t xml:space="preserve">, after initial individual </w:t>
      </w:r>
      <w:r w:rsidRPr="0043173E">
        <w:rPr>
          <w:szCs w:val="20"/>
        </w:rPr>
        <w:t>scoring and</w:t>
      </w:r>
      <w:r w:rsidR="00791269" w:rsidRPr="0043173E">
        <w:rPr>
          <w:szCs w:val="20"/>
        </w:rPr>
        <w:t xml:space="preserve"> </w:t>
      </w:r>
      <w:r w:rsidRPr="0043173E">
        <w:rPr>
          <w:i/>
          <w:szCs w:val="20"/>
        </w:rPr>
        <w:t>prior</w:t>
      </w:r>
      <w:r w:rsidRPr="0043173E">
        <w:rPr>
          <w:szCs w:val="20"/>
        </w:rPr>
        <w:t xml:space="preserve"> to final tally, </w:t>
      </w:r>
      <w:r w:rsidR="00791269" w:rsidRPr="0043173E">
        <w:rPr>
          <w:szCs w:val="20"/>
        </w:rPr>
        <w:t>by</w:t>
      </w:r>
      <w:r w:rsidR="008113BE" w:rsidRPr="0043173E">
        <w:rPr>
          <w:szCs w:val="20"/>
        </w:rPr>
        <w:t xml:space="preserve"> going through the scoring sheets by firm</w:t>
      </w:r>
      <w:r w:rsidRPr="0043173E">
        <w:rPr>
          <w:szCs w:val="20"/>
        </w:rPr>
        <w:t xml:space="preserve"> </w:t>
      </w:r>
      <w:r w:rsidR="008113BE" w:rsidRPr="0043173E">
        <w:rPr>
          <w:szCs w:val="20"/>
        </w:rPr>
        <w:t xml:space="preserve">and </w:t>
      </w:r>
      <w:r w:rsidR="00F4063F" w:rsidRPr="0043173E">
        <w:rPr>
          <w:szCs w:val="20"/>
        </w:rPr>
        <w:t>noting</w:t>
      </w:r>
      <w:r w:rsidR="008113BE" w:rsidRPr="0043173E">
        <w:rPr>
          <w:szCs w:val="20"/>
        </w:rPr>
        <w:t xml:space="preserve"> any </w:t>
      </w:r>
      <w:r w:rsidRPr="0043173E">
        <w:rPr>
          <w:szCs w:val="20"/>
        </w:rPr>
        <w:t xml:space="preserve">‘exceeds standard’, </w:t>
      </w:r>
      <w:r w:rsidR="008113BE" w:rsidRPr="0043173E">
        <w:rPr>
          <w:szCs w:val="20"/>
        </w:rPr>
        <w:t>'does not meet standard</w:t>
      </w:r>
      <w:proofErr w:type="gramStart"/>
      <w:r w:rsidR="008113BE" w:rsidRPr="0043173E">
        <w:rPr>
          <w:szCs w:val="20"/>
        </w:rPr>
        <w:t>'  or</w:t>
      </w:r>
      <w:proofErr w:type="gramEnd"/>
      <w:r w:rsidR="008113BE" w:rsidRPr="0043173E">
        <w:rPr>
          <w:szCs w:val="20"/>
        </w:rPr>
        <w:t xml:space="preserve"> 'partially meets standard' scores for </w:t>
      </w:r>
      <w:r w:rsidRPr="0043173E">
        <w:rPr>
          <w:szCs w:val="20"/>
        </w:rPr>
        <w:t xml:space="preserve">group </w:t>
      </w:r>
      <w:r w:rsidR="008113BE" w:rsidRPr="0043173E">
        <w:rPr>
          <w:szCs w:val="20"/>
        </w:rPr>
        <w:t xml:space="preserve">discussion. Occasionally one or two evaluators will miss something that others </w:t>
      </w:r>
      <w:r w:rsidR="00DB6878" w:rsidRPr="0043173E">
        <w:rPr>
          <w:szCs w:val="20"/>
        </w:rPr>
        <w:t>may</w:t>
      </w:r>
      <w:r w:rsidR="008113BE" w:rsidRPr="0043173E">
        <w:rPr>
          <w:szCs w:val="20"/>
        </w:rPr>
        <w:t xml:space="preserve"> have seen, and these scores may deserve to be adjusted </w:t>
      </w:r>
      <w:r w:rsidRPr="0043173E">
        <w:rPr>
          <w:szCs w:val="20"/>
        </w:rPr>
        <w:t xml:space="preserve">up or down </w:t>
      </w:r>
      <w:r w:rsidR="008113BE" w:rsidRPr="0043173E">
        <w:rPr>
          <w:szCs w:val="20"/>
        </w:rPr>
        <w:t xml:space="preserve">prior to </w:t>
      </w:r>
      <w:r w:rsidR="00F4063F" w:rsidRPr="0043173E">
        <w:rPr>
          <w:szCs w:val="20"/>
        </w:rPr>
        <w:t xml:space="preserve">determining the </w:t>
      </w:r>
      <w:r w:rsidR="008113BE" w:rsidRPr="0043173E">
        <w:rPr>
          <w:szCs w:val="20"/>
        </w:rPr>
        <w:t xml:space="preserve">final </w:t>
      </w:r>
      <w:r w:rsidR="00F4063F" w:rsidRPr="0043173E">
        <w:rPr>
          <w:szCs w:val="20"/>
        </w:rPr>
        <w:t xml:space="preserve">numerical </w:t>
      </w:r>
      <w:r w:rsidRPr="0043173E">
        <w:rPr>
          <w:szCs w:val="20"/>
        </w:rPr>
        <w:t>totals</w:t>
      </w:r>
      <w:r w:rsidR="008113BE" w:rsidRPr="0043173E">
        <w:rPr>
          <w:szCs w:val="20"/>
        </w:rPr>
        <w:t>.</w:t>
      </w:r>
    </w:p>
    <w:p w:rsidR="0043173E" w:rsidRPr="0043173E" w:rsidRDefault="0043173E" w:rsidP="0043173E">
      <w:pPr>
        <w:spacing w:after="120" w:line="240" w:lineRule="auto"/>
        <w:jc w:val="both"/>
        <w:rPr>
          <w:szCs w:val="20"/>
        </w:rPr>
      </w:pPr>
    </w:p>
    <w:p w:rsidR="008113BE" w:rsidRPr="0043173E" w:rsidRDefault="008113BE" w:rsidP="0043173E">
      <w:pPr>
        <w:spacing w:after="120" w:line="240" w:lineRule="auto"/>
        <w:rPr>
          <w:rFonts w:ascii="Trebuchet MS" w:hAnsi="Trebuchet MS"/>
          <w:b/>
          <w:szCs w:val="20"/>
        </w:rPr>
      </w:pPr>
      <w:r w:rsidRPr="0043173E">
        <w:rPr>
          <w:rFonts w:ascii="Trebuchet MS" w:hAnsi="Trebuchet MS"/>
          <w:b/>
          <w:szCs w:val="20"/>
        </w:rPr>
        <w:t>SCORING CRITERIA MATRIX</w:t>
      </w:r>
    </w:p>
    <w:p w:rsidR="008113BE" w:rsidRPr="0043173E" w:rsidRDefault="008113BE" w:rsidP="0043173E">
      <w:pPr>
        <w:spacing w:after="120" w:line="240" w:lineRule="auto"/>
        <w:jc w:val="both"/>
        <w:rPr>
          <w:szCs w:val="20"/>
        </w:rPr>
      </w:pPr>
      <w:r w:rsidRPr="0043173E">
        <w:rPr>
          <w:szCs w:val="20"/>
        </w:rPr>
        <w:t>This spreadsheet can o</w:t>
      </w:r>
      <w:r w:rsidR="00C7002A" w:rsidRPr="0043173E">
        <w:rPr>
          <w:szCs w:val="20"/>
        </w:rPr>
        <w:t>ptionally be used by districts</w:t>
      </w:r>
      <w:r w:rsidRPr="0043173E">
        <w:rPr>
          <w:szCs w:val="20"/>
        </w:rPr>
        <w:t xml:space="preserve"> to </w:t>
      </w:r>
      <w:r w:rsidR="004318E5" w:rsidRPr="0043173E">
        <w:rPr>
          <w:szCs w:val="20"/>
        </w:rPr>
        <w:t>document the</w:t>
      </w:r>
      <w:r w:rsidRPr="0043173E">
        <w:rPr>
          <w:szCs w:val="20"/>
        </w:rPr>
        <w:t xml:space="preserve"> </w:t>
      </w:r>
      <w:r w:rsidR="00DB6878" w:rsidRPr="0043173E">
        <w:rPr>
          <w:szCs w:val="20"/>
        </w:rPr>
        <w:t xml:space="preserve">individual </w:t>
      </w:r>
      <w:r w:rsidR="00C7002A" w:rsidRPr="0043173E">
        <w:rPr>
          <w:szCs w:val="20"/>
        </w:rPr>
        <w:t>evaluations</w:t>
      </w:r>
      <w:r w:rsidR="004318E5" w:rsidRPr="0043173E">
        <w:rPr>
          <w:szCs w:val="20"/>
        </w:rPr>
        <w:t xml:space="preserve"> of each criteria</w:t>
      </w:r>
      <w:r w:rsidR="00C7002A" w:rsidRPr="0043173E">
        <w:rPr>
          <w:szCs w:val="20"/>
        </w:rPr>
        <w:t xml:space="preserve"> in a more comprehensive</w:t>
      </w:r>
      <w:r w:rsidRPr="0043173E">
        <w:rPr>
          <w:szCs w:val="20"/>
        </w:rPr>
        <w:t xml:space="preserve"> way. This </w:t>
      </w:r>
      <w:r w:rsidR="006C14DE" w:rsidRPr="0043173E">
        <w:rPr>
          <w:szCs w:val="20"/>
        </w:rPr>
        <w:t>provides</w:t>
      </w:r>
      <w:r w:rsidRPr="0043173E">
        <w:rPr>
          <w:szCs w:val="20"/>
        </w:rPr>
        <w:t xml:space="preserve"> applicants </w:t>
      </w:r>
      <w:r w:rsidR="006C14DE" w:rsidRPr="0043173E">
        <w:rPr>
          <w:szCs w:val="20"/>
        </w:rPr>
        <w:t xml:space="preserve">with </w:t>
      </w:r>
      <w:r w:rsidR="004318E5" w:rsidRPr="0043173E">
        <w:rPr>
          <w:szCs w:val="20"/>
        </w:rPr>
        <w:t>improved</w:t>
      </w:r>
      <w:r w:rsidRPr="0043173E">
        <w:rPr>
          <w:szCs w:val="20"/>
        </w:rPr>
        <w:t xml:space="preserve"> feedback a</w:t>
      </w:r>
      <w:r w:rsidR="006C14DE" w:rsidRPr="0043173E">
        <w:rPr>
          <w:szCs w:val="20"/>
        </w:rPr>
        <w:t xml:space="preserve">fter the selection is </w:t>
      </w:r>
      <w:proofErr w:type="gramStart"/>
      <w:r w:rsidR="006C14DE" w:rsidRPr="0043173E">
        <w:rPr>
          <w:szCs w:val="20"/>
        </w:rPr>
        <w:t>completed</w:t>
      </w:r>
      <w:r w:rsidR="004318E5" w:rsidRPr="0043173E">
        <w:rPr>
          <w:szCs w:val="20"/>
        </w:rPr>
        <w:t>, and</w:t>
      </w:r>
      <w:proofErr w:type="gramEnd"/>
      <w:r w:rsidR="004318E5" w:rsidRPr="0043173E">
        <w:rPr>
          <w:szCs w:val="20"/>
        </w:rPr>
        <w:t xml:space="preserve"> serves to better document the rationale behind the selection</w:t>
      </w:r>
      <w:r w:rsidR="006C14DE" w:rsidRPr="0043173E">
        <w:rPr>
          <w:szCs w:val="20"/>
        </w:rPr>
        <w:t>.</w:t>
      </w:r>
      <w:r w:rsidR="00791269" w:rsidRPr="0043173E">
        <w:rPr>
          <w:szCs w:val="20"/>
        </w:rPr>
        <w:t xml:space="preserve"> </w:t>
      </w:r>
      <w:r w:rsidR="006C14DE" w:rsidRPr="0043173E">
        <w:rPr>
          <w:szCs w:val="20"/>
        </w:rPr>
        <w:t xml:space="preserve">If you would like to utilize this matrix, please contact your Technical Assistance </w:t>
      </w:r>
      <w:r w:rsidR="00F4063F" w:rsidRPr="0043173E">
        <w:rPr>
          <w:szCs w:val="20"/>
        </w:rPr>
        <w:t>Representative for assistance.</w:t>
      </w:r>
      <w:r w:rsidR="00791269" w:rsidRPr="0043173E">
        <w:rPr>
          <w:szCs w:val="20"/>
        </w:rPr>
        <w:t xml:space="preserve"> This c</w:t>
      </w:r>
      <w:r w:rsidR="004318E5" w:rsidRPr="0043173E">
        <w:rPr>
          <w:szCs w:val="20"/>
        </w:rPr>
        <w:t>ould</w:t>
      </w:r>
      <w:r w:rsidR="00791269" w:rsidRPr="0043173E">
        <w:rPr>
          <w:szCs w:val="20"/>
        </w:rPr>
        <w:t xml:space="preserve"> be completed </w:t>
      </w:r>
      <w:r w:rsidR="004318E5" w:rsidRPr="0043173E">
        <w:rPr>
          <w:szCs w:val="20"/>
        </w:rPr>
        <w:t xml:space="preserve">either during selection or </w:t>
      </w:r>
      <w:r w:rsidR="00791269" w:rsidRPr="0043173E">
        <w:rPr>
          <w:szCs w:val="20"/>
        </w:rPr>
        <w:t>after</w:t>
      </w:r>
      <w:r w:rsidR="004318E5" w:rsidRPr="0043173E">
        <w:rPr>
          <w:szCs w:val="20"/>
        </w:rPr>
        <w:t>wards</w:t>
      </w:r>
      <w:r w:rsidR="00791269" w:rsidRPr="0043173E">
        <w:rPr>
          <w:szCs w:val="20"/>
        </w:rPr>
        <w:t xml:space="preserve"> as </w:t>
      </w:r>
      <w:r w:rsidR="004318E5" w:rsidRPr="0043173E">
        <w:rPr>
          <w:szCs w:val="20"/>
        </w:rPr>
        <w:t>part of the decision memorandum documentation.</w:t>
      </w:r>
    </w:p>
    <w:sectPr w:rsidR="008113BE" w:rsidRPr="0043173E" w:rsidSect="004317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A10" w:rsidRDefault="002B6A10" w:rsidP="0043173E">
      <w:pPr>
        <w:spacing w:after="0" w:line="240" w:lineRule="auto"/>
      </w:pPr>
      <w:r>
        <w:separator/>
      </w:r>
    </w:p>
  </w:endnote>
  <w:endnote w:type="continuationSeparator" w:id="0">
    <w:p w:rsidR="002B6A10" w:rsidRDefault="002B6A10" w:rsidP="0043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73E" w:rsidRPr="0043173E" w:rsidRDefault="0043173E" w:rsidP="0043173E">
    <w:pPr>
      <w:tabs>
        <w:tab w:val="center" w:pos="4680"/>
        <w:tab w:val="right" w:pos="9360"/>
      </w:tabs>
      <w:spacing w:after="0" w:line="240" w:lineRule="auto"/>
      <w:jc w:val="right"/>
    </w:pPr>
    <w:r w:rsidRPr="0043173E">
      <w:rPr>
        <w:sz w:val="16"/>
      </w:rPr>
      <w:t xml:space="preserve">  </w:t>
    </w:r>
    <w:r w:rsidRPr="0043173E">
      <w:fldChar w:fldCharType="begin"/>
    </w:r>
    <w:r w:rsidRPr="0043173E">
      <w:instrText xml:space="preserve"> PAGE   \* MERGEFORMAT </w:instrText>
    </w:r>
    <w:r w:rsidRPr="0043173E">
      <w:fldChar w:fldCharType="separate"/>
    </w:r>
    <w:r w:rsidRPr="0043173E">
      <w:rPr>
        <w:b/>
        <w:bCs/>
        <w:noProof/>
      </w:rPr>
      <w:t>1</w:t>
    </w:r>
    <w:r w:rsidRPr="0043173E">
      <w:rPr>
        <w:b/>
        <w:bCs/>
        <w:noProof/>
      </w:rPr>
      <w:fldChar w:fldCharType="end"/>
    </w:r>
    <w:r w:rsidRPr="0043173E">
      <w:rPr>
        <w:b/>
        <w:bCs/>
      </w:rPr>
      <w:t xml:space="preserve"> </w:t>
    </w:r>
    <w:r w:rsidRPr="0043173E">
      <w:rPr>
        <w:b/>
      </w:rPr>
      <w:t>|</w:t>
    </w:r>
    <w:r w:rsidRPr="0043173E">
      <w:rPr>
        <w:b/>
        <w:bCs/>
      </w:rPr>
      <w:t xml:space="preserve"> </w:t>
    </w:r>
    <w:r w:rsidRPr="0043173E">
      <w:rPr>
        <w:b/>
        <w:color w:val="808080"/>
        <w:spacing w:val="60"/>
      </w:rPr>
      <w:t>Page</w:t>
    </w:r>
  </w:p>
  <w:p w:rsidR="0043173E" w:rsidRDefault="0043173E" w:rsidP="0043173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A10" w:rsidRDefault="002B6A10" w:rsidP="0043173E">
      <w:pPr>
        <w:spacing w:after="0" w:line="240" w:lineRule="auto"/>
      </w:pPr>
      <w:r>
        <w:separator/>
      </w:r>
    </w:p>
  </w:footnote>
  <w:footnote w:type="continuationSeparator" w:id="0">
    <w:p w:rsidR="002B6A10" w:rsidRDefault="002B6A10" w:rsidP="0043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66B"/>
    <w:multiLevelType w:val="hybridMultilevel"/>
    <w:tmpl w:val="2228BE30"/>
    <w:lvl w:ilvl="0" w:tplc="0FD4A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ocumentProtection w:edit="readOnly" w:enforcement="1" w:cryptProviderType="rsaAES" w:cryptAlgorithmClass="hash" w:cryptAlgorithmType="typeAny" w:cryptAlgorithmSid="14" w:cryptSpinCount="100000" w:hash="N1lCLxvoHOs/7o7I+ZxrZZ6fFDrZsQqAijnb4UoqIH2C8FVLGyxnAMRbnjAZMPn92JJRwRVnAp/en2P/wxV3wQ==" w:salt="oifm1rwpk1pkPGmtg9+GI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wMDMyMjUwNzU1tTRU0lEKTi0uzszPAykwqgUAn7hBxSwAAAA="/>
  </w:docVars>
  <w:rsids>
    <w:rsidRoot w:val="008113BE"/>
    <w:rsid w:val="00151DC7"/>
    <w:rsid w:val="002B6A10"/>
    <w:rsid w:val="00301A69"/>
    <w:rsid w:val="0043173E"/>
    <w:rsid w:val="004318E5"/>
    <w:rsid w:val="005945F1"/>
    <w:rsid w:val="006C14DE"/>
    <w:rsid w:val="006D5206"/>
    <w:rsid w:val="006E50F1"/>
    <w:rsid w:val="00791269"/>
    <w:rsid w:val="008113BE"/>
    <w:rsid w:val="00B665A4"/>
    <w:rsid w:val="00C7002A"/>
    <w:rsid w:val="00DB6878"/>
    <w:rsid w:val="00E154FF"/>
    <w:rsid w:val="00F13C41"/>
    <w:rsid w:val="00F166C4"/>
    <w:rsid w:val="00F4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FA3FF5"/>
  <w15:chartTrackingRefBased/>
  <w15:docId w15:val="{4D7DF852-2D16-43AB-B189-9B80D767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5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3E"/>
    <w:pPr>
      <w:tabs>
        <w:tab w:val="center" w:pos="4680"/>
        <w:tab w:val="right" w:pos="9360"/>
      </w:tabs>
    </w:pPr>
  </w:style>
  <w:style w:type="character" w:customStyle="1" w:styleId="HeaderChar">
    <w:name w:val="Header Char"/>
    <w:link w:val="Header"/>
    <w:uiPriority w:val="99"/>
    <w:rsid w:val="0043173E"/>
    <w:rPr>
      <w:sz w:val="22"/>
      <w:szCs w:val="22"/>
    </w:rPr>
  </w:style>
  <w:style w:type="paragraph" w:styleId="Footer">
    <w:name w:val="footer"/>
    <w:basedOn w:val="Normal"/>
    <w:link w:val="FooterChar"/>
    <w:uiPriority w:val="99"/>
    <w:unhideWhenUsed/>
    <w:rsid w:val="0043173E"/>
    <w:pPr>
      <w:tabs>
        <w:tab w:val="center" w:pos="4680"/>
        <w:tab w:val="right" w:pos="9360"/>
      </w:tabs>
    </w:pPr>
  </w:style>
  <w:style w:type="character" w:customStyle="1" w:styleId="FooterChar">
    <w:name w:val="Footer Char"/>
    <w:link w:val="Footer"/>
    <w:uiPriority w:val="99"/>
    <w:rsid w:val="004317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Hoskinson</dc:creator>
  <cp:keywords/>
  <dc:description/>
  <cp:lastModifiedBy>Guerin, Dustin</cp:lastModifiedBy>
  <cp:revision>3</cp:revision>
  <cp:lastPrinted>2011-08-12T17:03:00Z</cp:lastPrinted>
  <dcterms:created xsi:type="dcterms:W3CDTF">2019-09-03T17:53:00Z</dcterms:created>
  <dcterms:modified xsi:type="dcterms:W3CDTF">2019-09-03T17:55:00Z</dcterms:modified>
</cp:coreProperties>
</file>