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1199" w14:textId="77777777" w:rsidR="00896647" w:rsidRDefault="0005162B">
      <w:pPr>
        <w:rPr>
          <w:b/>
        </w:rPr>
      </w:pPr>
      <w:r>
        <w:pict w14:anchorId="0DF6553D">
          <v:rect id="_x0000_i1025" style="width:0;height:1.5pt" o:hralign="center" o:hrstd="t" o:hr="t" fillcolor="#a0a0a0" stroked="f"/>
        </w:pict>
      </w:r>
    </w:p>
    <w:p w14:paraId="22B7DE18" w14:textId="77777777" w:rsidR="00896647" w:rsidRDefault="00896647"/>
    <w:p w14:paraId="02D00B73" w14:textId="77777777" w:rsidR="00896647" w:rsidRDefault="0005162B">
      <w:pPr>
        <w:spacing w:after="200"/>
      </w:pPr>
      <w:r>
        <w:rPr>
          <w:u w:val="single"/>
        </w:rPr>
        <w:t>Part 1: The Why</w:t>
      </w:r>
    </w:p>
    <w:p w14:paraId="0253EE42" w14:textId="77777777" w:rsidR="00896647" w:rsidRDefault="0005162B">
      <w:pPr>
        <w:spacing w:after="200"/>
      </w:pPr>
      <w:r>
        <w:rPr>
          <w:i/>
        </w:rPr>
        <w:t>Purpose/vision statement for engaging community partners (business+civic) in career-connected learning for your students, schools, families, and community: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96647" w14:paraId="67B67773" w14:textId="77777777">
        <w:tc>
          <w:tcPr>
            <w:tcW w:w="10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0549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1FB1E9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F8F529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E2049C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D77891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390661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116A2A" w14:textId="77777777" w:rsidR="00896647" w:rsidRDefault="00896647"/>
    <w:p w14:paraId="5D22C2F8" w14:textId="77777777" w:rsidR="00896647" w:rsidRDefault="00896647"/>
    <w:p w14:paraId="199E8BA6" w14:textId="77777777" w:rsidR="00896647" w:rsidRDefault="0005162B">
      <w:pPr>
        <w:spacing w:after="200"/>
        <w:rPr>
          <w:u w:val="single"/>
        </w:rPr>
      </w:pPr>
      <w:r>
        <w:rPr>
          <w:u w:val="single"/>
        </w:rPr>
        <w:t>Part 2: The What</w:t>
      </w:r>
    </w:p>
    <w:p w14:paraId="726013D4" w14:textId="77777777" w:rsidR="00896647" w:rsidRDefault="0005162B">
      <w:r>
        <w:rPr>
          <w:noProof/>
        </w:rPr>
        <w:drawing>
          <wp:inline distT="19050" distB="19050" distL="19050" distR="19050" wp14:anchorId="3E30B4AA" wp14:editId="6D8FBDBD">
            <wp:extent cx="6858000" cy="3594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92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9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59284" w14:textId="77777777" w:rsidR="00896647" w:rsidRDefault="00896647"/>
    <w:p w14:paraId="0432BE61" w14:textId="77777777" w:rsidR="00896647" w:rsidRDefault="0005162B">
      <w:pPr>
        <w:spacing w:after="200"/>
        <w:rPr>
          <w:b/>
        </w:rPr>
      </w:pPr>
      <w:r>
        <w:rPr>
          <w:i/>
        </w:rPr>
        <w:t>Outline your career-connected learning assets along the continuum:</w:t>
      </w:r>
    </w:p>
    <w:tbl>
      <w:tblPr>
        <w:tblStyle w:val="a0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310"/>
        <w:gridCol w:w="2310"/>
        <w:gridCol w:w="2355"/>
        <w:gridCol w:w="2310"/>
      </w:tblGrid>
      <w:tr w:rsidR="00896647" w14:paraId="4085DDD2" w14:textId="77777777"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E3C6C" w14:textId="77777777" w:rsidR="00896647" w:rsidRDefault="0005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Existing or In Progress Assets</w:t>
            </w:r>
          </w:p>
        </w:tc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C305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DE64ABE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6CE3025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F19D31B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C4A094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E512BA7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6FFE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4496AAA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8E04A7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54F1D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1C8DA36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16818D2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E38B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5020844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03D818" w14:textId="77777777" w:rsidR="00896647" w:rsidRDefault="0089664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A9B979B" w14:textId="77777777" w:rsidR="00896647" w:rsidRDefault="00896647">
      <w:pPr>
        <w:rPr>
          <w:b/>
        </w:rPr>
      </w:pPr>
    </w:p>
    <w:p w14:paraId="6E13F8BC" w14:textId="77777777" w:rsidR="00896647" w:rsidRDefault="00896647">
      <w:pPr>
        <w:rPr>
          <w:b/>
        </w:rPr>
      </w:pPr>
    </w:p>
    <w:p w14:paraId="0F3A45ED" w14:textId="77777777" w:rsidR="00896647" w:rsidRDefault="0005162B">
      <w:pPr>
        <w:spacing w:after="200"/>
        <w:rPr>
          <w:u w:val="single"/>
        </w:rPr>
      </w:pPr>
      <w:r>
        <w:rPr>
          <w:u w:val="single"/>
        </w:rPr>
        <w:t>Part : The Who &amp; The How</w:t>
      </w:r>
    </w:p>
    <w:p w14:paraId="499951DD" w14:textId="77777777" w:rsidR="00896647" w:rsidRDefault="0005162B">
      <w:pPr>
        <w:spacing w:after="200"/>
        <w:rPr>
          <w:b/>
        </w:rPr>
      </w:pPr>
      <w:r>
        <w:rPr>
          <w:i/>
        </w:rPr>
        <w:t>Outline your industry or community partnerships along the continuum for the assets outlined above (include partner type and role - e.g., local business, internship host; or hospital and nurse practitioner, guest speaker):</w:t>
      </w:r>
    </w:p>
    <w:tbl>
      <w:tblPr>
        <w:tblStyle w:val="a1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310"/>
        <w:gridCol w:w="2310"/>
        <w:gridCol w:w="2355"/>
        <w:gridCol w:w="2310"/>
      </w:tblGrid>
      <w:tr w:rsidR="00896647" w14:paraId="5999A52F" w14:textId="77777777"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710A" w14:textId="77777777" w:rsidR="00896647" w:rsidRDefault="0005162B">
            <w:pPr>
              <w:widowControl w:val="0"/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Partners</w:t>
            </w:r>
          </w:p>
        </w:tc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59BC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54FE579D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3C740577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4A02817E" w14:textId="77777777" w:rsidR="00896647" w:rsidRDefault="008966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D2EA1C1" w14:textId="77777777" w:rsidR="00896647" w:rsidRDefault="0089664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40ED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61C7BFCD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47161767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CB4E4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72046CEF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2ED4126C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38DFB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06FA9A5F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  <w:p w14:paraId="5700ED3A" w14:textId="77777777" w:rsidR="00896647" w:rsidRDefault="0089664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662D11D" w14:textId="77777777" w:rsidR="00896647" w:rsidRDefault="00896647">
      <w:pPr>
        <w:rPr>
          <w:b/>
        </w:rPr>
      </w:pPr>
    </w:p>
    <w:p w14:paraId="47FD4BF5" w14:textId="77777777" w:rsidR="00896647" w:rsidRDefault="0005162B">
      <w:pPr>
        <w:spacing w:after="200"/>
      </w:pPr>
      <w:r>
        <w:rPr>
          <w:i/>
        </w:rPr>
        <w:t>Building your business case: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96647" w14:paraId="59FAC9FC" w14:textId="77777777">
        <w:tc>
          <w:tcPr>
            <w:tcW w:w="10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CABF" w14:textId="77777777" w:rsidR="00896647" w:rsidRDefault="0005162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Value Proposition:</w:t>
            </w:r>
          </w:p>
          <w:p w14:paraId="5209EBEF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AD14E7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07BD08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EBB0F3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F03A56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96647" w14:paraId="5DF846CB" w14:textId="77777777">
        <w:tc>
          <w:tcPr>
            <w:tcW w:w="10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3B319" w14:textId="77777777" w:rsidR="00896647" w:rsidRDefault="0005162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The Ask:</w:t>
            </w:r>
          </w:p>
          <w:p w14:paraId="459A84CC" w14:textId="77777777" w:rsidR="00896647" w:rsidRDefault="00896647">
            <w:pPr>
              <w:widowControl w:val="0"/>
              <w:spacing w:line="240" w:lineRule="auto"/>
            </w:pPr>
          </w:p>
          <w:p w14:paraId="53E56139" w14:textId="77777777" w:rsidR="00896647" w:rsidRDefault="00896647">
            <w:pPr>
              <w:widowControl w:val="0"/>
              <w:spacing w:line="240" w:lineRule="auto"/>
            </w:pPr>
          </w:p>
          <w:p w14:paraId="21CF9CC1" w14:textId="77777777" w:rsidR="00896647" w:rsidRDefault="00896647">
            <w:pPr>
              <w:widowControl w:val="0"/>
              <w:spacing w:line="240" w:lineRule="auto"/>
            </w:pPr>
          </w:p>
          <w:p w14:paraId="34BD51CF" w14:textId="77777777" w:rsidR="00896647" w:rsidRDefault="00896647">
            <w:pPr>
              <w:widowControl w:val="0"/>
              <w:spacing w:line="240" w:lineRule="auto"/>
            </w:pPr>
          </w:p>
        </w:tc>
      </w:tr>
      <w:tr w:rsidR="00896647" w14:paraId="68600A68" w14:textId="77777777">
        <w:tc>
          <w:tcPr>
            <w:tcW w:w="10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B65C" w14:textId="77777777" w:rsidR="00896647" w:rsidRDefault="0005162B">
            <w:pPr>
              <w:widowControl w:val="0"/>
              <w:spacing w:line="240" w:lineRule="auto"/>
            </w:pPr>
            <w:r>
              <w:rPr>
                <w:b/>
              </w:rPr>
              <w:t>Name Success / Desired Outcomes:</w:t>
            </w:r>
          </w:p>
          <w:p w14:paraId="3420AE61" w14:textId="77777777" w:rsidR="00896647" w:rsidRDefault="00896647">
            <w:pPr>
              <w:widowControl w:val="0"/>
              <w:spacing w:line="240" w:lineRule="auto"/>
            </w:pPr>
          </w:p>
          <w:p w14:paraId="64CE999A" w14:textId="77777777" w:rsidR="00896647" w:rsidRDefault="00896647">
            <w:pPr>
              <w:widowControl w:val="0"/>
              <w:spacing w:line="240" w:lineRule="auto"/>
            </w:pPr>
          </w:p>
          <w:p w14:paraId="64E78508" w14:textId="77777777" w:rsidR="00896647" w:rsidRDefault="00896647">
            <w:pPr>
              <w:widowControl w:val="0"/>
              <w:spacing w:line="240" w:lineRule="auto"/>
            </w:pPr>
          </w:p>
          <w:p w14:paraId="20E766D0" w14:textId="77777777" w:rsidR="00896647" w:rsidRDefault="00896647">
            <w:pPr>
              <w:widowControl w:val="0"/>
              <w:spacing w:line="240" w:lineRule="auto"/>
            </w:pPr>
          </w:p>
        </w:tc>
      </w:tr>
    </w:tbl>
    <w:p w14:paraId="477C379C" w14:textId="77777777" w:rsidR="00896647" w:rsidRDefault="00896647"/>
    <w:p w14:paraId="036E30DF" w14:textId="77777777" w:rsidR="00896647" w:rsidRDefault="0005162B">
      <w:pPr>
        <w:spacing w:after="200"/>
      </w:pPr>
      <w:r>
        <w:rPr>
          <w:i/>
        </w:rPr>
        <w:t>Other considerations for sustaining work-based learning and business partnerships - where are there gaps and opportunities in your current strategy(ies)?</w:t>
      </w:r>
    </w:p>
    <w:p w14:paraId="35557C48" w14:textId="77777777" w:rsidR="00896647" w:rsidRDefault="0005162B">
      <w:pPr>
        <w:numPr>
          <w:ilvl w:val="0"/>
          <w:numId w:val="2"/>
        </w:numPr>
        <w:ind w:left="360"/>
      </w:pPr>
      <w:r>
        <w:t>Staff capacity and role clarity</w:t>
      </w:r>
    </w:p>
    <w:p w14:paraId="2B8DA282" w14:textId="77777777" w:rsidR="00896647" w:rsidRDefault="0005162B">
      <w:pPr>
        <w:numPr>
          <w:ilvl w:val="0"/>
          <w:numId w:val="2"/>
        </w:numPr>
        <w:ind w:left="360"/>
      </w:pPr>
      <w:r>
        <w:t>Marketing / awareness (among students, teachers, parents, community) - and - marketing tools</w:t>
      </w:r>
    </w:p>
    <w:p w14:paraId="73A03296" w14:textId="77777777" w:rsidR="00896647" w:rsidRDefault="0005162B">
      <w:pPr>
        <w:numPr>
          <w:ilvl w:val="0"/>
          <w:numId w:val="2"/>
        </w:numPr>
        <w:ind w:left="360"/>
      </w:pPr>
      <w:r>
        <w:t>Tracking / monitoring of opportunities</w:t>
      </w:r>
    </w:p>
    <w:p w14:paraId="63C18AC4" w14:textId="77777777" w:rsidR="00896647" w:rsidRDefault="0005162B">
      <w:pPr>
        <w:numPr>
          <w:ilvl w:val="0"/>
          <w:numId w:val="2"/>
        </w:numPr>
        <w:ind w:left="360"/>
      </w:pPr>
      <w:r>
        <w:t>Evaluation of experiences (students, staff, partners)</w:t>
      </w:r>
    </w:p>
    <w:p w14:paraId="12F57F29" w14:textId="77777777" w:rsidR="00896647" w:rsidRDefault="0005162B">
      <w:pPr>
        <w:numPr>
          <w:ilvl w:val="0"/>
          <w:numId w:val="2"/>
        </w:numPr>
        <w:ind w:left="360"/>
      </w:pPr>
      <w:r>
        <w:t>Diversity of experiences and career pathways to meet diverse student needs</w:t>
      </w:r>
    </w:p>
    <w:p w14:paraId="6F1C0855" w14:textId="77777777" w:rsidR="00896647" w:rsidRDefault="0005162B">
      <w:pPr>
        <w:numPr>
          <w:ilvl w:val="0"/>
          <w:numId w:val="2"/>
        </w:numPr>
        <w:ind w:left="360"/>
      </w:pPr>
      <w:r>
        <w:t>Sustaining partnerships and WBL experiences</w:t>
      </w:r>
    </w:p>
    <w:p w14:paraId="217886D0" w14:textId="77777777" w:rsidR="00896647" w:rsidRDefault="0005162B">
      <w:pPr>
        <w:numPr>
          <w:ilvl w:val="0"/>
          <w:numId w:val="2"/>
        </w:numPr>
        <w:ind w:left="360"/>
      </w:pPr>
      <w:r>
        <w:t>Other partners/champions outside of business - chamber of commerce, local nonprofits, school board, parents, local philanthropy, etc.</w:t>
      </w:r>
    </w:p>
    <w:p w14:paraId="27D89CA0" w14:textId="77777777" w:rsidR="00896647" w:rsidRDefault="00896647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96647" w14:paraId="024C3BCE" w14:textId="77777777">
        <w:tc>
          <w:tcPr>
            <w:tcW w:w="108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D6F68" w14:textId="77777777" w:rsidR="00896647" w:rsidRDefault="00051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rPr>
                <w:b/>
              </w:rPr>
              <w:t>Priority Gaps/Opportunities:</w:t>
            </w:r>
          </w:p>
          <w:p w14:paraId="04A7B4FD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D6F6F9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CD769D" w14:textId="77777777" w:rsidR="00896647" w:rsidRDefault="008966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19F0E59" w14:textId="77777777" w:rsidR="00896647" w:rsidRDefault="00896647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sectPr w:rsidR="00896647">
      <w:head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B7FB" w14:textId="77777777" w:rsidR="0005162B" w:rsidRDefault="0005162B">
      <w:pPr>
        <w:spacing w:line="240" w:lineRule="auto"/>
      </w:pPr>
      <w:r>
        <w:separator/>
      </w:r>
    </w:p>
  </w:endnote>
  <w:endnote w:type="continuationSeparator" w:id="0">
    <w:p w14:paraId="08E7D7A8" w14:textId="77777777" w:rsidR="0005162B" w:rsidRDefault="00051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CBD6" w14:textId="77777777" w:rsidR="00896647" w:rsidRDefault="008966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EFA6" w14:textId="77777777" w:rsidR="0005162B" w:rsidRDefault="0005162B">
      <w:pPr>
        <w:spacing w:line="240" w:lineRule="auto"/>
      </w:pPr>
      <w:r>
        <w:separator/>
      </w:r>
    </w:p>
  </w:footnote>
  <w:footnote w:type="continuationSeparator" w:id="0">
    <w:p w14:paraId="4EF80A37" w14:textId="77777777" w:rsidR="0005162B" w:rsidRDefault="00051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515E" w14:textId="77777777" w:rsidR="00896647" w:rsidRDefault="008966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B37A" w14:textId="77777777" w:rsidR="00896647" w:rsidRDefault="0005162B">
    <w:pPr>
      <w:rPr>
        <w:rFonts w:ascii="Source Sans Pro" w:eastAsia="Source Sans Pro" w:hAnsi="Source Sans Pro" w:cs="Source Sans Pro"/>
        <w:b/>
        <w:sz w:val="24"/>
        <w:szCs w:val="24"/>
      </w:rPr>
    </w:pPr>
    <w:r>
      <w:rPr>
        <w:rFonts w:ascii="Source Sans Pro" w:eastAsia="Source Sans Pro" w:hAnsi="Source Sans Pro" w:cs="Source Sans Pro"/>
        <w:b/>
        <w:sz w:val="24"/>
        <w:szCs w:val="24"/>
      </w:rPr>
      <w:t>Schools of Choice Webinar | November 14, 2023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2332223" wp14:editId="3EB17879">
          <wp:simplePos x="0" y="0"/>
          <wp:positionH relativeFrom="column">
            <wp:posOffset>5191125</wp:posOffset>
          </wp:positionH>
          <wp:positionV relativeFrom="paragraph">
            <wp:posOffset>-104774</wp:posOffset>
          </wp:positionV>
          <wp:extent cx="1666875" cy="4762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0F4A93" w14:textId="77777777" w:rsidR="00896647" w:rsidRDefault="0005162B">
    <w:pPr>
      <w:rPr>
        <w:i/>
      </w:rPr>
    </w:pPr>
    <w:r>
      <w:rPr>
        <w:i/>
      </w:rPr>
      <w:t xml:space="preserve">Participant Worksheet </w:t>
    </w:r>
  </w:p>
  <w:p w14:paraId="68ACE1E3" w14:textId="77777777" w:rsidR="00896647" w:rsidRDefault="0005162B">
    <w:pPr>
      <w:rPr>
        <w:b/>
        <w:i/>
        <w:color w:val="FF0000"/>
      </w:rPr>
    </w:pPr>
    <w:r>
      <w:rPr>
        <w:b/>
        <w:i/>
        <w:color w:val="FF0000"/>
      </w:rPr>
      <w:t>Please make a copy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359"/>
    <w:multiLevelType w:val="multilevel"/>
    <w:tmpl w:val="495CCB4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735D39"/>
    <w:multiLevelType w:val="multilevel"/>
    <w:tmpl w:val="1A1A9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57836712">
    <w:abstractNumId w:val="0"/>
  </w:num>
  <w:num w:numId="2" w16cid:durableId="73100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647"/>
    <w:rsid w:val="0005162B"/>
    <w:rsid w:val="0089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6701BA"/>
  <w15:docId w15:val="{57899E77-542A-41D2-81BA-ACA51B15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McCray Simmons , Gisa</dc:creator>
  <cp:lastModifiedBy>McCray Simmons , Gisa</cp:lastModifiedBy>
  <cp:revision>2</cp:revision>
  <dcterms:created xsi:type="dcterms:W3CDTF">2023-11-13T20:18:00Z</dcterms:created>
  <dcterms:modified xsi:type="dcterms:W3CDTF">2023-11-13T20:18:00Z</dcterms:modified>
</cp:coreProperties>
</file>