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138E5" w14:textId="77777777" w:rsidR="00523D82" w:rsidRDefault="0061345F">
      <w:pPr>
        <w:pStyle w:val="Heading1"/>
        <w:spacing w:after="0"/>
        <w:jc w:val="center"/>
      </w:pPr>
      <w:bookmarkStart w:id="0" w:name="_za2ruwy6bumk" w:colFirst="0" w:colLast="0"/>
      <w:bookmarkEnd w:id="0"/>
      <w:r>
        <w:t xml:space="preserve">Expanded Learning Opportunities </w:t>
      </w:r>
    </w:p>
    <w:p w14:paraId="3B0067AF" w14:textId="77777777" w:rsidR="00523D82" w:rsidRDefault="0061345F">
      <w:pPr>
        <w:pStyle w:val="Heading1"/>
        <w:spacing w:before="0"/>
        <w:jc w:val="center"/>
      </w:pPr>
      <w:bookmarkStart w:id="1" w:name="_p9f726b6y624" w:colFirst="0" w:colLast="0"/>
      <w:bookmarkEnd w:id="1"/>
      <w:r>
        <w:t xml:space="preserve">Summer Grant Program </w:t>
      </w:r>
    </w:p>
    <w:p w14:paraId="19966AC9" w14:textId="77777777" w:rsidR="00523D82" w:rsidRDefault="0061345F">
      <w:pPr>
        <w:pStyle w:val="Heading2"/>
      </w:pPr>
      <w:bookmarkStart w:id="2" w:name="_n570c4c0drjf" w:colFirst="0" w:colLast="0"/>
      <w:bookmarkEnd w:id="2"/>
      <w:r>
        <w:t>Frequently Asked Questions</w:t>
      </w:r>
    </w:p>
    <w:p w14:paraId="3A8B5C10" w14:textId="77777777" w:rsidR="00523D82" w:rsidRDefault="00523D82"/>
    <w:p w14:paraId="0F57B0C0" w14:textId="77777777" w:rsidR="00523D82" w:rsidRDefault="0061345F">
      <w:pPr>
        <w:numPr>
          <w:ilvl w:val="0"/>
          <w:numId w:val="1"/>
        </w:numPr>
      </w:pPr>
      <w:r>
        <w:t xml:space="preserve">When can </w:t>
      </w:r>
      <w:proofErr w:type="gramStart"/>
      <w:r>
        <w:t>funds</w:t>
      </w:r>
      <w:proofErr w:type="gramEnd"/>
      <w:r>
        <w:t xml:space="preserve"> be spent? (</w:t>
      </w:r>
      <w:proofErr w:type="gramStart"/>
      <w:r>
        <w:t>i.e.</w:t>
      </w:r>
      <w:proofErr w:type="gramEnd"/>
      <w:r>
        <w:t xml:space="preserve"> What is the performance period of the grant?)</w:t>
      </w:r>
    </w:p>
    <w:p w14:paraId="32246E8C" w14:textId="77777777" w:rsidR="00523D82" w:rsidRDefault="0061345F">
      <w:pPr>
        <w:numPr>
          <w:ilvl w:val="1"/>
          <w:numId w:val="1"/>
        </w:numPr>
        <w:rPr>
          <w:color w:val="0000FF"/>
        </w:rPr>
      </w:pPr>
      <w:r>
        <w:rPr>
          <w:color w:val="0000FF"/>
        </w:rPr>
        <w:t xml:space="preserve">Funds may be used for summer activities from July 1, </w:t>
      </w:r>
      <w:proofErr w:type="gramStart"/>
      <w:r>
        <w:rPr>
          <w:color w:val="0000FF"/>
        </w:rPr>
        <w:t>2023</w:t>
      </w:r>
      <w:proofErr w:type="gramEnd"/>
      <w:r>
        <w:rPr>
          <w:color w:val="0000FF"/>
        </w:rPr>
        <w:t xml:space="preserve"> through September 30, 2024. Activities and purchases must be finalized by September 30, 2024.</w:t>
      </w:r>
    </w:p>
    <w:p w14:paraId="3AB1BE90" w14:textId="77777777" w:rsidR="00523D82" w:rsidRDefault="0061345F">
      <w:pPr>
        <w:numPr>
          <w:ilvl w:val="0"/>
          <w:numId w:val="1"/>
        </w:numPr>
      </w:pPr>
      <w:r>
        <w:t>Can the funds be used for summer 2023 programming?</w:t>
      </w:r>
    </w:p>
    <w:p w14:paraId="4FE85BA6" w14:textId="77777777" w:rsidR="00523D82" w:rsidRDefault="0061345F">
      <w:pPr>
        <w:numPr>
          <w:ilvl w:val="1"/>
          <w:numId w:val="1"/>
        </w:numPr>
        <w:rPr>
          <w:color w:val="0000FF"/>
        </w:rPr>
      </w:pPr>
      <w:r>
        <w:rPr>
          <w:color w:val="0000FF"/>
        </w:rPr>
        <w:t>Yes, if the programming occurred on or after July 1, 2023. Applicants should be mindful that award notifications will be announced on September 1, 2023.</w:t>
      </w:r>
    </w:p>
    <w:p w14:paraId="2010D822" w14:textId="77777777" w:rsidR="00523D82" w:rsidRDefault="0061345F">
      <w:pPr>
        <w:numPr>
          <w:ilvl w:val="0"/>
          <w:numId w:val="1"/>
        </w:numPr>
      </w:pPr>
      <w:r>
        <w:t>Is the $125K limit for summer 2023 and 2024?</w:t>
      </w:r>
    </w:p>
    <w:p w14:paraId="41404840" w14:textId="77777777" w:rsidR="00523D82" w:rsidRDefault="0061345F">
      <w:pPr>
        <w:numPr>
          <w:ilvl w:val="1"/>
          <w:numId w:val="1"/>
        </w:numPr>
      </w:pPr>
      <w:r>
        <w:rPr>
          <w:color w:val="0000FF"/>
        </w:rPr>
        <w:t>The $125,000 grant limit is for the entire performance period (July 1, 2023 - September 30, 2024).</w:t>
      </w:r>
    </w:p>
    <w:p w14:paraId="5A20860E" w14:textId="77777777" w:rsidR="00523D82" w:rsidRDefault="0061345F">
      <w:pPr>
        <w:numPr>
          <w:ilvl w:val="0"/>
          <w:numId w:val="1"/>
        </w:numPr>
      </w:pPr>
      <w:r>
        <w:t xml:space="preserve">How is a </w:t>
      </w:r>
      <w:proofErr w:type="gramStart"/>
      <w:r>
        <w:t>Community</w:t>
      </w:r>
      <w:proofErr w:type="gramEnd"/>
      <w:r>
        <w:t>-based Organization defined for this grant application?</w:t>
      </w:r>
    </w:p>
    <w:p w14:paraId="2CC3B9E1" w14:textId="77777777" w:rsidR="00523D82" w:rsidRDefault="0061345F">
      <w:pPr>
        <w:numPr>
          <w:ilvl w:val="1"/>
          <w:numId w:val="1"/>
        </w:numPr>
        <w:rPr>
          <w:color w:val="0000FF"/>
        </w:rPr>
      </w:pPr>
      <w:r>
        <w:rPr>
          <w:color w:val="0000FF"/>
        </w:rPr>
        <w:t>Community Based Organization - a local, non-profit organization that works with one specialized population or group of clients within Colorado. (i.e.: youth, women, adult learners, ex- offenders).</w:t>
      </w:r>
    </w:p>
    <w:p w14:paraId="6BBEAAB4" w14:textId="77777777" w:rsidR="00523D82" w:rsidRDefault="0061345F">
      <w:pPr>
        <w:numPr>
          <w:ilvl w:val="0"/>
          <w:numId w:val="1"/>
        </w:numPr>
      </w:pPr>
      <w:r>
        <w:t>Are applicants who have received a previous ELO award eligible to apply for this new round?</w:t>
      </w:r>
    </w:p>
    <w:p w14:paraId="0CA79D8D" w14:textId="77777777" w:rsidR="00523D82" w:rsidRDefault="0061345F">
      <w:pPr>
        <w:numPr>
          <w:ilvl w:val="1"/>
          <w:numId w:val="1"/>
        </w:numPr>
        <w:rPr>
          <w:color w:val="0000FF"/>
        </w:rPr>
      </w:pPr>
      <w:r>
        <w:rPr>
          <w:color w:val="0000FF"/>
        </w:rPr>
        <w:t>The stipulation for a current ELO grant recipient is that there is no duplication of benefits for funding the same program.</w:t>
      </w:r>
    </w:p>
    <w:p w14:paraId="1553DBE7" w14:textId="77777777" w:rsidR="00523D82" w:rsidRDefault="0061345F">
      <w:pPr>
        <w:numPr>
          <w:ilvl w:val="1"/>
          <w:numId w:val="1"/>
        </w:numPr>
        <w:rPr>
          <w:color w:val="0000FF"/>
        </w:rPr>
      </w:pPr>
      <w:r>
        <w:rPr>
          <w:color w:val="0000FF"/>
          <w:sz w:val="14"/>
          <w:szCs w:val="14"/>
        </w:rPr>
        <w:t xml:space="preserve"> </w:t>
      </w:r>
      <w:r>
        <w:rPr>
          <w:color w:val="0000FF"/>
        </w:rPr>
        <w:t xml:space="preserve">If a grant recipient had previously been approved for an afterschool program and this is for a summer program, then this is permissible as </w:t>
      </w:r>
      <w:proofErr w:type="gramStart"/>
      <w:r>
        <w:rPr>
          <w:color w:val="0000FF"/>
        </w:rPr>
        <w:t>the  two</w:t>
      </w:r>
      <w:proofErr w:type="gramEnd"/>
      <w:r>
        <w:rPr>
          <w:color w:val="0000FF"/>
        </w:rPr>
        <w:t xml:space="preserve"> funding sources will go towards separate programs. Recipients will need to ensure they keep these funding sources separate from one another.</w:t>
      </w:r>
    </w:p>
    <w:p w14:paraId="4D27F0CD" w14:textId="77777777" w:rsidR="00523D82" w:rsidRDefault="0061345F">
      <w:pPr>
        <w:numPr>
          <w:ilvl w:val="1"/>
          <w:numId w:val="1"/>
        </w:numPr>
        <w:rPr>
          <w:color w:val="0000FF"/>
        </w:rPr>
      </w:pPr>
      <w:r>
        <w:rPr>
          <w:color w:val="0000FF"/>
        </w:rPr>
        <w:t>If an applicant is expanding an existing program, the applicant will need to be very clear about how exactly this new funding will be applied to expand the program, and what aspects of the program are being expanded. Will the new award go towards additional students? Additional grades? The applicant will need to ensure that they are not funding the same activities as the prior award and be very clear about which activities/kids/programs are for which award.</w:t>
      </w:r>
    </w:p>
    <w:p w14:paraId="104DD80B" w14:textId="77777777" w:rsidR="00523D82" w:rsidRDefault="0061345F">
      <w:pPr>
        <w:numPr>
          <w:ilvl w:val="1"/>
          <w:numId w:val="1"/>
        </w:numPr>
        <w:rPr>
          <w:color w:val="0000FF"/>
        </w:rPr>
      </w:pPr>
      <w:r>
        <w:rPr>
          <w:color w:val="0000FF"/>
        </w:rPr>
        <w:t xml:space="preserve">If awarded, clear documentation of how the awards </w:t>
      </w:r>
      <w:proofErr w:type="gramStart"/>
      <w:r>
        <w:rPr>
          <w:color w:val="0000FF"/>
        </w:rPr>
        <w:t>are</w:t>
      </w:r>
      <w:proofErr w:type="gramEnd"/>
      <w:r>
        <w:rPr>
          <w:color w:val="0000FF"/>
        </w:rPr>
        <w:t xml:space="preserve"> going towards separate purposes, and retention of files that show this, will be key for any future federal auditing.</w:t>
      </w:r>
    </w:p>
    <w:p w14:paraId="1565E33C" w14:textId="77777777" w:rsidR="00523D82" w:rsidRDefault="0061345F">
      <w:pPr>
        <w:numPr>
          <w:ilvl w:val="0"/>
          <w:numId w:val="1"/>
        </w:numPr>
      </w:pPr>
      <w:r>
        <w:t>What are ESEA Evidence-based Interventions?</w:t>
      </w:r>
    </w:p>
    <w:p w14:paraId="00CB21FC" w14:textId="77777777" w:rsidR="00523D82" w:rsidRDefault="0061345F">
      <w:pPr>
        <w:numPr>
          <w:ilvl w:val="1"/>
          <w:numId w:val="1"/>
        </w:numPr>
        <w:rPr>
          <w:color w:val="0000FF"/>
        </w:rPr>
      </w:pPr>
      <w:r>
        <w:rPr>
          <w:color w:val="0000FF"/>
        </w:rPr>
        <w:t xml:space="preserve">In making awards for the ELO application, ESSER allows the use of any of these four tiers of evidence to support the interventions being proposed. </w:t>
      </w:r>
    </w:p>
    <w:tbl>
      <w:tblPr>
        <w:tblStyle w:val="a"/>
        <w:tblW w:w="9360" w:type="dxa"/>
        <w:tblBorders>
          <w:top w:val="nil"/>
          <w:left w:val="nil"/>
          <w:bottom w:val="nil"/>
          <w:right w:val="nil"/>
          <w:insideH w:val="nil"/>
          <w:insideV w:val="nil"/>
        </w:tblBorders>
        <w:tblLayout w:type="fixed"/>
        <w:tblLook w:val="0620" w:firstRow="1" w:lastRow="0" w:firstColumn="0" w:lastColumn="0" w:noHBand="1" w:noVBand="1"/>
      </w:tblPr>
      <w:tblGrid>
        <w:gridCol w:w="2920"/>
        <w:gridCol w:w="6440"/>
      </w:tblGrid>
      <w:tr w:rsidR="00523D82" w14:paraId="76436F6F" w14:textId="77777777" w:rsidTr="003A1D38">
        <w:trPr>
          <w:trHeight w:val="770"/>
        </w:trPr>
        <w:tc>
          <w:tcPr>
            <w:tcW w:w="2920" w:type="dxa"/>
            <w:tcBorders>
              <w:top w:val="single" w:sz="8" w:space="0" w:color="5C6670"/>
              <w:left w:val="single" w:sz="8" w:space="0" w:color="5C6670"/>
              <w:bottom w:val="single" w:sz="8" w:space="0" w:color="5C6670"/>
              <w:right w:val="single" w:sz="8" w:space="0" w:color="5C6670"/>
            </w:tcBorders>
            <w:shd w:val="clear" w:color="auto" w:fill="17365D"/>
            <w:tcMar>
              <w:top w:w="100" w:type="dxa"/>
              <w:left w:w="100" w:type="dxa"/>
              <w:bottom w:w="100" w:type="dxa"/>
              <w:right w:w="100" w:type="dxa"/>
            </w:tcMar>
          </w:tcPr>
          <w:p w14:paraId="0BE361F8" w14:textId="77777777" w:rsidR="00523D82" w:rsidRDefault="0061345F">
            <w:pPr>
              <w:spacing w:before="240" w:after="240"/>
              <w:rPr>
                <w:b/>
                <w:color w:val="FFFFFF"/>
              </w:rPr>
            </w:pPr>
            <w:r>
              <w:rPr>
                <w:b/>
                <w:color w:val="FFFFFF"/>
              </w:rPr>
              <w:lastRenderedPageBreak/>
              <w:t>Tier 1 - Strong Evidence</w:t>
            </w:r>
          </w:p>
        </w:tc>
        <w:tc>
          <w:tcPr>
            <w:tcW w:w="6439" w:type="dxa"/>
            <w:tcBorders>
              <w:top w:val="single" w:sz="8" w:space="0" w:color="5C6670"/>
              <w:left w:val="nil"/>
              <w:bottom w:val="single" w:sz="8" w:space="0" w:color="5C6670"/>
              <w:right w:val="single" w:sz="8" w:space="0" w:color="5C6670"/>
            </w:tcBorders>
            <w:tcMar>
              <w:top w:w="100" w:type="dxa"/>
              <w:left w:w="100" w:type="dxa"/>
              <w:bottom w:w="100" w:type="dxa"/>
              <w:right w:w="100" w:type="dxa"/>
            </w:tcMar>
          </w:tcPr>
          <w:p w14:paraId="2D321B06" w14:textId="77777777" w:rsidR="00523D82" w:rsidRDefault="0061345F">
            <w:pPr>
              <w:spacing w:before="240" w:after="240"/>
            </w:pPr>
            <w:r>
              <w:t>Supported by one or more well-designed and well-implemented randomized control experimental studies.</w:t>
            </w:r>
          </w:p>
        </w:tc>
      </w:tr>
      <w:tr w:rsidR="00523D82" w14:paraId="5C383109" w14:textId="77777777" w:rsidTr="003A1D38">
        <w:trPr>
          <w:trHeight w:val="770"/>
        </w:trPr>
        <w:tc>
          <w:tcPr>
            <w:tcW w:w="2920" w:type="dxa"/>
            <w:tcBorders>
              <w:top w:val="nil"/>
              <w:left w:val="single" w:sz="8" w:space="0" w:color="5C6670"/>
              <w:bottom w:val="single" w:sz="8" w:space="0" w:color="5C6670"/>
              <w:right w:val="single" w:sz="8" w:space="0" w:color="5C6670"/>
            </w:tcBorders>
            <w:shd w:val="clear" w:color="auto" w:fill="548DD4"/>
            <w:tcMar>
              <w:top w:w="100" w:type="dxa"/>
              <w:left w:w="100" w:type="dxa"/>
              <w:bottom w:w="100" w:type="dxa"/>
              <w:right w:w="100" w:type="dxa"/>
            </w:tcMar>
          </w:tcPr>
          <w:p w14:paraId="1416EB01" w14:textId="77777777" w:rsidR="00523D82" w:rsidRDefault="0061345F">
            <w:pPr>
              <w:spacing w:before="240" w:after="240"/>
              <w:rPr>
                <w:b/>
              </w:rPr>
            </w:pPr>
            <w:r>
              <w:rPr>
                <w:b/>
              </w:rPr>
              <w:t>Tier 2 - Moderate Evidence</w:t>
            </w:r>
          </w:p>
        </w:tc>
        <w:tc>
          <w:tcPr>
            <w:tcW w:w="6439" w:type="dxa"/>
            <w:tcBorders>
              <w:top w:val="nil"/>
              <w:left w:val="nil"/>
              <w:bottom w:val="single" w:sz="8" w:space="0" w:color="5C6670"/>
              <w:right w:val="single" w:sz="8" w:space="0" w:color="5C6670"/>
            </w:tcBorders>
            <w:tcMar>
              <w:top w:w="100" w:type="dxa"/>
              <w:left w:w="100" w:type="dxa"/>
              <w:bottom w:w="100" w:type="dxa"/>
              <w:right w:w="100" w:type="dxa"/>
            </w:tcMar>
          </w:tcPr>
          <w:p w14:paraId="4E422FFF" w14:textId="77777777" w:rsidR="00523D82" w:rsidRDefault="0061345F">
            <w:pPr>
              <w:spacing w:before="240" w:after="240"/>
            </w:pPr>
            <w:r>
              <w:t>Supported by one or more well-designed and well-implemented quasi-experimental studies.</w:t>
            </w:r>
          </w:p>
        </w:tc>
      </w:tr>
      <w:tr w:rsidR="00523D82" w14:paraId="497FF1D5" w14:textId="77777777" w:rsidTr="003A1D38">
        <w:trPr>
          <w:trHeight w:val="770"/>
        </w:trPr>
        <w:tc>
          <w:tcPr>
            <w:tcW w:w="2920" w:type="dxa"/>
            <w:tcBorders>
              <w:top w:val="nil"/>
              <w:left w:val="single" w:sz="8" w:space="0" w:color="5C6670"/>
              <w:bottom w:val="single" w:sz="8" w:space="0" w:color="5C6670"/>
              <w:right w:val="single" w:sz="8" w:space="0" w:color="5C6670"/>
            </w:tcBorders>
            <w:shd w:val="clear" w:color="auto" w:fill="8DB3E2"/>
            <w:tcMar>
              <w:top w:w="100" w:type="dxa"/>
              <w:left w:w="100" w:type="dxa"/>
              <w:bottom w:w="100" w:type="dxa"/>
              <w:right w:w="100" w:type="dxa"/>
            </w:tcMar>
          </w:tcPr>
          <w:p w14:paraId="72BE1995" w14:textId="77777777" w:rsidR="00523D82" w:rsidRDefault="0061345F">
            <w:pPr>
              <w:spacing w:before="240" w:after="240"/>
              <w:rPr>
                <w:b/>
              </w:rPr>
            </w:pPr>
            <w:r>
              <w:rPr>
                <w:b/>
              </w:rPr>
              <w:t>Tier 3 - Promising Evidence</w:t>
            </w:r>
          </w:p>
        </w:tc>
        <w:tc>
          <w:tcPr>
            <w:tcW w:w="6439" w:type="dxa"/>
            <w:tcBorders>
              <w:top w:val="nil"/>
              <w:left w:val="nil"/>
              <w:bottom w:val="single" w:sz="8" w:space="0" w:color="5C6670"/>
              <w:right w:val="single" w:sz="8" w:space="0" w:color="5C6670"/>
            </w:tcBorders>
            <w:tcMar>
              <w:top w:w="100" w:type="dxa"/>
              <w:left w:w="100" w:type="dxa"/>
              <w:bottom w:w="100" w:type="dxa"/>
              <w:right w:w="100" w:type="dxa"/>
            </w:tcMar>
          </w:tcPr>
          <w:p w14:paraId="01E857E1" w14:textId="77777777" w:rsidR="00523D82" w:rsidRDefault="0061345F">
            <w:pPr>
              <w:spacing w:before="240" w:after="240"/>
            </w:pPr>
            <w:r>
              <w:t>Supporte6d by one or more well-designed and well implemented correlational studies (with statistical controls for selection bias).</w:t>
            </w:r>
          </w:p>
        </w:tc>
      </w:tr>
      <w:tr w:rsidR="00523D82" w14:paraId="003A93D3" w14:textId="77777777" w:rsidTr="003A1D38">
        <w:trPr>
          <w:trHeight w:val="1262"/>
        </w:trPr>
        <w:tc>
          <w:tcPr>
            <w:tcW w:w="2920" w:type="dxa"/>
            <w:tcBorders>
              <w:top w:val="nil"/>
              <w:left w:val="single" w:sz="8" w:space="0" w:color="5C6670"/>
              <w:bottom w:val="single" w:sz="8" w:space="0" w:color="5C6670"/>
              <w:right w:val="single" w:sz="8" w:space="0" w:color="5C6670"/>
            </w:tcBorders>
            <w:shd w:val="clear" w:color="auto" w:fill="C6D9F1"/>
            <w:tcMar>
              <w:top w:w="100" w:type="dxa"/>
              <w:left w:w="100" w:type="dxa"/>
              <w:bottom w:w="100" w:type="dxa"/>
              <w:right w:w="100" w:type="dxa"/>
            </w:tcMar>
          </w:tcPr>
          <w:p w14:paraId="4C6D60D5" w14:textId="77777777" w:rsidR="00523D82" w:rsidRDefault="0061345F">
            <w:pPr>
              <w:spacing w:before="240" w:after="240"/>
              <w:rPr>
                <w:b/>
              </w:rPr>
            </w:pPr>
            <w:r>
              <w:rPr>
                <w:b/>
              </w:rPr>
              <w:t>Tier 4 - Demonstrates a Rationale</w:t>
            </w:r>
          </w:p>
        </w:tc>
        <w:tc>
          <w:tcPr>
            <w:tcW w:w="6439" w:type="dxa"/>
            <w:tcBorders>
              <w:top w:val="nil"/>
              <w:left w:val="nil"/>
              <w:bottom w:val="single" w:sz="8" w:space="0" w:color="5C6670"/>
              <w:right w:val="single" w:sz="8" w:space="0" w:color="5C6670"/>
            </w:tcBorders>
            <w:tcMar>
              <w:top w:w="100" w:type="dxa"/>
              <w:left w:w="100" w:type="dxa"/>
              <w:bottom w:w="100" w:type="dxa"/>
              <w:right w:w="100" w:type="dxa"/>
            </w:tcMar>
          </w:tcPr>
          <w:p w14:paraId="1B289DCD" w14:textId="77777777" w:rsidR="00523D82" w:rsidRDefault="0061345F">
            <w:pPr>
              <w:spacing w:before="240" w:after="240"/>
            </w:pPr>
            <w:r>
              <w:t>Supported by relevant research or an evaluation which suggests that the intervention is likely to improve a student outcome or other relevant outcome.</w:t>
            </w:r>
          </w:p>
        </w:tc>
      </w:tr>
    </w:tbl>
    <w:p w14:paraId="6245AAAA" w14:textId="77777777" w:rsidR="00523D82" w:rsidRDefault="00523D82">
      <w:pPr>
        <w:spacing w:before="240" w:after="240"/>
      </w:pPr>
    </w:p>
    <w:p w14:paraId="25B131A0" w14:textId="77777777" w:rsidR="00523D82" w:rsidRDefault="00523D82">
      <w:pPr>
        <w:spacing w:after="240"/>
      </w:pPr>
    </w:p>
    <w:p w14:paraId="19C97E46" w14:textId="77777777" w:rsidR="00523D82" w:rsidRDefault="00523D82">
      <w:pPr>
        <w:spacing w:after="240"/>
      </w:pPr>
    </w:p>
    <w:p w14:paraId="61FE1147" w14:textId="77777777" w:rsidR="00523D82" w:rsidRDefault="00523D82"/>
    <w:p w14:paraId="6AE9C66E" w14:textId="77777777" w:rsidR="00523D82" w:rsidRDefault="00523D82"/>
    <w:p w14:paraId="256E4A8C" w14:textId="77777777" w:rsidR="00523D82" w:rsidRDefault="00523D82"/>
    <w:p w14:paraId="132E9595" w14:textId="77777777" w:rsidR="00523D82" w:rsidRDefault="00523D82"/>
    <w:p w14:paraId="7D2D3BDC" w14:textId="77777777" w:rsidR="00523D82" w:rsidRDefault="00523D82"/>
    <w:p w14:paraId="4B5E52BE" w14:textId="77777777" w:rsidR="00523D82" w:rsidRDefault="00523D82"/>
    <w:p w14:paraId="7C992B8C" w14:textId="77777777" w:rsidR="00523D82" w:rsidRDefault="00523D82"/>
    <w:p w14:paraId="1B28829D" w14:textId="77777777" w:rsidR="00523D82" w:rsidRDefault="00523D82"/>
    <w:p w14:paraId="7C27721C" w14:textId="77777777" w:rsidR="00523D82" w:rsidRDefault="00523D82"/>
    <w:p w14:paraId="10519B67" w14:textId="77777777" w:rsidR="00523D82" w:rsidRDefault="00523D82"/>
    <w:p w14:paraId="25C38261" w14:textId="77777777" w:rsidR="00523D82" w:rsidRDefault="00523D82"/>
    <w:p w14:paraId="586D9369" w14:textId="77777777" w:rsidR="00523D82" w:rsidRDefault="00523D82"/>
    <w:p w14:paraId="7EBD0A9E" w14:textId="77777777" w:rsidR="00523D82" w:rsidRDefault="00523D82"/>
    <w:p w14:paraId="354D49AF" w14:textId="77777777" w:rsidR="00523D82" w:rsidRDefault="00523D82"/>
    <w:p w14:paraId="711082D5" w14:textId="77777777" w:rsidR="00523D82" w:rsidRDefault="00523D82"/>
    <w:p w14:paraId="2178116D" w14:textId="77777777" w:rsidR="00523D82" w:rsidRDefault="00523D82"/>
    <w:p w14:paraId="164159BE" w14:textId="77777777" w:rsidR="00523D82" w:rsidRDefault="00523D82"/>
    <w:p w14:paraId="641C8B03" w14:textId="77777777" w:rsidR="00523D82" w:rsidRDefault="00523D82"/>
    <w:p w14:paraId="360DECC0" w14:textId="77777777" w:rsidR="00523D82" w:rsidRDefault="00523D82">
      <w:pPr>
        <w:numPr>
          <w:ilvl w:val="0"/>
          <w:numId w:val="1"/>
        </w:numPr>
      </w:pPr>
    </w:p>
    <w:p w14:paraId="4F40427D" w14:textId="77777777" w:rsidR="00523D82" w:rsidRDefault="00523D82">
      <w:pPr>
        <w:numPr>
          <w:ilvl w:val="0"/>
          <w:numId w:val="1"/>
        </w:numPr>
      </w:pPr>
    </w:p>
    <w:p w14:paraId="6F438CD9" w14:textId="77777777" w:rsidR="00523D82" w:rsidRDefault="0061345F">
      <w:pPr>
        <w:numPr>
          <w:ilvl w:val="0"/>
          <w:numId w:val="1"/>
        </w:numPr>
      </w:pPr>
      <w:r>
        <w:t>May an organization that received initial ELO grant funding apply for this round of funding?</w:t>
      </w:r>
    </w:p>
    <w:p w14:paraId="0D7F6010" w14:textId="77777777" w:rsidR="00523D82" w:rsidRDefault="0061345F">
      <w:pPr>
        <w:numPr>
          <w:ilvl w:val="1"/>
          <w:numId w:val="1"/>
        </w:numPr>
        <w:rPr>
          <w:color w:val="0000FF"/>
        </w:rPr>
      </w:pPr>
      <w:r>
        <w:rPr>
          <w:color w:val="0000FF"/>
        </w:rPr>
        <w:t xml:space="preserve">Yes, however an organization must demonstrate in their application how this additional funding will be used separately from the work of the first summer grant (2022) to avoid duplication of benefits (a.k.a. double dipping). </w:t>
      </w:r>
    </w:p>
    <w:sectPr w:rsidR="00523D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85"/>
    <w:multiLevelType w:val="multilevel"/>
    <w:tmpl w:val="26306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80963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82"/>
    <w:rsid w:val="003A1D38"/>
    <w:rsid w:val="00523D82"/>
    <w:rsid w:val="00613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4C11A"/>
  <w15:docId w15:val="{C035D101-E54D-4382-88FC-152A8008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Beauchamp, Robert</dc:creator>
  <cp:lastModifiedBy>(Allen) Winicki, Megan</cp:lastModifiedBy>
  <cp:revision>2</cp:revision>
  <dcterms:created xsi:type="dcterms:W3CDTF">2023-06-07T00:22:00Z</dcterms:created>
  <dcterms:modified xsi:type="dcterms:W3CDTF">2023-06-07T00:22:00Z</dcterms:modified>
</cp:coreProperties>
</file>