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93" w:rsidRPr="00647993" w:rsidRDefault="00647993" w:rsidP="00647993">
      <w:pPr>
        <w:rPr>
          <w:b/>
          <w:bCs/>
        </w:rPr>
      </w:pPr>
      <w:r w:rsidRPr="00647993">
        <w:rPr>
          <w:b/>
          <w:bCs/>
        </w:rPr>
        <w:t>Common Testing Questions and Answers</w:t>
      </w:r>
    </w:p>
    <w:p w:rsidR="00647993" w:rsidRPr="00647993" w:rsidRDefault="00647993" w:rsidP="00647993">
      <w:pPr>
        <w:rPr>
          <w:b/>
          <w:bCs/>
        </w:rPr>
      </w:pPr>
      <w:r w:rsidRPr="00647993">
        <w:rPr>
          <w:b/>
          <w:bCs/>
        </w:rPr>
        <w:t>April 20, 2015</w:t>
      </w:r>
    </w:p>
    <w:p w:rsidR="00647993" w:rsidRPr="00647993" w:rsidRDefault="00647993" w:rsidP="00647993">
      <w:r w:rsidRPr="00647993">
        <w:t>Here are the most common questions regarding assessment administration. The answers below may help you continue testing promptly.</w:t>
      </w:r>
    </w:p>
    <w:p w:rsidR="00647993" w:rsidRPr="00647993" w:rsidRDefault="00647993" w:rsidP="00647993">
      <w:r w:rsidRPr="00647993">
        <w:rPr>
          <w:b/>
          <w:bCs/>
        </w:rPr>
        <w:t>Where is the student username and password?</w:t>
      </w:r>
    </w:p>
    <w:p w:rsidR="00647993" w:rsidRPr="00647993" w:rsidRDefault="00647993" w:rsidP="00647993">
      <w:r w:rsidRPr="00647993">
        <w:t>Student test tickets with the student’s username and password to access KITE are in the Test Management area of Educator Portal. See the procedure titled View Student Username and Password in the Test Administration Manual.</w:t>
      </w:r>
    </w:p>
    <w:p w:rsidR="00647993" w:rsidRPr="00647993" w:rsidRDefault="00647993" w:rsidP="00647993">
      <w:pPr>
        <w:rPr>
          <w:b/>
          <w:bCs/>
        </w:rPr>
      </w:pPr>
      <w:r w:rsidRPr="00647993">
        <w:rPr>
          <w:b/>
          <w:bCs/>
        </w:rPr>
        <w:t>Where are the Testlet Information Pages?</w:t>
      </w:r>
    </w:p>
    <w:p w:rsidR="00647993" w:rsidRPr="00647993" w:rsidRDefault="00647993" w:rsidP="00647993">
      <w:proofErr w:type="spellStart"/>
      <w:r w:rsidRPr="00647993">
        <w:t>TIPs</w:t>
      </w:r>
      <w:proofErr w:type="spellEnd"/>
      <w:r w:rsidRPr="00647993">
        <w:t xml:space="preserve"> are located on the Test Management tab in Educator Portal. </w:t>
      </w:r>
    </w:p>
    <w:p w:rsidR="00647993" w:rsidRPr="00647993" w:rsidRDefault="00647993" w:rsidP="00647993">
      <w:pPr>
        <w:pStyle w:val="ListParagraph"/>
        <w:numPr>
          <w:ilvl w:val="0"/>
          <w:numId w:val="2"/>
        </w:numPr>
      </w:pPr>
      <w:r w:rsidRPr="00647993">
        <w:t xml:space="preserve">Test administrators in Alaska, </w:t>
      </w:r>
      <w:r w:rsidRPr="00647993">
        <w:rPr>
          <w:b/>
        </w:rPr>
        <w:t>Colorado</w:t>
      </w:r>
      <w:r w:rsidRPr="00647993">
        <w:t xml:space="preserve">, Illinois, Mississippi, New Hampshire, New Jersey, Oklahoma, Pennsylvania, Utah, West Virginia, and Wisconsin see </w:t>
      </w:r>
      <w:hyperlink r:id="rId6" w:history="1">
        <w:r w:rsidRPr="00647993">
          <w:rPr>
            <w:rStyle w:val="Hyperlink"/>
          </w:rPr>
          <w:t>About Testlet Information Pages YE</w:t>
        </w:r>
      </w:hyperlink>
      <w:r w:rsidRPr="00647993">
        <w:t xml:space="preserve">.   </w:t>
      </w:r>
    </w:p>
    <w:p w:rsidR="00647993" w:rsidRPr="00647993" w:rsidRDefault="00647993" w:rsidP="00647993">
      <w:pPr>
        <w:rPr>
          <w:b/>
          <w:bCs/>
        </w:rPr>
      </w:pPr>
      <w:r w:rsidRPr="00647993">
        <w:rPr>
          <w:b/>
          <w:bCs/>
        </w:rPr>
        <w:t>Can I substitute materials/manipulatives?</w:t>
      </w:r>
    </w:p>
    <w:p w:rsidR="00647993" w:rsidRPr="00647993" w:rsidRDefault="00647993" w:rsidP="00647993">
      <w:pPr>
        <w:pStyle w:val="ListParagraph"/>
        <w:numPr>
          <w:ilvl w:val="0"/>
          <w:numId w:val="2"/>
        </w:numPr>
      </w:pPr>
      <w:r w:rsidRPr="00647993">
        <w:t xml:space="preserve">Testlets sometimes call for the use of materials or manipulatives. Suggested materials are included in the Testlet Information Page (TIP) for each testlet. To gather materials ahead of time that are likely to be used in a student’s assessment, please see the materials collections lists on your Educator Resource Page. </w:t>
      </w:r>
    </w:p>
    <w:p w:rsidR="00647993" w:rsidRPr="00647993" w:rsidRDefault="00647993" w:rsidP="00647993">
      <w:pPr>
        <w:pStyle w:val="ListParagraph"/>
        <w:numPr>
          <w:ilvl w:val="0"/>
          <w:numId w:val="2"/>
        </w:numPr>
      </w:pPr>
      <w:r w:rsidRPr="00647993">
        <w:t>In a few testlets, some materials are required and cannot be substituted, but in most testlets substitutes are allowed. For more information about substituting objects, see the Test Administration Manual, section titled Teacher-Administered Tests.</w:t>
      </w:r>
    </w:p>
    <w:p w:rsidR="00647993" w:rsidRPr="00647993" w:rsidRDefault="00647993" w:rsidP="00647993">
      <w:pPr>
        <w:pStyle w:val="ListParagraph"/>
        <w:numPr>
          <w:ilvl w:val="0"/>
          <w:numId w:val="2"/>
        </w:numPr>
      </w:pPr>
      <w:r w:rsidRPr="00647993">
        <w:t xml:space="preserve">When substituting materials, remember to change the words in the question (including the answer choices) </w:t>
      </w:r>
      <w:r w:rsidRPr="00647993">
        <w:rPr>
          <w:u w:val="single"/>
        </w:rPr>
        <w:t>to match the substituted item.</w:t>
      </w:r>
    </w:p>
    <w:p w:rsidR="00647993" w:rsidRPr="00647993" w:rsidRDefault="00647993" w:rsidP="00647993">
      <w:pPr>
        <w:rPr>
          <w:b/>
          <w:bCs/>
        </w:rPr>
      </w:pPr>
      <w:r w:rsidRPr="00647993">
        <w:rPr>
          <w:b/>
          <w:bCs/>
        </w:rPr>
        <w:t xml:space="preserve">Which student supports are allowed? </w:t>
      </w:r>
    </w:p>
    <w:p w:rsidR="00647993" w:rsidRPr="00647993" w:rsidRDefault="00647993" w:rsidP="00647993">
      <w:r w:rsidRPr="00647993">
        <w:t xml:space="preserve">For many teachers, delivering DLM computer-based testlets is a new experience this spring. </w:t>
      </w:r>
      <w:hyperlink r:id="rId7" w:history="1">
        <w:r w:rsidRPr="00647993">
          <w:rPr>
            <w:rStyle w:val="Hyperlink"/>
          </w:rPr>
          <w:t>This document</w:t>
        </w:r>
      </w:hyperlink>
      <w:r w:rsidRPr="00647993">
        <w:t xml:space="preserve"> provides some reminders about allowable supports and materials used to deliver assessments. It also provides examples of how students with different response modes can indicate their answers to computer-based testlets. The </w:t>
      </w:r>
      <w:hyperlink r:id="rId8" w:history="1">
        <w:r w:rsidRPr="00647993">
          <w:rPr>
            <w:rStyle w:val="Hyperlink"/>
          </w:rPr>
          <w:t>DLM Accessibility Manual</w:t>
        </w:r>
      </w:hyperlink>
      <w:r w:rsidRPr="00647993">
        <w:t xml:space="preserve"> is also a good resource for information on allowable supports.</w:t>
      </w:r>
    </w:p>
    <w:p w:rsidR="00647993" w:rsidRDefault="00647993">
      <w:pPr>
        <w:rPr>
          <w:b/>
          <w:bCs/>
        </w:rPr>
      </w:pPr>
      <w:r>
        <w:rPr>
          <w:b/>
          <w:bCs/>
        </w:rPr>
        <w:br w:type="page"/>
      </w:r>
    </w:p>
    <w:p w:rsidR="00647993" w:rsidRPr="00647993" w:rsidRDefault="00647993" w:rsidP="00647993">
      <w:pPr>
        <w:rPr>
          <w:b/>
          <w:bCs/>
        </w:rPr>
      </w:pPr>
      <w:r w:rsidRPr="00647993">
        <w:rPr>
          <w:b/>
          <w:bCs/>
        </w:rPr>
        <w:lastRenderedPageBreak/>
        <w:t xml:space="preserve">How many testlets will my student </w:t>
      </w:r>
      <w:proofErr w:type="gramStart"/>
      <w:r w:rsidR="0045751E">
        <w:rPr>
          <w:b/>
          <w:bCs/>
        </w:rPr>
        <w:t>be</w:t>
      </w:r>
      <w:proofErr w:type="gramEnd"/>
      <w:r w:rsidR="0045751E">
        <w:rPr>
          <w:b/>
          <w:bCs/>
        </w:rPr>
        <w:t xml:space="preserve"> assigned</w:t>
      </w:r>
      <w:r w:rsidRPr="00647993">
        <w:rPr>
          <w:b/>
          <w:bCs/>
        </w:rPr>
        <w:t xml:space="preserve">? </w:t>
      </w:r>
    </w:p>
    <w:p w:rsidR="00647993" w:rsidRPr="00647993" w:rsidRDefault="00647993" w:rsidP="00647993">
      <w:pPr>
        <w:pStyle w:val="ListParagraph"/>
        <w:numPr>
          <w:ilvl w:val="0"/>
          <w:numId w:val="2"/>
        </w:numPr>
      </w:pPr>
      <w:r w:rsidRPr="00647993">
        <w:t xml:space="preserve">Students in Alaska, </w:t>
      </w:r>
      <w:r w:rsidRPr="0045751E">
        <w:rPr>
          <w:b/>
        </w:rPr>
        <w:t>Colorado</w:t>
      </w:r>
      <w:r w:rsidRPr="00647993">
        <w:t xml:space="preserve">, Illinois, Mississippi, New Hampshire, New Jersey, Oklahoma, Pennsylvania, Utah, West Virginia, and Wisconsin will receive 5-7 testlets in ELA and 6-7 testlets in mathematics, depending on the student’s grade. The number of testlets in each grade is shown </w:t>
      </w:r>
      <w:bookmarkStart w:id="0" w:name="_GoBack"/>
      <w:bookmarkEnd w:id="0"/>
      <w:r w:rsidRPr="00647993">
        <w:t>in the table in the back of the Test Administration Manual.</w:t>
      </w:r>
    </w:p>
    <w:p w:rsidR="00647993" w:rsidRPr="00647993" w:rsidRDefault="00647993" w:rsidP="00647993"/>
    <w:p w:rsidR="00647993" w:rsidRPr="00647993" w:rsidRDefault="00647993" w:rsidP="00647993">
      <w:pPr>
        <w:rPr>
          <w:b/>
          <w:bCs/>
        </w:rPr>
      </w:pPr>
      <w:r w:rsidRPr="00647993">
        <w:rPr>
          <w:b/>
          <w:bCs/>
        </w:rPr>
        <w:t xml:space="preserve">How do I know if my student is done testing? </w:t>
      </w:r>
    </w:p>
    <w:p w:rsidR="00647993" w:rsidRPr="00647993" w:rsidRDefault="00647993" w:rsidP="00647993">
      <w:r w:rsidRPr="00647993">
        <w:t>Your student has completed testing if you have administered the number of testlets for your state as shown in the answer above.  The only exception would be if you were contacted by your state about a special reassignment of testlets.</w:t>
      </w:r>
    </w:p>
    <w:p w:rsidR="00647993" w:rsidRPr="00647993" w:rsidRDefault="00647993" w:rsidP="00647993">
      <w:pPr>
        <w:rPr>
          <w:b/>
          <w:bCs/>
        </w:rPr>
      </w:pPr>
      <w:r w:rsidRPr="00647993">
        <w:rPr>
          <w:b/>
          <w:bCs/>
        </w:rPr>
        <w:t>I can’t see all of the images, test questions, or test answers onscreen.</w:t>
      </w:r>
    </w:p>
    <w:p w:rsidR="00647993" w:rsidRPr="00647993" w:rsidRDefault="00647993" w:rsidP="00647993">
      <w:r w:rsidRPr="00647993">
        <w:t xml:space="preserve">Your Technical Liaison can help you troubleshoot these issues using the </w:t>
      </w:r>
      <w:hyperlink r:id="rId9" w:history="1">
        <w:r w:rsidRPr="00647993">
          <w:rPr>
            <w:rStyle w:val="Hyperlink"/>
          </w:rPr>
          <w:t>KITE Client Whitelist Settings</w:t>
        </w:r>
      </w:hyperlink>
      <w:r w:rsidRPr="00647993">
        <w:t>.</w:t>
      </w:r>
    </w:p>
    <w:p w:rsidR="0026240A" w:rsidRDefault="0026240A"/>
    <w:sectPr w:rsidR="0026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944"/>
    <w:multiLevelType w:val="hybridMultilevel"/>
    <w:tmpl w:val="05A62DFA"/>
    <w:lvl w:ilvl="0" w:tplc="CB449FB2">
      <w:numFmt w:val="bullet"/>
      <w:lvlText w:val="·"/>
      <w:lvlJc w:val="left"/>
      <w:pPr>
        <w:ind w:left="864" w:hanging="50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E3083"/>
    <w:multiLevelType w:val="hybridMultilevel"/>
    <w:tmpl w:val="820C7D94"/>
    <w:lvl w:ilvl="0" w:tplc="CB449FB2">
      <w:numFmt w:val="bullet"/>
      <w:lvlText w:val="·"/>
      <w:lvlJc w:val="left"/>
      <w:pPr>
        <w:ind w:left="864" w:hanging="50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1767C"/>
    <w:multiLevelType w:val="hybridMultilevel"/>
    <w:tmpl w:val="7D9C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54"/>
    <w:rsid w:val="0026240A"/>
    <w:rsid w:val="0045751E"/>
    <w:rsid w:val="00647993"/>
    <w:rsid w:val="00E16A54"/>
    <w:rsid w:val="00E3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993"/>
    <w:rPr>
      <w:color w:val="0000FF" w:themeColor="hyperlink"/>
      <w:u w:val="single"/>
    </w:rPr>
  </w:style>
  <w:style w:type="paragraph" w:styleId="ListParagraph">
    <w:name w:val="List Paragraph"/>
    <w:basedOn w:val="Normal"/>
    <w:uiPriority w:val="34"/>
    <w:qFormat/>
    <w:rsid w:val="00647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993"/>
    <w:rPr>
      <w:color w:val="0000FF" w:themeColor="hyperlink"/>
      <w:u w:val="single"/>
    </w:rPr>
  </w:style>
  <w:style w:type="paragraph" w:styleId="ListParagraph">
    <w:name w:val="List Paragraph"/>
    <w:basedOn w:val="Normal"/>
    <w:uiPriority w:val="34"/>
    <w:qFormat/>
    <w:rsid w:val="0064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0751">
      <w:bodyDiv w:val="1"/>
      <w:marLeft w:val="0"/>
      <w:marRight w:val="0"/>
      <w:marTop w:val="0"/>
      <w:marBottom w:val="0"/>
      <w:divBdr>
        <w:top w:val="none" w:sz="0" w:space="0" w:color="auto"/>
        <w:left w:val="none" w:sz="0" w:space="0" w:color="auto"/>
        <w:bottom w:val="none" w:sz="0" w:space="0" w:color="auto"/>
        <w:right w:val="none" w:sz="0" w:space="0" w:color="auto"/>
      </w:divBdr>
    </w:div>
    <w:div w:id="16167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miclearningmaps.org/sites/default/files/accessiblity_manual_0.pdf" TargetMode="External"/><Relationship Id="rId3" Type="http://schemas.microsoft.com/office/2007/relationships/stylesWithEffects" Target="stylesWithEffects.xml"/><Relationship Id="rId7" Type="http://schemas.openxmlformats.org/officeDocument/2006/relationships/hyperlink" Target="http://www.dynamiclearningmaps.org/sites/default/files/documents/ERP/Common_questions-spring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ynamiclearningmaps.org/sites/default/files/documents/ERP/About_TIPs_Spring_Y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teassessments.org/sites/default/files/KITE_files/KITE_Client_Whiteli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Mira</dc:creator>
  <cp:lastModifiedBy>Monroe, Mira</cp:lastModifiedBy>
  <cp:revision>2</cp:revision>
  <dcterms:created xsi:type="dcterms:W3CDTF">2015-04-20T14:37:00Z</dcterms:created>
  <dcterms:modified xsi:type="dcterms:W3CDTF">2015-04-20T15:58:00Z</dcterms:modified>
</cp:coreProperties>
</file>