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96" w:rsidRPr="00B31345" w:rsidRDefault="00B31345" w:rsidP="003842BF">
      <w:pPr>
        <w:tabs>
          <w:tab w:val="left" w:pos="11430"/>
        </w:tabs>
        <w:rPr>
          <w:rFonts w:eastAsia="Times New Roman" w:cs="Times New Roman"/>
          <w:color w:val="008031"/>
          <w:sz w:val="56"/>
          <w:szCs w:val="56"/>
        </w:rPr>
      </w:pPr>
      <w:r w:rsidRPr="00B31345">
        <w:rPr>
          <w:color w:val="008031"/>
          <w:sz w:val="56"/>
          <w:szCs w:val="56"/>
        </w:rPr>
        <w:t>Special Education Dispute Resolution</w:t>
      </w:r>
      <w:r w:rsidR="003842BF">
        <w:rPr>
          <w:color w:val="008031"/>
          <w:sz w:val="56"/>
          <w:szCs w:val="56"/>
        </w:rPr>
        <w:tab/>
      </w:r>
      <w:r w:rsidR="00111F5F" w:rsidRPr="00B31345">
        <w:rPr>
          <w:noProof/>
          <w:color w:val="008030"/>
          <w:position w:val="-2"/>
        </w:rPr>
        <w:drawing>
          <wp:inline distT="0" distB="0" distL="0" distR="0">
            <wp:extent cx="1850517" cy="338124"/>
            <wp:effectExtent l="0" t="0" r="0" b="5080"/>
            <wp:docPr id="1" name="image1.jpeg"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50517" cy="338124"/>
                    </a:xfrm>
                    <a:prstGeom prst="rect">
                      <a:avLst/>
                    </a:prstGeom>
                  </pic:spPr>
                </pic:pic>
              </a:graphicData>
            </a:graphic>
          </wp:inline>
        </w:drawing>
      </w:r>
    </w:p>
    <w:p w:rsidR="00492596" w:rsidRPr="00B31345" w:rsidRDefault="00F62D28">
      <w:pPr>
        <w:pStyle w:val="BodyText"/>
        <w:rPr>
          <w:sz w:val="20"/>
        </w:rPr>
      </w:pPr>
      <w:r w:rsidRPr="00B31345">
        <w:rPr>
          <w:noProof/>
        </w:rPr>
        <mc:AlternateContent>
          <mc:Choice Requires="wps">
            <w:drawing>
              <wp:inline distT="0" distB="0" distL="0" distR="0" wp14:anchorId="40BF4A68" wp14:editId="05964BC8">
                <wp:extent cx="9144000" cy="287020"/>
                <wp:effectExtent l="0" t="0" r="0" b="0"/>
                <wp:docPr id="2" name="Rectangle 2" title="CDE Bann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287020"/>
                        </a:xfrm>
                        <a:prstGeom prst="rect">
                          <a:avLst/>
                        </a:prstGeom>
                        <a:solidFill>
                          <a:srgbClr val="00943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D28" w:rsidRPr="00B31345" w:rsidRDefault="00B31345" w:rsidP="00F62D28">
                            <w:pPr>
                              <w:rPr>
                                <w:b/>
                                <w:color w:val="FFFFFF" w:themeColor="background1"/>
                                <w:sz w:val="24"/>
                                <w:szCs w:val="24"/>
                              </w:rPr>
                            </w:pPr>
                            <w:r w:rsidRPr="00B31345">
                              <w:rPr>
                                <w:b/>
                                <w:color w:val="FFFFFF" w:themeColor="background1"/>
                                <w:sz w:val="24"/>
                                <w:szCs w:val="24"/>
                              </w:rPr>
                              <w:t>A Brief Overview of Options Available under the IDEA</w:t>
                            </w:r>
                            <w:r w:rsidR="00913B3C" w:rsidRPr="00B31345">
                              <w:rPr>
                                <w:b/>
                                <w:color w:val="FFFFFF" w:themeColor="background1"/>
                                <w:sz w:val="24"/>
                                <w:szCs w:val="24"/>
                              </w:rPr>
                              <w:cr/>
                            </w:r>
                          </w:p>
                        </w:txbxContent>
                      </wps:txbx>
                      <wps:bodyPr rot="0" vert="horz" wrap="square" lIns="91440" tIns="45720" rIns="91440" bIns="45720" anchor="t" anchorCtr="0" upright="1">
                        <a:noAutofit/>
                      </wps:bodyPr>
                    </wps:wsp>
                  </a:graphicData>
                </a:graphic>
              </wp:inline>
            </w:drawing>
          </mc:Choice>
          <mc:Fallback>
            <w:pict>
              <v:rect w14:anchorId="40BF4A68" id="Rectangle 2" o:spid="_x0000_s1026" alt="Title: CDE Banner" style="width:10in;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" fillcolor="#009439" stroked="f">
                <v:textbox>
                  <w:txbxContent>
                    <w:p w:rsidR="00F62D28" w:rsidRPr="00B31345" w:rsidRDefault="00B31345" w:rsidP="00F62D28">
                      <w:pPr>
                        <w:rPr>
                          <w:b/>
                          <w:color w:val="FFFFFF" w:themeColor="background1"/>
                          <w:sz w:val="24"/>
                          <w:szCs w:val="24"/>
                        </w:rPr>
                      </w:pPr>
                      <w:r w:rsidRPr="00B31345">
                        <w:rPr>
                          <w:b/>
                          <w:color w:val="FFFFFF" w:themeColor="background1"/>
                          <w:sz w:val="24"/>
                          <w:szCs w:val="24"/>
                        </w:rPr>
                        <w:t>A Brief Overview of Options Available under the IDEA</w:t>
                      </w:r>
                      <w:r w:rsidR="00913B3C" w:rsidRPr="00B31345">
                        <w:rPr>
                          <w:b/>
                          <w:color w:val="FFFFFF" w:themeColor="background1"/>
                          <w:sz w:val="24"/>
                          <w:szCs w:val="24"/>
                        </w:rPr>
                        <w:cr/>
                      </w:r>
                    </w:p>
                  </w:txbxContent>
                </v:textbox>
                <w10:anchorlock/>
              </v:rect>
            </w:pict>
          </mc:Fallback>
        </mc:AlternateContent>
      </w:r>
    </w:p>
    <w:p w:rsidR="00492596" w:rsidRPr="00B31345" w:rsidRDefault="00492596">
      <w:pPr>
        <w:pStyle w:val="BodyText"/>
        <w:spacing w:before="10"/>
        <w:rPr>
          <w:sz w:val="20"/>
        </w:rPr>
      </w:pPr>
    </w:p>
    <w:tbl>
      <w:tblPr>
        <w:tblStyle w:val="GridTable5Dark-Accent1"/>
        <w:tblW w:w="0" w:type="auto"/>
        <w:tblLayout w:type="fixed"/>
        <w:tblCellMar>
          <w:left w:w="0" w:type="dxa"/>
          <w:right w:w="0" w:type="dxa"/>
        </w:tblCellMar>
        <w:tblLook w:val="04A0" w:firstRow="1" w:lastRow="0" w:firstColumn="1" w:lastColumn="0" w:noHBand="0" w:noVBand="1"/>
        <w:tblCaption w:val="Dispute Resolution Options Table"/>
        <w:tblDescription w:val="A table answering frequently asked questions as the pertain to the three Dispute Resolution Options offered by CDE, namely Mediation, State Complaints, and Due Process Complaints."/>
      </w:tblPr>
      <w:tblGrid>
        <w:gridCol w:w="1255"/>
        <w:gridCol w:w="3780"/>
        <w:gridCol w:w="4500"/>
        <w:gridCol w:w="4860"/>
      </w:tblGrid>
      <w:tr w:rsidR="00492596" w:rsidRPr="00B3443C" w:rsidTr="00BB304B">
        <w:trPr>
          <w:cnfStyle w:val="100000000000" w:firstRow="1" w:lastRow="0" w:firstColumn="0" w:lastColumn="0" w:oddVBand="0" w:evenVBand="0" w:oddHBand="0" w:evenHBand="0" w:firstRowFirstColumn="0" w:firstRowLastColumn="0" w:lastRowFirstColumn="0" w:lastRowLastColumn="0"/>
          <w:trHeight w:hRule="exact" w:val="330"/>
          <w:tblHeader/>
        </w:trPr>
        <w:tc>
          <w:tcPr>
            <w:cnfStyle w:val="001000000000" w:firstRow="0" w:lastRow="0" w:firstColumn="1" w:lastColumn="0" w:oddVBand="0" w:evenVBand="0" w:oddHBand="0" w:evenHBand="0" w:firstRowFirstColumn="0" w:firstRowLastColumn="0" w:lastRowFirstColumn="0" w:lastRowLastColumn="0"/>
            <w:tcW w:w="1255" w:type="dxa"/>
            <w:vAlign w:val="center"/>
          </w:tcPr>
          <w:p w:rsidR="00492596" w:rsidRPr="00B3443C" w:rsidRDefault="00492596" w:rsidP="007A7902">
            <w:pPr>
              <w:jc w:val="center"/>
              <w:rPr>
                <w:sz w:val="20"/>
                <w:szCs w:val="20"/>
              </w:rPr>
            </w:pPr>
          </w:p>
        </w:tc>
        <w:tc>
          <w:tcPr>
            <w:tcW w:w="3780" w:type="dxa"/>
            <w:vAlign w:val="center"/>
          </w:tcPr>
          <w:p w:rsidR="00492596" w:rsidRPr="00B3443C" w:rsidRDefault="00B31345" w:rsidP="007A7902">
            <w:pPr>
              <w:pStyle w:val="TableParagraph"/>
              <w:ind w:left="12" w:right="14"/>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3443C">
              <w:rPr>
                <w:color w:val="FFFFFF"/>
                <w:sz w:val="20"/>
                <w:szCs w:val="20"/>
              </w:rPr>
              <w:t>Mediation</w:t>
            </w:r>
          </w:p>
        </w:tc>
        <w:tc>
          <w:tcPr>
            <w:tcW w:w="4500" w:type="dxa"/>
            <w:vAlign w:val="center"/>
          </w:tcPr>
          <w:p w:rsidR="00492596" w:rsidRPr="00B3443C" w:rsidRDefault="00B31345" w:rsidP="007A7902">
            <w:pPr>
              <w:pStyle w:val="TableParagraph"/>
              <w:ind w:left="6" w:right="9"/>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3443C">
              <w:rPr>
                <w:color w:val="FFFFFF"/>
                <w:sz w:val="20"/>
                <w:szCs w:val="20"/>
              </w:rPr>
              <w:t>State Complaints</w:t>
            </w:r>
          </w:p>
        </w:tc>
        <w:tc>
          <w:tcPr>
            <w:tcW w:w="4860" w:type="dxa"/>
            <w:vAlign w:val="center"/>
          </w:tcPr>
          <w:p w:rsidR="00492596" w:rsidRPr="00B3443C" w:rsidRDefault="00B31345" w:rsidP="007A7902">
            <w:pPr>
              <w:pStyle w:val="TableParagraph"/>
              <w:ind w:left="27" w:right="32"/>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3443C">
              <w:rPr>
                <w:color w:val="FFFFFF"/>
                <w:sz w:val="20"/>
                <w:szCs w:val="20"/>
              </w:rPr>
              <w:t>Due Process (Non‐Expedited) Complaints</w:t>
            </w:r>
          </w:p>
        </w:tc>
      </w:tr>
      <w:tr w:rsidR="00492596" w:rsidRPr="00B3443C" w:rsidTr="007F2E90">
        <w:trPr>
          <w:cnfStyle w:val="000000100000" w:firstRow="0" w:lastRow="0" w:firstColumn="0" w:lastColumn="0" w:oddVBand="0" w:evenVBand="0" w:oddHBand="1" w:evenHBand="0" w:firstRowFirstColumn="0" w:firstRowLastColumn="0" w:lastRowFirstColumn="0" w:lastRowLastColumn="0"/>
          <w:trHeight w:hRule="exact" w:val="846"/>
        </w:trPr>
        <w:tc>
          <w:tcPr>
            <w:cnfStyle w:val="001000000000" w:firstRow="0" w:lastRow="0" w:firstColumn="1" w:lastColumn="0" w:oddVBand="0" w:evenVBand="0" w:oddHBand="0" w:evenHBand="0" w:firstRowFirstColumn="0" w:firstRowLastColumn="0" w:lastRowFirstColumn="0" w:lastRowLastColumn="0"/>
            <w:tcW w:w="1255" w:type="dxa"/>
            <w:vAlign w:val="center"/>
          </w:tcPr>
          <w:p w:rsidR="00492596" w:rsidRPr="00B3443C" w:rsidRDefault="00B31345" w:rsidP="007A7902">
            <w:pPr>
              <w:pStyle w:val="TableParagraph"/>
              <w:jc w:val="center"/>
              <w:rPr>
                <w:b w:val="0"/>
                <w:sz w:val="20"/>
                <w:szCs w:val="20"/>
              </w:rPr>
            </w:pPr>
            <w:r w:rsidRPr="00B3443C">
              <w:rPr>
                <w:sz w:val="20"/>
                <w:szCs w:val="20"/>
              </w:rPr>
              <w:t>Who can file?</w:t>
            </w:r>
          </w:p>
        </w:tc>
        <w:tc>
          <w:tcPr>
            <w:tcW w:w="3780" w:type="dxa"/>
            <w:vAlign w:val="center"/>
          </w:tcPr>
          <w:p w:rsidR="00492596" w:rsidRPr="00B3443C" w:rsidRDefault="00B3443C" w:rsidP="007A7902">
            <w:pPr>
              <w:pStyle w:val="TableParagraph"/>
              <w:ind w:left="12" w:right="14"/>
              <w:jc w:val="center"/>
              <w:cnfStyle w:val="000000100000" w:firstRow="0" w:lastRow="0" w:firstColumn="0" w:lastColumn="0" w:oddVBand="0" w:evenVBand="0" w:oddHBand="1" w:evenHBand="0" w:firstRowFirstColumn="0" w:firstRowLastColumn="0" w:lastRowFirstColumn="0" w:lastRowLastColumn="0"/>
              <w:rPr>
                <w:sz w:val="20"/>
                <w:szCs w:val="20"/>
              </w:rPr>
            </w:pPr>
            <w:r w:rsidRPr="00B3443C">
              <w:rPr>
                <w:sz w:val="20"/>
                <w:szCs w:val="20"/>
              </w:rPr>
              <w:t>A parent or the Administrative Unit (AU) may request it, but both parties must voluntarily agree to mediation before it can go forward.</w:t>
            </w:r>
          </w:p>
        </w:tc>
        <w:tc>
          <w:tcPr>
            <w:tcW w:w="4500" w:type="dxa"/>
            <w:vAlign w:val="center"/>
          </w:tcPr>
          <w:p w:rsidR="00492596" w:rsidRPr="00B3443C" w:rsidRDefault="00B3443C" w:rsidP="007A7902">
            <w:pPr>
              <w:pStyle w:val="TableParagraph"/>
              <w:ind w:left="6" w:right="9"/>
              <w:jc w:val="center"/>
              <w:cnfStyle w:val="000000100000" w:firstRow="0" w:lastRow="0" w:firstColumn="0" w:lastColumn="0" w:oddVBand="0" w:evenVBand="0" w:oddHBand="1" w:evenHBand="0" w:firstRowFirstColumn="0" w:firstRowLastColumn="0" w:lastRowFirstColumn="0" w:lastRowLastColumn="0"/>
              <w:rPr>
                <w:sz w:val="20"/>
                <w:szCs w:val="20"/>
              </w:rPr>
            </w:pPr>
            <w:r w:rsidRPr="00B3443C">
              <w:rPr>
                <w:sz w:val="20"/>
                <w:szCs w:val="20"/>
              </w:rPr>
              <w:t>Any individual or organization.</w:t>
            </w:r>
          </w:p>
        </w:tc>
        <w:tc>
          <w:tcPr>
            <w:tcW w:w="4860" w:type="dxa"/>
            <w:vAlign w:val="center"/>
          </w:tcPr>
          <w:p w:rsidR="00492596" w:rsidRPr="00B3443C" w:rsidRDefault="00B3443C" w:rsidP="007A7902">
            <w:pPr>
              <w:pStyle w:val="TableParagraph"/>
              <w:ind w:left="27" w:right="32"/>
              <w:jc w:val="center"/>
              <w:cnfStyle w:val="000000100000" w:firstRow="0" w:lastRow="0" w:firstColumn="0" w:lastColumn="0" w:oddVBand="0" w:evenVBand="0" w:oddHBand="1" w:evenHBand="0" w:firstRowFirstColumn="0" w:firstRowLastColumn="0" w:lastRowFirstColumn="0" w:lastRowLastColumn="0"/>
              <w:rPr>
                <w:sz w:val="20"/>
                <w:szCs w:val="20"/>
              </w:rPr>
            </w:pPr>
            <w:r w:rsidRPr="00B3443C">
              <w:rPr>
                <w:sz w:val="20"/>
                <w:szCs w:val="20"/>
              </w:rPr>
              <w:t>Parents or the AU.</w:t>
            </w:r>
          </w:p>
        </w:tc>
      </w:tr>
      <w:tr w:rsidR="00492596" w:rsidRPr="00B3443C" w:rsidTr="00BB304B">
        <w:trPr>
          <w:trHeight w:hRule="exact" w:val="1269"/>
        </w:trPr>
        <w:tc>
          <w:tcPr>
            <w:cnfStyle w:val="001000000000" w:firstRow="0" w:lastRow="0" w:firstColumn="1" w:lastColumn="0" w:oddVBand="0" w:evenVBand="0" w:oddHBand="0" w:evenHBand="0" w:firstRowFirstColumn="0" w:firstRowLastColumn="0" w:lastRowFirstColumn="0" w:lastRowLastColumn="0"/>
            <w:tcW w:w="1255" w:type="dxa"/>
            <w:vAlign w:val="center"/>
          </w:tcPr>
          <w:p w:rsidR="00492596" w:rsidRPr="00B3443C" w:rsidRDefault="00B3443C" w:rsidP="007A7902">
            <w:pPr>
              <w:pStyle w:val="TableParagraph"/>
              <w:jc w:val="center"/>
              <w:rPr>
                <w:color w:val="FFFFFF"/>
                <w:sz w:val="20"/>
                <w:szCs w:val="20"/>
              </w:rPr>
            </w:pPr>
            <w:r w:rsidRPr="00B3443C">
              <w:rPr>
                <w:color w:val="FFFFFF"/>
                <w:sz w:val="20"/>
                <w:szCs w:val="20"/>
              </w:rPr>
              <w:t>For what issues?</w:t>
            </w:r>
          </w:p>
        </w:tc>
        <w:tc>
          <w:tcPr>
            <w:tcW w:w="3780" w:type="dxa"/>
            <w:vAlign w:val="center"/>
          </w:tcPr>
          <w:p w:rsidR="00492596" w:rsidRPr="00B3443C" w:rsidRDefault="00B3443C" w:rsidP="007A7902">
            <w:pPr>
              <w:pStyle w:val="TableParagraph"/>
              <w:ind w:left="12" w:right="14"/>
              <w:jc w:val="center"/>
              <w:cnfStyle w:val="000000000000" w:firstRow="0" w:lastRow="0" w:firstColumn="0" w:lastColumn="0" w:oddVBand="0" w:evenVBand="0" w:oddHBand="0" w:evenHBand="0" w:firstRowFirstColumn="0" w:firstRowLastColumn="0" w:lastRowFirstColumn="0" w:lastRowLastColumn="0"/>
              <w:rPr>
                <w:sz w:val="20"/>
                <w:szCs w:val="20"/>
              </w:rPr>
            </w:pPr>
            <w:r w:rsidRPr="00B3443C">
              <w:rPr>
                <w:sz w:val="20"/>
                <w:szCs w:val="20"/>
              </w:rPr>
              <w:t>Disputes concerning matters protected under the Individuals with Disabilities Education Act (IDEA) or the Exceptional Children’s Educational Act (ECEA).</w:t>
            </w:r>
          </w:p>
        </w:tc>
        <w:tc>
          <w:tcPr>
            <w:tcW w:w="4500" w:type="dxa"/>
            <w:vAlign w:val="center"/>
          </w:tcPr>
          <w:p w:rsidR="00492596" w:rsidRPr="00B3443C" w:rsidRDefault="00B3443C" w:rsidP="007A7902">
            <w:pPr>
              <w:pStyle w:val="TableParagraph"/>
              <w:ind w:left="6" w:right="9"/>
              <w:jc w:val="center"/>
              <w:cnfStyle w:val="000000000000" w:firstRow="0" w:lastRow="0" w:firstColumn="0" w:lastColumn="0" w:oddVBand="0" w:evenVBand="0" w:oddHBand="0" w:evenHBand="0" w:firstRowFirstColumn="0" w:firstRowLastColumn="0" w:lastRowFirstColumn="0" w:lastRowLastColumn="0"/>
              <w:rPr>
                <w:sz w:val="20"/>
                <w:szCs w:val="20"/>
              </w:rPr>
            </w:pPr>
            <w:r w:rsidRPr="00B3443C">
              <w:rPr>
                <w:sz w:val="20"/>
                <w:szCs w:val="20"/>
              </w:rPr>
              <w:t>Any alleged IDEA or ECEA violation that occurred not more than one year prior to the date of a properly filed complaint.</w:t>
            </w:r>
          </w:p>
        </w:tc>
        <w:tc>
          <w:tcPr>
            <w:tcW w:w="4860" w:type="dxa"/>
            <w:vAlign w:val="center"/>
          </w:tcPr>
          <w:p w:rsidR="00492596" w:rsidRPr="00B3443C" w:rsidRDefault="00B3443C" w:rsidP="007A7902">
            <w:pPr>
              <w:pStyle w:val="TableParagraph"/>
              <w:ind w:left="27" w:right="32"/>
              <w:jc w:val="center"/>
              <w:cnfStyle w:val="000000000000" w:firstRow="0" w:lastRow="0" w:firstColumn="0" w:lastColumn="0" w:oddVBand="0" w:evenVBand="0" w:oddHBand="0" w:evenHBand="0" w:firstRowFirstColumn="0" w:firstRowLastColumn="0" w:lastRowFirstColumn="0" w:lastRowLastColumn="0"/>
              <w:rPr>
                <w:sz w:val="20"/>
                <w:szCs w:val="20"/>
              </w:rPr>
            </w:pPr>
            <w:r w:rsidRPr="00B3443C">
              <w:rPr>
                <w:sz w:val="20"/>
                <w:szCs w:val="20"/>
              </w:rPr>
              <w:t>Any alleged IDEA or ECEA violation that occurred within the past two years concerning the identification, evaluation or educational placement of a child with a disability or the provision of a free appropriate public education (FAPE).</w:t>
            </w:r>
          </w:p>
        </w:tc>
      </w:tr>
      <w:tr w:rsidR="00492596" w:rsidRPr="00B3443C" w:rsidTr="00BB304B">
        <w:trPr>
          <w:cnfStyle w:val="000000100000" w:firstRow="0" w:lastRow="0" w:firstColumn="0" w:lastColumn="0" w:oddVBand="0" w:evenVBand="0" w:oddHBand="1" w:evenHBand="0" w:firstRowFirstColumn="0" w:firstRowLastColumn="0" w:lastRowFirstColumn="0" w:lastRowLastColumn="0"/>
          <w:trHeight w:hRule="exact" w:val="671"/>
        </w:trPr>
        <w:tc>
          <w:tcPr>
            <w:cnfStyle w:val="001000000000" w:firstRow="0" w:lastRow="0" w:firstColumn="1" w:lastColumn="0" w:oddVBand="0" w:evenVBand="0" w:oddHBand="0" w:evenHBand="0" w:firstRowFirstColumn="0" w:firstRowLastColumn="0" w:lastRowFirstColumn="0" w:lastRowLastColumn="0"/>
            <w:tcW w:w="1255" w:type="dxa"/>
            <w:vAlign w:val="center"/>
          </w:tcPr>
          <w:p w:rsidR="00492596" w:rsidRPr="00B3443C" w:rsidRDefault="00B3443C" w:rsidP="007A7902">
            <w:pPr>
              <w:pStyle w:val="TableParagraph"/>
              <w:jc w:val="center"/>
              <w:rPr>
                <w:b w:val="0"/>
                <w:sz w:val="20"/>
                <w:szCs w:val="20"/>
              </w:rPr>
            </w:pPr>
            <w:r w:rsidRPr="00B3443C">
              <w:rPr>
                <w:color w:val="FFFFFF"/>
                <w:sz w:val="20"/>
                <w:szCs w:val="20"/>
              </w:rPr>
              <w:t>Cost?</w:t>
            </w:r>
          </w:p>
        </w:tc>
        <w:tc>
          <w:tcPr>
            <w:tcW w:w="3780" w:type="dxa"/>
            <w:vAlign w:val="center"/>
          </w:tcPr>
          <w:p w:rsidR="00492596" w:rsidRPr="00B3443C" w:rsidRDefault="00B3443C" w:rsidP="007A7902">
            <w:pPr>
              <w:pStyle w:val="TableParagraph"/>
              <w:ind w:left="12" w:right="14"/>
              <w:jc w:val="center"/>
              <w:cnfStyle w:val="000000100000" w:firstRow="0" w:lastRow="0" w:firstColumn="0" w:lastColumn="0" w:oddVBand="0" w:evenVBand="0" w:oddHBand="1" w:evenHBand="0" w:firstRowFirstColumn="0" w:firstRowLastColumn="0" w:lastRowFirstColumn="0" w:lastRowLastColumn="0"/>
              <w:rPr>
                <w:sz w:val="20"/>
                <w:szCs w:val="20"/>
              </w:rPr>
            </w:pPr>
            <w:r w:rsidRPr="00B3443C">
              <w:rPr>
                <w:sz w:val="20"/>
                <w:szCs w:val="20"/>
              </w:rPr>
              <w:t>Free to the parties. The Department pays for the Mediator’s services.</w:t>
            </w:r>
          </w:p>
        </w:tc>
        <w:tc>
          <w:tcPr>
            <w:tcW w:w="4500" w:type="dxa"/>
            <w:vAlign w:val="center"/>
          </w:tcPr>
          <w:p w:rsidR="00492596" w:rsidRPr="00B3443C" w:rsidRDefault="00B3443C" w:rsidP="007A7902">
            <w:pPr>
              <w:pStyle w:val="TableParagraph"/>
              <w:ind w:left="6" w:right="9"/>
              <w:jc w:val="center"/>
              <w:cnfStyle w:val="000000100000" w:firstRow="0" w:lastRow="0" w:firstColumn="0" w:lastColumn="0" w:oddVBand="0" w:evenVBand="0" w:oddHBand="1" w:evenHBand="0" w:firstRowFirstColumn="0" w:firstRowLastColumn="0" w:lastRowFirstColumn="0" w:lastRowLastColumn="0"/>
              <w:rPr>
                <w:sz w:val="20"/>
                <w:szCs w:val="20"/>
              </w:rPr>
            </w:pPr>
            <w:r w:rsidRPr="00B3443C">
              <w:rPr>
                <w:sz w:val="20"/>
                <w:szCs w:val="20"/>
              </w:rPr>
              <w:t>No filing fees. Each party must pay for any attorney fees and costs that they incur.</w:t>
            </w:r>
          </w:p>
        </w:tc>
        <w:tc>
          <w:tcPr>
            <w:tcW w:w="4860" w:type="dxa"/>
            <w:vAlign w:val="center"/>
          </w:tcPr>
          <w:p w:rsidR="00492596" w:rsidRPr="00B3443C" w:rsidRDefault="00B3443C" w:rsidP="00B3443C">
            <w:pPr>
              <w:pStyle w:val="TableParagraph"/>
              <w:ind w:left="27" w:right="32"/>
              <w:jc w:val="center"/>
              <w:cnfStyle w:val="000000100000" w:firstRow="0" w:lastRow="0" w:firstColumn="0" w:lastColumn="0" w:oddVBand="0" w:evenVBand="0" w:oddHBand="1" w:evenHBand="0" w:firstRowFirstColumn="0" w:firstRowLastColumn="0" w:lastRowFirstColumn="0" w:lastRowLastColumn="0"/>
              <w:rPr>
                <w:sz w:val="20"/>
                <w:szCs w:val="20"/>
              </w:rPr>
            </w:pPr>
            <w:r w:rsidRPr="00B3443C">
              <w:rPr>
                <w:sz w:val="20"/>
                <w:szCs w:val="20"/>
              </w:rPr>
              <w:t>No filing fees. Each party must pay for any attorney fees and costs that they incur.</w:t>
            </w:r>
          </w:p>
        </w:tc>
      </w:tr>
      <w:tr w:rsidR="00492596" w:rsidRPr="00B3443C" w:rsidTr="00BB304B">
        <w:trPr>
          <w:trHeight w:hRule="exact" w:val="486"/>
        </w:trPr>
        <w:tc>
          <w:tcPr>
            <w:cnfStyle w:val="001000000000" w:firstRow="0" w:lastRow="0" w:firstColumn="1" w:lastColumn="0" w:oddVBand="0" w:evenVBand="0" w:oddHBand="0" w:evenHBand="0" w:firstRowFirstColumn="0" w:firstRowLastColumn="0" w:lastRowFirstColumn="0" w:lastRowLastColumn="0"/>
            <w:tcW w:w="1255" w:type="dxa"/>
            <w:vAlign w:val="center"/>
          </w:tcPr>
          <w:p w:rsidR="00492596" w:rsidRPr="00B3443C" w:rsidRDefault="00B3443C" w:rsidP="007A7902">
            <w:pPr>
              <w:pStyle w:val="TableParagraph"/>
              <w:jc w:val="center"/>
              <w:rPr>
                <w:color w:val="FFFFFF"/>
                <w:sz w:val="20"/>
                <w:szCs w:val="20"/>
              </w:rPr>
            </w:pPr>
            <w:r w:rsidRPr="00B3443C">
              <w:rPr>
                <w:color w:val="FFFFFF"/>
                <w:sz w:val="20"/>
                <w:szCs w:val="20"/>
              </w:rPr>
              <w:t>Who decides?</w:t>
            </w:r>
          </w:p>
        </w:tc>
        <w:tc>
          <w:tcPr>
            <w:tcW w:w="3780" w:type="dxa"/>
            <w:vAlign w:val="center"/>
          </w:tcPr>
          <w:p w:rsidR="00492596" w:rsidRPr="00B3443C" w:rsidRDefault="00B3443C" w:rsidP="007A7902">
            <w:pPr>
              <w:pStyle w:val="TableParagraph"/>
              <w:ind w:left="12" w:right="14"/>
              <w:jc w:val="center"/>
              <w:cnfStyle w:val="000000000000" w:firstRow="0" w:lastRow="0" w:firstColumn="0" w:lastColumn="0" w:oddVBand="0" w:evenVBand="0" w:oddHBand="0" w:evenHBand="0" w:firstRowFirstColumn="0" w:firstRowLastColumn="0" w:lastRowFirstColumn="0" w:lastRowLastColumn="0"/>
              <w:rPr>
                <w:sz w:val="20"/>
                <w:szCs w:val="20"/>
              </w:rPr>
            </w:pPr>
            <w:r w:rsidRPr="00B3443C">
              <w:rPr>
                <w:sz w:val="20"/>
                <w:szCs w:val="20"/>
              </w:rPr>
              <w:t>The parties control the outcome.</w:t>
            </w:r>
          </w:p>
        </w:tc>
        <w:tc>
          <w:tcPr>
            <w:tcW w:w="4500" w:type="dxa"/>
            <w:vAlign w:val="center"/>
          </w:tcPr>
          <w:p w:rsidR="00492596" w:rsidRPr="00B3443C" w:rsidRDefault="00B3443C" w:rsidP="007A7902">
            <w:pPr>
              <w:pStyle w:val="TableParagraph"/>
              <w:ind w:left="6" w:right="9"/>
              <w:jc w:val="center"/>
              <w:cnfStyle w:val="000000000000" w:firstRow="0" w:lastRow="0" w:firstColumn="0" w:lastColumn="0" w:oddVBand="0" w:evenVBand="0" w:oddHBand="0" w:evenHBand="0" w:firstRowFirstColumn="0" w:firstRowLastColumn="0" w:lastRowFirstColumn="0" w:lastRowLastColumn="0"/>
              <w:rPr>
                <w:sz w:val="20"/>
                <w:szCs w:val="20"/>
              </w:rPr>
            </w:pPr>
            <w:r w:rsidRPr="00B3443C">
              <w:rPr>
                <w:sz w:val="20"/>
                <w:szCs w:val="20"/>
              </w:rPr>
              <w:t>The State Complaints Officer (SCO).</w:t>
            </w:r>
          </w:p>
        </w:tc>
        <w:tc>
          <w:tcPr>
            <w:tcW w:w="4860" w:type="dxa"/>
            <w:vAlign w:val="center"/>
          </w:tcPr>
          <w:p w:rsidR="00492596" w:rsidRPr="00B3443C" w:rsidRDefault="00B3443C" w:rsidP="007A7902">
            <w:pPr>
              <w:pStyle w:val="TableParagraph"/>
              <w:ind w:left="27" w:right="32"/>
              <w:jc w:val="center"/>
              <w:cnfStyle w:val="000000000000" w:firstRow="0" w:lastRow="0" w:firstColumn="0" w:lastColumn="0" w:oddVBand="0" w:evenVBand="0" w:oddHBand="0" w:evenHBand="0" w:firstRowFirstColumn="0" w:firstRowLastColumn="0" w:lastRowFirstColumn="0" w:lastRowLastColumn="0"/>
              <w:rPr>
                <w:sz w:val="20"/>
                <w:szCs w:val="20"/>
              </w:rPr>
            </w:pPr>
            <w:r w:rsidRPr="00B3443C">
              <w:rPr>
                <w:sz w:val="20"/>
                <w:szCs w:val="20"/>
              </w:rPr>
              <w:t>The Administrative Law Judge (ALJ).</w:t>
            </w:r>
          </w:p>
        </w:tc>
      </w:tr>
      <w:tr w:rsidR="00492596" w:rsidRPr="00B3443C" w:rsidTr="00BB304B">
        <w:trPr>
          <w:cnfStyle w:val="000000100000" w:firstRow="0" w:lastRow="0" w:firstColumn="0" w:lastColumn="0" w:oddVBand="0" w:evenVBand="0" w:oddHBand="1" w:evenHBand="0" w:firstRowFirstColumn="0" w:firstRowLastColumn="0" w:lastRowFirstColumn="0" w:lastRowLastColumn="0"/>
          <w:trHeight w:hRule="exact" w:val="1308"/>
        </w:trPr>
        <w:tc>
          <w:tcPr>
            <w:cnfStyle w:val="001000000000" w:firstRow="0" w:lastRow="0" w:firstColumn="1" w:lastColumn="0" w:oddVBand="0" w:evenVBand="0" w:oddHBand="0" w:evenHBand="0" w:firstRowFirstColumn="0" w:firstRowLastColumn="0" w:lastRowFirstColumn="0" w:lastRowLastColumn="0"/>
            <w:tcW w:w="1255" w:type="dxa"/>
            <w:vAlign w:val="center"/>
          </w:tcPr>
          <w:p w:rsidR="00492596" w:rsidRPr="00B3443C" w:rsidRDefault="00B3443C" w:rsidP="007A7902">
            <w:pPr>
              <w:pStyle w:val="TableParagraph"/>
              <w:jc w:val="center"/>
              <w:rPr>
                <w:color w:val="FFFFFF"/>
                <w:sz w:val="20"/>
                <w:szCs w:val="20"/>
              </w:rPr>
            </w:pPr>
            <w:r w:rsidRPr="00B3443C">
              <w:rPr>
                <w:color w:val="FFFFFF"/>
                <w:sz w:val="20"/>
                <w:szCs w:val="20"/>
              </w:rPr>
              <w:t>What happens?</w:t>
            </w:r>
          </w:p>
        </w:tc>
        <w:tc>
          <w:tcPr>
            <w:tcW w:w="3780" w:type="dxa"/>
            <w:vAlign w:val="center"/>
          </w:tcPr>
          <w:p w:rsidR="00492596" w:rsidRPr="00B3443C" w:rsidRDefault="00B3443C" w:rsidP="007A7902">
            <w:pPr>
              <w:pStyle w:val="TableParagraph"/>
              <w:ind w:left="12" w:right="14"/>
              <w:jc w:val="center"/>
              <w:cnfStyle w:val="000000100000" w:firstRow="0" w:lastRow="0" w:firstColumn="0" w:lastColumn="0" w:oddVBand="0" w:evenVBand="0" w:oddHBand="1" w:evenHBand="0" w:firstRowFirstColumn="0" w:firstRowLastColumn="0" w:lastRowFirstColumn="0" w:lastRowLastColumn="0"/>
              <w:rPr>
                <w:sz w:val="20"/>
                <w:szCs w:val="20"/>
              </w:rPr>
            </w:pPr>
            <w:r w:rsidRPr="00B3443C">
              <w:rPr>
                <w:sz w:val="20"/>
                <w:szCs w:val="20"/>
              </w:rPr>
              <w:t>An impartial Mediator is assigned to assist the parties in resolving their dispute. The Mediator helps the parties to express their views and positions but remains neutral and does not take the side of either party.</w:t>
            </w:r>
          </w:p>
        </w:tc>
        <w:tc>
          <w:tcPr>
            <w:tcW w:w="4500" w:type="dxa"/>
            <w:vAlign w:val="center"/>
          </w:tcPr>
          <w:p w:rsidR="00492596" w:rsidRPr="00B3443C" w:rsidRDefault="00B3443C" w:rsidP="007A7902">
            <w:pPr>
              <w:pStyle w:val="TableParagraph"/>
              <w:ind w:left="6" w:right="9"/>
              <w:jc w:val="center"/>
              <w:cnfStyle w:val="000000100000" w:firstRow="0" w:lastRow="0" w:firstColumn="0" w:lastColumn="0" w:oddVBand="0" w:evenVBand="0" w:oddHBand="1" w:evenHBand="0" w:firstRowFirstColumn="0" w:firstRowLastColumn="0" w:lastRowFirstColumn="0" w:lastRowLastColumn="0"/>
              <w:rPr>
                <w:sz w:val="20"/>
                <w:szCs w:val="20"/>
              </w:rPr>
            </w:pPr>
            <w:r w:rsidRPr="00B3443C">
              <w:rPr>
                <w:sz w:val="20"/>
                <w:szCs w:val="20"/>
              </w:rPr>
              <w:t>A party files a state complaint and documentation. The other party then files a response. The complaining party can then file a reply to the response. The assigned SCO conducts an investigation, including interviews and review of the relevant documentation.</w:t>
            </w:r>
          </w:p>
        </w:tc>
        <w:tc>
          <w:tcPr>
            <w:tcW w:w="4860" w:type="dxa"/>
            <w:vAlign w:val="center"/>
          </w:tcPr>
          <w:p w:rsidR="00492596" w:rsidRPr="00B3443C" w:rsidRDefault="00B3443C" w:rsidP="007A7902">
            <w:pPr>
              <w:pStyle w:val="TableParagraph"/>
              <w:ind w:left="27" w:right="32"/>
              <w:jc w:val="center"/>
              <w:cnfStyle w:val="000000100000" w:firstRow="0" w:lastRow="0" w:firstColumn="0" w:lastColumn="0" w:oddVBand="0" w:evenVBand="0" w:oddHBand="1" w:evenHBand="0" w:firstRowFirstColumn="0" w:firstRowLastColumn="0" w:lastRowFirstColumn="0" w:lastRowLastColumn="0"/>
              <w:rPr>
                <w:sz w:val="20"/>
                <w:szCs w:val="20"/>
              </w:rPr>
            </w:pPr>
            <w:r w:rsidRPr="00B3443C">
              <w:rPr>
                <w:sz w:val="20"/>
                <w:szCs w:val="20"/>
              </w:rPr>
              <w:t>A party files a due process complaint and documentation. An ALJ is assigned. The AU must conduct a resolution meeting. Any unresolved issu</w:t>
            </w:r>
            <w:r w:rsidR="00BB304B">
              <w:rPr>
                <w:sz w:val="20"/>
                <w:szCs w:val="20"/>
              </w:rPr>
              <w:t xml:space="preserve">es are heard by the ALJ. </w:t>
            </w:r>
            <w:r w:rsidRPr="00B3443C">
              <w:rPr>
                <w:sz w:val="20"/>
                <w:szCs w:val="20"/>
              </w:rPr>
              <w:t>At the hearing, each party presents evidence, gives testimony and cross examines witnesses.</w:t>
            </w:r>
          </w:p>
        </w:tc>
      </w:tr>
      <w:tr w:rsidR="00492596" w:rsidRPr="00B3443C" w:rsidTr="00DC7A36">
        <w:trPr>
          <w:trHeight w:hRule="exact" w:val="1224"/>
        </w:trPr>
        <w:tc>
          <w:tcPr>
            <w:cnfStyle w:val="001000000000" w:firstRow="0" w:lastRow="0" w:firstColumn="1" w:lastColumn="0" w:oddVBand="0" w:evenVBand="0" w:oddHBand="0" w:evenHBand="0" w:firstRowFirstColumn="0" w:firstRowLastColumn="0" w:lastRowFirstColumn="0" w:lastRowLastColumn="0"/>
            <w:tcW w:w="1255" w:type="dxa"/>
            <w:vAlign w:val="center"/>
          </w:tcPr>
          <w:p w:rsidR="00492596" w:rsidRPr="00B3443C" w:rsidRDefault="00B3443C" w:rsidP="007A7902">
            <w:pPr>
              <w:pStyle w:val="TableParagraph"/>
              <w:jc w:val="center"/>
              <w:rPr>
                <w:b w:val="0"/>
                <w:sz w:val="20"/>
                <w:szCs w:val="20"/>
              </w:rPr>
            </w:pPr>
            <w:r w:rsidRPr="00B3443C">
              <w:rPr>
                <w:color w:val="FFFFFF"/>
                <w:sz w:val="20"/>
                <w:szCs w:val="20"/>
              </w:rPr>
              <w:t>Timeline</w:t>
            </w:r>
          </w:p>
        </w:tc>
        <w:tc>
          <w:tcPr>
            <w:tcW w:w="3780" w:type="dxa"/>
            <w:vAlign w:val="center"/>
          </w:tcPr>
          <w:p w:rsidR="00492596" w:rsidRPr="00B3443C" w:rsidRDefault="00B3443C" w:rsidP="007A7902">
            <w:pPr>
              <w:pStyle w:val="TableParagraph"/>
              <w:ind w:left="12" w:right="14"/>
              <w:jc w:val="center"/>
              <w:cnfStyle w:val="000000000000" w:firstRow="0" w:lastRow="0" w:firstColumn="0" w:lastColumn="0" w:oddVBand="0" w:evenVBand="0" w:oddHBand="0" w:evenHBand="0" w:firstRowFirstColumn="0" w:firstRowLastColumn="0" w:lastRowFirstColumn="0" w:lastRowLastColumn="0"/>
              <w:rPr>
                <w:sz w:val="20"/>
                <w:szCs w:val="20"/>
              </w:rPr>
            </w:pPr>
            <w:r w:rsidRPr="00B3443C">
              <w:rPr>
                <w:sz w:val="20"/>
                <w:szCs w:val="20"/>
              </w:rPr>
              <w:t>Mediations must be scheduled in a timely manner. Typically, mediations are completed within 30 calendar days of a mediation request.</w:t>
            </w:r>
          </w:p>
        </w:tc>
        <w:tc>
          <w:tcPr>
            <w:tcW w:w="4500" w:type="dxa"/>
            <w:vAlign w:val="center"/>
          </w:tcPr>
          <w:p w:rsidR="00492596" w:rsidRPr="00B3443C" w:rsidRDefault="00B3443C" w:rsidP="007A7902">
            <w:pPr>
              <w:pStyle w:val="TableParagraph"/>
              <w:ind w:left="6" w:right="9"/>
              <w:jc w:val="center"/>
              <w:cnfStyle w:val="000000000000" w:firstRow="0" w:lastRow="0" w:firstColumn="0" w:lastColumn="0" w:oddVBand="0" w:evenVBand="0" w:oddHBand="0" w:evenHBand="0" w:firstRowFirstColumn="0" w:firstRowLastColumn="0" w:lastRowFirstColumn="0" w:lastRowLastColumn="0"/>
              <w:rPr>
                <w:sz w:val="20"/>
                <w:szCs w:val="20"/>
              </w:rPr>
            </w:pPr>
            <w:r w:rsidRPr="00B3443C">
              <w:rPr>
                <w:sz w:val="20"/>
                <w:szCs w:val="20"/>
              </w:rPr>
              <w:t xml:space="preserve">A written decision is issued within 60 calendar days </w:t>
            </w:r>
            <w:r w:rsidR="007F2E90" w:rsidRPr="00B3443C">
              <w:rPr>
                <w:sz w:val="20"/>
                <w:szCs w:val="20"/>
              </w:rPr>
              <w:t>after a</w:t>
            </w:r>
            <w:r w:rsidRPr="00B3443C">
              <w:rPr>
                <w:sz w:val="20"/>
                <w:szCs w:val="20"/>
              </w:rPr>
              <w:t xml:space="preserve"> properly filed complaint was received by the </w:t>
            </w:r>
            <w:r w:rsidR="007F2E90" w:rsidRPr="00B3443C">
              <w:rPr>
                <w:sz w:val="20"/>
                <w:szCs w:val="20"/>
              </w:rPr>
              <w:t>SCO and</w:t>
            </w:r>
            <w:r w:rsidRPr="00B3443C">
              <w:rPr>
                <w:sz w:val="20"/>
                <w:szCs w:val="20"/>
              </w:rPr>
              <w:t xml:space="preserve"> the AU.</w:t>
            </w:r>
          </w:p>
        </w:tc>
        <w:tc>
          <w:tcPr>
            <w:tcW w:w="4860" w:type="dxa"/>
            <w:vAlign w:val="center"/>
          </w:tcPr>
          <w:p w:rsidR="00492596" w:rsidRPr="00B3443C" w:rsidRDefault="00B3443C" w:rsidP="007A7902">
            <w:pPr>
              <w:pStyle w:val="TableParagraph"/>
              <w:ind w:left="27" w:right="32"/>
              <w:jc w:val="center"/>
              <w:cnfStyle w:val="000000000000" w:firstRow="0" w:lastRow="0" w:firstColumn="0" w:lastColumn="0" w:oddVBand="0" w:evenVBand="0" w:oddHBand="0" w:evenHBand="0" w:firstRowFirstColumn="0" w:firstRowLastColumn="0" w:lastRowFirstColumn="0" w:lastRowLastColumn="0"/>
              <w:rPr>
                <w:sz w:val="20"/>
                <w:szCs w:val="20"/>
              </w:rPr>
            </w:pPr>
            <w:r w:rsidRPr="00B3443C">
              <w:rPr>
                <w:sz w:val="20"/>
                <w:szCs w:val="20"/>
              </w:rPr>
              <w:t xml:space="preserve">The AU must convene a resolution meeting within 15 days of a properly filed complaint. The resolution period may continue for up to 30 days. If no resolution is reached, a hearing must be conducted and a decision issued </w:t>
            </w:r>
            <w:r w:rsidR="007F2E90" w:rsidRPr="00B3443C">
              <w:rPr>
                <w:sz w:val="20"/>
                <w:szCs w:val="20"/>
              </w:rPr>
              <w:t>within 45</w:t>
            </w:r>
            <w:r w:rsidRPr="00B3443C">
              <w:rPr>
                <w:sz w:val="20"/>
                <w:szCs w:val="20"/>
              </w:rPr>
              <w:t xml:space="preserve"> days.</w:t>
            </w:r>
          </w:p>
        </w:tc>
      </w:tr>
      <w:tr w:rsidR="00492596" w:rsidRPr="00B3443C" w:rsidTr="00DC7A36">
        <w:trPr>
          <w:cnfStyle w:val="000000100000" w:firstRow="0" w:lastRow="0" w:firstColumn="0" w:lastColumn="0" w:oddVBand="0" w:evenVBand="0" w:oddHBand="1" w:evenHBand="0" w:firstRowFirstColumn="0" w:firstRowLastColumn="0" w:lastRowFirstColumn="0" w:lastRowLastColumn="0"/>
          <w:trHeight w:hRule="exact" w:val="2061"/>
        </w:trPr>
        <w:tc>
          <w:tcPr>
            <w:cnfStyle w:val="001000000000" w:firstRow="0" w:lastRow="0" w:firstColumn="1" w:lastColumn="0" w:oddVBand="0" w:evenVBand="0" w:oddHBand="0" w:evenHBand="0" w:firstRowFirstColumn="0" w:firstRowLastColumn="0" w:lastRowFirstColumn="0" w:lastRowLastColumn="0"/>
            <w:tcW w:w="1255" w:type="dxa"/>
            <w:vAlign w:val="center"/>
          </w:tcPr>
          <w:p w:rsidR="00B3443C" w:rsidRPr="00B3443C" w:rsidRDefault="00B3443C" w:rsidP="00B3443C">
            <w:pPr>
              <w:pStyle w:val="TableParagraph"/>
              <w:jc w:val="center"/>
              <w:rPr>
                <w:color w:val="FFFFFF"/>
                <w:sz w:val="20"/>
                <w:szCs w:val="20"/>
              </w:rPr>
            </w:pPr>
            <w:r w:rsidRPr="00B3443C">
              <w:rPr>
                <w:color w:val="FFFFFF"/>
                <w:sz w:val="20"/>
                <w:szCs w:val="20"/>
              </w:rPr>
              <w:t>Outcomes</w:t>
            </w:r>
          </w:p>
          <w:p w:rsidR="00492596" w:rsidRPr="00B3443C" w:rsidRDefault="00B3443C" w:rsidP="00B3443C">
            <w:pPr>
              <w:pStyle w:val="TableParagraph"/>
              <w:jc w:val="center"/>
              <w:rPr>
                <w:b w:val="0"/>
                <w:sz w:val="20"/>
                <w:szCs w:val="20"/>
              </w:rPr>
            </w:pPr>
            <w:r w:rsidRPr="00B3443C">
              <w:rPr>
                <w:color w:val="FFFFFF"/>
                <w:sz w:val="20"/>
                <w:szCs w:val="20"/>
              </w:rPr>
              <w:t>&amp; Remedies</w:t>
            </w:r>
            <w:bookmarkStart w:id="0" w:name="_GoBack"/>
            <w:bookmarkEnd w:id="0"/>
          </w:p>
        </w:tc>
        <w:tc>
          <w:tcPr>
            <w:tcW w:w="3780" w:type="dxa"/>
            <w:vAlign w:val="center"/>
          </w:tcPr>
          <w:p w:rsidR="00492596" w:rsidRPr="00B3443C" w:rsidRDefault="00B3443C" w:rsidP="007A7902">
            <w:pPr>
              <w:pStyle w:val="TableParagraph"/>
              <w:ind w:left="12" w:right="14"/>
              <w:jc w:val="center"/>
              <w:cnfStyle w:val="000000100000" w:firstRow="0" w:lastRow="0" w:firstColumn="0" w:lastColumn="0" w:oddVBand="0" w:evenVBand="0" w:oddHBand="1" w:evenHBand="0" w:firstRowFirstColumn="0" w:firstRowLastColumn="0" w:lastRowFirstColumn="0" w:lastRowLastColumn="0"/>
              <w:rPr>
                <w:sz w:val="20"/>
                <w:szCs w:val="20"/>
              </w:rPr>
            </w:pPr>
            <w:r w:rsidRPr="00B3443C">
              <w:rPr>
                <w:sz w:val="20"/>
                <w:szCs w:val="20"/>
              </w:rPr>
              <w:t>To be enforceable, any agreements reached must be reduced to a written settlement agreement and signed by both parties during the mediation. As to unresolved disputes, a party may file a state and/or due process complaint.</w:t>
            </w:r>
          </w:p>
        </w:tc>
        <w:tc>
          <w:tcPr>
            <w:tcW w:w="4500" w:type="dxa"/>
            <w:vAlign w:val="center"/>
          </w:tcPr>
          <w:p w:rsidR="00492596" w:rsidRPr="00B3443C" w:rsidRDefault="00B3443C" w:rsidP="006F6C18">
            <w:pPr>
              <w:pStyle w:val="TableParagraph"/>
              <w:ind w:left="6" w:right="9"/>
              <w:jc w:val="center"/>
              <w:cnfStyle w:val="000000100000" w:firstRow="0" w:lastRow="0" w:firstColumn="0" w:lastColumn="0" w:oddVBand="0" w:evenVBand="0" w:oddHBand="1" w:evenHBand="0" w:firstRowFirstColumn="0" w:firstRowLastColumn="0" w:lastRowFirstColumn="0" w:lastRowLastColumn="0"/>
              <w:rPr>
                <w:sz w:val="20"/>
                <w:szCs w:val="20"/>
              </w:rPr>
            </w:pPr>
            <w:r w:rsidRPr="00B3443C">
              <w:rPr>
                <w:sz w:val="20"/>
                <w:szCs w:val="20"/>
              </w:rPr>
              <w:t>The SCO issues a written decision. If the SCO determines that IDEA violations require remedies, the SCO enters orders that the AU must follow to correct the violations, including, but not limited to, a corrective action plan, compensatory services, reconvening of the IEP meeting, etc. If the SCO determines that no IDEA violations occurred, no remedies are ordered.</w:t>
            </w:r>
          </w:p>
        </w:tc>
        <w:tc>
          <w:tcPr>
            <w:tcW w:w="4860" w:type="dxa"/>
            <w:vAlign w:val="center"/>
          </w:tcPr>
          <w:p w:rsidR="00492596" w:rsidRPr="00B3443C" w:rsidRDefault="00B3443C" w:rsidP="006F6C18">
            <w:pPr>
              <w:pStyle w:val="TableParagraph"/>
              <w:ind w:left="27" w:right="32"/>
              <w:jc w:val="center"/>
              <w:cnfStyle w:val="000000100000" w:firstRow="0" w:lastRow="0" w:firstColumn="0" w:lastColumn="0" w:oddVBand="0" w:evenVBand="0" w:oddHBand="1" w:evenHBand="0" w:firstRowFirstColumn="0" w:firstRowLastColumn="0" w:lastRowFirstColumn="0" w:lastRowLastColumn="0"/>
              <w:rPr>
                <w:sz w:val="20"/>
                <w:szCs w:val="20"/>
              </w:rPr>
            </w:pPr>
            <w:r w:rsidRPr="00B3443C">
              <w:rPr>
                <w:sz w:val="20"/>
                <w:szCs w:val="20"/>
              </w:rPr>
              <w:t>The ALJ issues a written decision. If the ALJ determines that IDEA violations require remedies, the ALJ enters orders that must be taken to correct the violations, including, but not limited to, compensatory services, reconvening of the IEP meeting, etc. If the ALJ determines that no IDEA violations occurred, no remedies are ordered.</w:t>
            </w:r>
          </w:p>
        </w:tc>
      </w:tr>
      <w:tr w:rsidR="00492596" w:rsidRPr="00B3443C" w:rsidTr="00BB304B">
        <w:trPr>
          <w:trHeight w:hRule="exact" w:val="1026"/>
        </w:trPr>
        <w:tc>
          <w:tcPr>
            <w:cnfStyle w:val="001000000000" w:firstRow="0" w:lastRow="0" w:firstColumn="1" w:lastColumn="0" w:oddVBand="0" w:evenVBand="0" w:oddHBand="0" w:evenHBand="0" w:firstRowFirstColumn="0" w:firstRowLastColumn="0" w:lastRowFirstColumn="0" w:lastRowLastColumn="0"/>
            <w:tcW w:w="1255" w:type="dxa"/>
            <w:vAlign w:val="center"/>
          </w:tcPr>
          <w:p w:rsidR="00492596" w:rsidRPr="00B3443C" w:rsidRDefault="00B3443C" w:rsidP="007A7902">
            <w:pPr>
              <w:pStyle w:val="TableParagraph"/>
              <w:jc w:val="center"/>
              <w:rPr>
                <w:b w:val="0"/>
                <w:sz w:val="20"/>
                <w:szCs w:val="20"/>
              </w:rPr>
            </w:pPr>
            <w:r w:rsidRPr="00B3443C">
              <w:rPr>
                <w:color w:val="FFFFFF"/>
                <w:sz w:val="20"/>
                <w:szCs w:val="20"/>
              </w:rPr>
              <w:t>Appeal?</w:t>
            </w:r>
          </w:p>
        </w:tc>
        <w:tc>
          <w:tcPr>
            <w:tcW w:w="3780" w:type="dxa"/>
            <w:vAlign w:val="center"/>
          </w:tcPr>
          <w:p w:rsidR="00492596" w:rsidRPr="00B3443C" w:rsidRDefault="00B3443C" w:rsidP="006F6C18">
            <w:pPr>
              <w:pStyle w:val="TableParagraph"/>
              <w:ind w:left="12" w:right="14"/>
              <w:jc w:val="center"/>
              <w:cnfStyle w:val="000000000000" w:firstRow="0" w:lastRow="0" w:firstColumn="0" w:lastColumn="0" w:oddVBand="0" w:evenVBand="0" w:oddHBand="0" w:evenHBand="0" w:firstRowFirstColumn="0" w:firstRowLastColumn="0" w:lastRowFirstColumn="0" w:lastRowLastColumn="0"/>
              <w:rPr>
                <w:sz w:val="20"/>
                <w:szCs w:val="20"/>
              </w:rPr>
            </w:pPr>
            <w:r w:rsidRPr="00B3443C">
              <w:rPr>
                <w:sz w:val="20"/>
                <w:szCs w:val="20"/>
              </w:rPr>
              <w:t>If a party alleges that a settlement agreement has been breached, that party may seek enforcement of the agreement in state or federal court.</w:t>
            </w:r>
          </w:p>
        </w:tc>
        <w:tc>
          <w:tcPr>
            <w:tcW w:w="4500" w:type="dxa"/>
            <w:vAlign w:val="center"/>
          </w:tcPr>
          <w:p w:rsidR="00492596" w:rsidRPr="00B3443C" w:rsidRDefault="00B3443C" w:rsidP="006F6C18">
            <w:pPr>
              <w:pStyle w:val="TableParagraph"/>
              <w:ind w:left="6" w:right="9"/>
              <w:jc w:val="center"/>
              <w:cnfStyle w:val="000000000000" w:firstRow="0" w:lastRow="0" w:firstColumn="0" w:lastColumn="0" w:oddVBand="0" w:evenVBand="0" w:oddHBand="0" w:evenHBand="0" w:firstRowFirstColumn="0" w:firstRowLastColumn="0" w:lastRowFirstColumn="0" w:lastRowLastColumn="0"/>
              <w:rPr>
                <w:sz w:val="20"/>
                <w:szCs w:val="20"/>
              </w:rPr>
            </w:pPr>
            <w:r w:rsidRPr="00B3443C">
              <w:rPr>
                <w:sz w:val="20"/>
                <w:szCs w:val="20"/>
              </w:rPr>
              <w:t>The SCO’s decision cannot be appealed but either party may file a due process complaint on the same issue(s).</w:t>
            </w:r>
          </w:p>
        </w:tc>
        <w:tc>
          <w:tcPr>
            <w:tcW w:w="4860" w:type="dxa"/>
            <w:vAlign w:val="center"/>
          </w:tcPr>
          <w:p w:rsidR="00492596" w:rsidRPr="00B3443C" w:rsidRDefault="00B3443C" w:rsidP="006F6C18">
            <w:pPr>
              <w:pStyle w:val="TableParagraph"/>
              <w:ind w:left="27" w:right="32"/>
              <w:jc w:val="center"/>
              <w:cnfStyle w:val="000000000000" w:firstRow="0" w:lastRow="0" w:firstColumn="0" w:lastColumn="0" w:oddVBand="0" w:evenVBand="0" w:oddHBand="0" w:evenHBand="0" w:firstRowFirstColumn="0" w:firstRowLastColumn="0" w:lastRowFirstColumn="0" w:lastRowLastColumn="0"/>
              <w:rPr>
                <w:sz w:val="20"/>
                <w:szCs w:val="20"/>
              </w:rPr>
            </w:pPr>
            <w:r w:rsidRPr="00B3443C">
              <w:rPr>
                <w:sz w:val="20"/>
                <w:szCs w:val="20"/>
              </w:rPr>
              <w:t>The ALJ’s decision may be appealed in state or federal district court within 90 days of the date of the decision.</w:t>
            </w:r>
          </w:p>
        </w:tc>
      </w:tr>
    </w:tbl>
    <w:p w:rsidR="00CA4A7A" w:rsidRPr="00B31345" w:rsidRDefault="00CA4A7A"/>
    <w:sectPr w:rsidR="00CA4A7A" w:rsidRPr="00B31345">
      <w:type w:val="continuous"/>
      <w:pgSz w:w="15840" w:h="12240" w:orient="landscape"/>
      <w:pgMar w:top="8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96"/>
    <w:rsid w:val="00003BCE"/>
    <w:rsid w:val="00111F5F"/>
    <w:rsid w:val="003842BF"/>
    <w:rsid w:val="00492596"/>
    <w:rsid w:val="006F6C18"/>
    <w:rsid w:val="007A7902"/>
    <w:rsid w:val="007F2E90"/>
    <w:rsid w:val="00884768"/>
    <w:rsid w:val="00913B3C"/>
    <w:rsid w:val="00A8631B"/>
    <w:rsid w:val="00AF53F0"/>
    <w:rsid w:val="00B31345"/>
    <w:rsid w:val="00B3443C"/>
    <w:rsid w:val="00BB304B"/>
    <w:rsid w:val="00BD5A79"/>
    <w:rsid w:val="00CA4A7A"/>
    <w:rsid w:val="00DC7A36"/>
    <w:rsid w:val="00F6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B2763B7"/>
  <w15:docId w15:val="{B4C3799F-3101-47E2-9EF6-2387BFF1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GridTable5Dark-Accent1">
    <w:name w:val="Grid Table 5 Dark Accent 1"/>
    <w:basedOn w:val="TableNormal"/>
    <w:uiPriority w:val="50"/>
    <w:rsid w:val="00F62D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7820">
      <w:bodyDiv w:val="1"/>
      <w:marLeft w:val="0"/>
      <w:marRight w:val="0"/>
      <w:marTop w:val="0"/>
      <w:marBottom w:val="0"/>
      <w:divBdr>
        <w:top w:val="none" w:sz="0" w:space="0" w:color="auto"/>
        <w:left w:val="none" w:sz="0" w:space="0" w:color="auto"/>
        <w:bottom w:val="none" w:sz="0" w:space="0" w:color="auto"/>
        <w:right w:val="none" w:sz="0" w:space="0" w:color="auto"/>
      </w:divBdr>
    </w:div>
    <w:div w:id="114912905">
      <w:bodyDiv w:val="1"/>
      <w:marLeft w:val="0"/>
      <w:marRight w:val="0"/>
      <w:marTop w:val="0"/>
      <w:marBottom w:val="0"/>
      <w:divBdr>
        <w:top w:val="none" w:sz="0" w:space="0" w:color="auto"/>
        <w:left w:val="none" w:sz="0" w:space="0" w:color="auto"/>
        <w:bottom w:val="none" w:sz="0" w:space="0" w:color="auto"/>
        <w:right w:val="none" w:sz="0" w:space="0" w:color="auto"/>
      </w:divBdr>
    </w:div>
    <w:div w:id="254482041">
      <w:bodyDiv w:val="1"/>
      <w:marLeft w:val="0"/>
      <w:marRight w:val="0"/>
      <w:marTop w:val="0"/>
      <w:marBottom w:val="0"/>
      <w:divBdr>
        <w:top w:val="none" w:sz="0" w:space="0" w:color="auto"/>
        <w:left w:val="none" w:sz="0" w:space="0" w:color="auto"/>
        <w:bottom w:val="none" w:sz="0" w:space="0" w:color="auto"/>
        <w:right w:val="none" w:sz="0" w:space="0" w:color="auto"/>
      </w:divBdr>
    </w:div>
    <w:div w:id="256254850">
      <w:bodyDiv w:val="1"/>
      <w:marLeft w:val="0"/>
      <w:marRight w:val="0"/>
      <w:marTop w:val="0"/>
      <w:marBottom w:val="0"/>
      <w:divBdr>
        <w:top w:val="none" w:sz="0" w:space="0" w:color="auto"/>
        <w:left w:val="none" w:sz="0" w:space="0" w:color="auto"/>
        <w:bottom w:val="none" w:sz="0" w:space="0" w:color="auto"/>
        <w:right w:val="none" w:sz="0" w:space="0" w:color="auto"/>
      </w:divBdr>
    </w:div>
    <w:div w:id="271131389">
      <w:bodyDiv w:val="1"/>
      <w:marLeft w:val="0"/>
      <w:marRight w:val="0"/>
      <w:marTop w:val="0"/>
      <w:marBottom w:val="0"/>
      <w:divBdr>
        <w:top w:val="none" w:sz="0" w:space="0" w:color="auto"/>
        <w:left w:val="none" w:sz="0" w:space="0" w:color="auto"/>
        <w:bottom w:val="none" w:sz="0" w:space="0" w:color="auto"/>
        <w:right w:val="none" w:sz="0" w:space="0" w:color="auto"/>
      </w:divBdr>
    </w:div>
    <w:div w:id="313608071">
      <w:bodyDiv w:val="1"/>
      <w:marLeft w:val="0"/>
      <w:marRight w:val="0"/>
      <w:marTop w:val="0"/>
      <w:marBottom w:val="0"/>
      <w:divBdr>
        <w:top w:val="none" w:sz="0" w:space="0" w:color="auto"/>
        <w:left w:val="none" w:sz="0" w:space="0" w:color="auto"/>
        <w:bottom w:val="none" w:sz="0" w:space="0" w:color="auto"/>
        <w:right w:val="none" w:sz="0" w:space="0" w:color="auto"/>
      </w:divBdr>
    </w:div>
    <w:div w:id="376052973">
      <w:bodyDiv w:val="1"/>
      <w:marLeft w:val="0"/>
      <w:marRight w:val="0"/>
      <w:marTop w:val="0"/>
      <w:marBottom w:val="0"/>
      <w:divBdr>
        <w:top w:val="none" w:sz="0" w:space="0" w:color="auto"/>
        <w:left w:val="none" w:sz="0" w:space="0" w:color="auto"/>
        <w:bottom w:val="none" w:sz="0" w:space="0" w:color="auto"/>
        <w:right w:val="none" w:sz="0" w:space="0" w:color="auto"/>
      </w:divBdr>
    </w:div>
    <w:div w:id="417530581">
      <w:bodyDiv w:val="1"/>
      <w:marLeft w:val="0"/>
      <w:marRight w:val="0"/>
      <w:marTop w:val="0"/>
      <w:marBottom w:val="0"/>
      <w:divBdr>
        <w:top w:val="none" w:sz="0" w:space="0" w:color="auto"/>
        <w:left w:val="none" w:sz="0" w:space="0" w:color="auto"/>
        <w:bottom w:val="none" w:sz="0" w:space="0" w:color="auto"/>
        <w:right w:val="none" w:sz="0" w:space="0" w:color="auto"/>
      </w:divBdr>
    </w:div>
    <w:div w:id="424377369">
      <w:bodyDiv w:val="1"/>
      <w:marLeft w:val="0"/>
      <w:marRight w:val="0"/>
      <w:marTop w:val="0"/>
      <w:marBottom w:val="0"/>
      <w:divBdr>
        <w:top w:val="none" w:sz="0" w:space="0" w:color="auto"/>
        <w:left w:val="none" w:sz="0" w:space="0" w:color="auto"/>
        <w:bottom w:val="none" w:sz="0" w:space="0" w:color="auto"/>
        <w:right w:val="none" w:sz="0" w:space="0" w:color="auto"/>
      </w:divBdr>
    </w:div>
    <w:div w:id="522282459">
      <w:bodyDiv w:val="1"/>
      <w:marLeft w:val="0"/>
      <w:marRight w:val="0"/>
      <w:marTop w:val="0"/>
      <w:marBottom w:val="0"/>
      <w:divBdr>
        <w:top w:val="none" w:sz="0" w:space="0" w:color="auto"/>
        <w:left w:val="none" w:sz="0" w:space="0" w:color="auto"/>
        <w:bottom w:val="none" w:sz="0" w:space="0" w:color="auto"/>
        <w:right w:val="none" w:sz="0" w:space="0" w:color="auto"/>
      </w:divBdr>
    </w:div>
    <w:div w:id="579414005">
      <w:bodyDiv w:val="1"/>
      <w:marLeft w:val="0"/>
      <w:marRight w:val="0"/>
      <w:marTop w:val="0"/>
      <w:marBottom w:val="0"/>
      <w:divBdr>
        <w:top w:val="none" w:sz="0" w:space="0" w:color="auto"/>
        <w:left w:val="none" w:sz="0" w:space="0" w:color="auto"/>
        <w:bottom w:val="none" w:sz="0" w:space="0" w:color="auto"/>
        <w:right w:val="none" w:sz="0" w:space="0" w:color="auto"/>
      </w:divBdr>
    </w:div>
    <w:div w:id="596446486">
      <w:bodyDiv w:val="1"/>
      <w:marLeft w:val="0"/>
      <w:marRight w:val="0"/>
      <w:marTop w:val="0"/>
      <w:marBottom w:val="0"/>
      <w:divBdr>
        <w:top w:val="none" w:sz="0" w:space="0" w:color="auto"/>
        <w:left w:val="none" w:sz="0" w:space="0" w:color="auto"/>
        <w:bottom w:val="none" w:sz="0" w:space="0" w:color="auto"/>
        <w:right w:val="none" w:sz="0" w:space="0" w:color="auto"/>
      </w:divBdr>
    </w:div>
    <w:div w:id="602224643">
      <w:bodyDiv w:val="1"/>
      <w:marLeft w:val="0"/>
      <w:marRight w:val="0"/>
      <w:marTop w:val="0"/>
      <w:marBottom w:val="0"/>
      <w:divBdr>
        <w:top w:val="none" w:sz="0" w:space="0" w:color="auto"/>
        <w:left w:val="none" w:sz="0" w:space="0" w:color="auto"/>
        <w:bottom w:val="none" w:sz="0" w:space="0" w:color="auto"/>
        <w:right w:val="none" w:sz="0" w:space="0" w:color="auto"/>
      </w:divBdr>
    </w:div>
    <w:div w:id="607010524">
      <w:bodyDiv w:val="1"/>
      <w:marLeft w:val="0"/>
      <w:marRight w:val="0"/>
      <w:marTop w:val="0"/>
      <w:marBottom w:val="0"/>
      <w:divBdr>
        <w:top w:val="none" w:sz="0" w:space="0" w:color="auto"/>
        <w:left w:val="none" w:sz="0" w:space="0" w:color="auto"/>
        <w:bottom w:val="none" w:sz="0" w:space="0" w:color="auto"/>
        <w:right w:val="none" w:sz="0" w:space="0" w:color="auto"/>
      </w:divBdr>
    </w:div>
    <w:div w:id="616177774">
      <w:bodyDiv w:val="1"/>
      <w:marLeft w:val="0"/>
      <w:marRight w:val="0"/>
      <w:marTop w:val="0"/>
      <w:marBottom w:val="0"/>
      <w:divBdr>
        <w:top w:val="none" w:sz="0" w:space="0" w:color="auto"/>
        <w:left w:val="none" w:sz="0" w:space="0" w:color="auto"/>
        <w:bottom w:val="none" w:sz="0" w:space="0" w:color="auto"/>
        <w:right w:val="none" w:sz="0" w:space="0" w:color="auto"/>
      </w:divBdr>
    </w:div>
    <w:div w:id="620958966">
      <w:bodyDiv w:val="1"/>
      <w:marLeft w:val="0"/>
      <w:marRight w:val="0"/>
      <w:marTop w:val="0"/>
      <w:marBottom w:val="0"/>
      <w:divBdr>
        <w:top w:val="none" w:sz="0" w:space="0" w:color="auto"/>
        <w:left w:val="none" w:sz="0" w:space="0" w:color="auto"/>
        <w:bottom w:val="none" w:sz="0" w:space="0" w:color="auto"/>
        <w:right w:val="none" w:sz="0" w:space="0" w:color="auto"/>
      </w:divBdr>
    </w:div>
    <w:div w:id="627469109">
      <w:bodyDiv w:val="1"/>
      <w:marLeft w:val="0"/>
      <w:marRight w:val="0"/>
      <w:marTop w:val="0"/>
      <w:marBottom w:val="0"/>
      <w:divBdr>
        <w:top w:val="none" w:sz="0" w:space="0" w:color="auto"/>
        <w:left w:val="none" w:sz="0" w:space="0" w:color="auto"/>
        <w:bottom w:val="none" w:sz="0" w:space="0" w:color="auto"/>
        <w:right w:val="none" w:sz="0" w:space="0" w:color="auto"/>
      </w:divBdr>
    </w:div>
    <w:div w:id="690490098">
      <w:bodyDiv w:val="1"/>
      <w:marLeft w:val="0"/>
      <w:marRight w:val="0"/>
      <w:marTop w:val="0"/>
      <w:marBottom w:val="0"/>
      <w:divBdr>
        <w:top w:val="none" w:sz="0" w:space="0" w:color="auto"/>
        <w:left w:val="none" w:sz="0" w:space="0" w:color="auto"/>
        <w:bottom w:val="none" w:sz="0" w:space="0" w:color="auto"/>
        <w:right w:val="none" w:sz="0" w:space="0" w:color="auto"/>
      </w:divBdr>
    </w:div>
    <w:div w:id="784353609">
      <w:bodyDiv w:val="1"/>
      <w:marLeft w:val="0"/>
      <w:marRight w:val="0"/>
      <w:marTop w:val="0"/>
      <w:marBottom w:val="0"/>
      <w:divBdr>
        <w:top w:val="none" w:sz="0" w:space="0" w:color="auto"/>
        <w:left w:val="none" w:sz="0" w:space="0" w:color="auto"/>
        <w:bottom w:val="none" w:sz="0" w:space="0" w:color="auto"/>
        <w:right w:val="none" w:sz="0" w:space="0" w:color="auto"/>
      </w:divBdr>
    </w:div>
    <w:div w:id="801844277">
      <w:bodyDiv w:val="1"/>
      <w:marLeft w:val="0"/>
      <w:marRight w:val="0"/>
      <w:marTop w:val="0"/>
      <w:marBottom w:val="0"/>
      <w:divBdr>
        <w:top w:val="none" w:sz="0" w:space="0" w:color="auto"/>
        <w:left w:val="none" w:sz="0" w:space="0" w:color="auto"/>
        <w:bottom w:val="none" w:sz="0" w:space="0" w:color="auto"/>
        <w:right w:val="none" w:sz="0" w:space="0" w:color="auto"/>
      </w:divBdr>
    </w:div>
    <w:div w:id="821431628">
      <w:bodyDiv w:val="1"/>
      <w:marLeft w:val="0"/>
      <w:marRight w:val="0"/>
      <w:marTop w:val="0"/>
      <w:marBottom w:val="0"/>
      <w:divBdr>
        <w:top w:val="none" w:sz="0" w:space="0" w:color="auto"/>
        <w:left w:val="none" w:sz="0" w:space="0" w:color="auto"/>
        <w:bottom w:val="none" w:sz="0" w:space="0" w:color="auto"/>
        <w:right w:val="none" w:sz="0" w:space="0" w:color="auto"/>
      </w:divBdr>
    </w:div>
    <w:div w:id="827408035">
      <w:bodyDiv w:val="1"/>
      <w:marLeft w:val="0"/>
      <w:marRight w:val="0"/>
      <w:marTop w:val="0"/>
      <w:marBottom w:val="0"/>
      <w:divBdr>
        <w:top w:val="none" w:sz="0" w:space="0" w:color="auto"/>
        <w:left w:val="none" w:sz="0" w:space="0" w:color="auto"/>
        <w:bottom w:val="none" w:sz="0" w:space="0" w:color="auto"/>
        <w:right w:val="none" w:sz="0" w:space="0" w:color="auto"/>
      </w:divBdr>
    </w:div>
    <w:div w:id="925383092">
      <w:bodyDiv w:val="1"/>
      <w:marLeft w:val="0"/>
      <w:marRight w:val="0"/>
      <w:marTop w:val="0"/>
      <w:marBottom w:val="0"/>
      <w:divBdr>
        <w:top w:val="none" w:sz="0" w:space="0" w:color="auto"/>
        <w:left w:val="none" w:sz="0" w:space="0" w:color="auto"/>
        <w:bottom w:val="none" w:sz="0" w:space="0" w:color="auto"/>
        <w:right w:val="none" w:sz="0" w:space="0" w:color="auto"/>
      </w:divBdr>
    </w:div>
    <w:div w:id="1088040686">
      <w:bodyDiv w:val="1"/>
      <w:marLeft w:val="0"/>
      <w:marRight w:val="0"/>
      <w:marTop w:val="0"/>
      <w:marBottom w:val="0"/>
      <w:divBdr>
        <w:top w:val="none" w:sz="0" w:space="0" w:color="auto"/>
        <w:left w:val="none" w:sz="0" w:space="0" w:color="auto"/>
        <w:bottom w:val="none" w:sz="0" w:space="0" w:color="auto"/>
        <w:right w:val="none" w:sz="0" w:space="0" w:color="auto"/>
      </w:divBdr>
    </w:div>
    <w:div w:id="1138837155">
      <w:bodyDiv w:val="1"/>
      <w:marLeft w:val="0"/>
      <w:marRight w:val="0"/>
      <w:marTop w:val="0"/>
      <w:marBottom w:val="0"/>
      <w:divBdr>
        <w:top w:val="none" w:sz="0" w:space="0" w:color="auto"/>
        <w:left w:val="none" w:sz="0" w:space="0" w:color="auto"/>
        <w:bottom w:val="none" w:sz="0" w:space="0" w:color="auto"/>
        <w:right w:val="none" w:sz="0" w:space="0" w:color="auto"/>
      </w:divBdr>
    </w:div>
    <w:div w:id="1239560055">
      <w:bodyDiv w:val="1"/>
      <w:marLeft w:val="0"/>
      <w:marRight w:val="0"/>
      <w:marTop w:val="0"/>
      <w:marBottom w:val="0"/>
      <w:divBdr>
        <w:top w:val="none" w:sz="0" w:space="0" w:color="auto"/>
        <w:left w:val="none" w:sz="0" w:space="0" w:color="auto"/>
        <w:bottom w:val="none" w:sz="0" w:space="0" w:color="auto"/>
        <w:right w:val="none" w:sz="0" w:space="0" w:color="auto"/>
      </w:divBdr>
    </w:div>
    <w:div w:id="1249463388">
      <w:bodyDiv w:val="1"/>
      <w:marLeft w:val="0"/>
      <w:marRight w:val="0"/>
      <w:marTop w:val="0"/>
      <w:marBottom w:val="0"/>
      <w:divBdr>
        <w:top w:val="none" w:sz="0" w:space="0" w:color="auto"/>
        <w:left w:val="none" w:sz="0" w:space="0" w:color="auto"/>
        <w:bottom w:val="none" w:sz="0" w:space="0" w:color="auto"/>
        <w:right w:val="none" w:sz="0" w:space="0" w:color="auto"/>
      </w:divBdr>
    </w:div>
    <w:div w:id="1406801412">
      <w:bodyDiv w:val="1"/>
      <w:marLeft w:val="0"/>
      <w:marRight w:val="0"/>
      <w:marTop w:val="0"/>
      <w:marBottom w:val="0"/>
      <w:divBdr>
        <w:top w:val="none" w:sz="0" w:space="0" w:color="auto"/>
        <w:left w:val="none" w:sz="0" w:space="0" w:color="auto"/>
        <w:bottom w:val="none" w:sz="0" w:space="0" w:color="auto"/>
        <w:right w:val="none" w:sz="0" w:space="0" w:color="auto"/>
      </w:divBdr>
    </w:div>
    <w:div w:id="1419016534">
      <w:bodyDiv w:val="1"/>
      <w:marLeft w:val="0"/>
      <w:marRight w:val="0"/>
      <w:marTop w:val="0"/>
      <w:marBottom w:val="0"/>
      <w:divBdr>
        <w:top w:val="none" w:sz="0" w:space="0" w:color="auto"/>
        <w:left w:val="none" w:sz="0" w:space="0" w:color="auto"/>
        <w:bottom w:val="none" w:sz="0" w:space="0" w:color="auto"/>
        <w:right w:val="none" w:sz="0" w:space="0" w:color="auto"/>
      </w:divBdr>
    </w:div>
    <w:div w:id="1751535601">
      <w:bodyDiv w:val="1"/>
      <w:marLeft w:val="0"/>
      <w:marRight w:val="0"/>
      <w:marTop w:val="0"/>
      <w:marBottom w:val="0"/>
      <w:divBdr>
        <w:top w:val="none" w:sz="0" w:space="0" w:color="auto"/>
        <w:left w:val="none" w:sz="0" w:space="0" w:color="auto"/>
        <w:bottom w:val="none" w:sz="0" w:space="0" w:color="auto"/>
        <w:right w:val="none" w:sz="0" w:space="0" w:color="auto"/>
      </w:divBdr>
    </w:div>
    <w:div w:id="1766850747">
      <w:bodyDiv w:val="1"/>
      <w:marLeft w:val="0"/>
      <w:marRight w:val="0"/>
      <w:marTop w:val="0"/>
      <w:marBottom w:val="0"/>
      <w:divBdr>
        <w:top w:val="none" w:sz="0" w:space="0" w:color="auto"/>
        <w:left w:val="none" w:sz="0" w:space="0" w:color="auto"/>
        <w:bottom w:val="none" w:sz="0" w:space="0" w:color="auto"/>
        <w:right w:val="none" w:sz="0" w:space="0" w:color="auto"/>
      </w:divBdr>
    </w:div>
    <w:div w:id="1811748283">
      <w:bodyDiv w:val="1"/>
      <w:marLeft w:val="0"/>
      <w:marRight w:val="0"/>
      <w:marTop w:val="0"/>
      <w:marBottom w:val="0"/>
      <w:divBdr>
        <w:top w:val="none" w:sz="0" w:space="0" w:color="auto"/>
        <w:left w:val="none" w:sz="0" w:space="0" w:color="auto"/>
        <w:bottom w:val="none" w:sz="0" w:space="0" w:color="auto"/>
        <w:right w:val="none" w:sz="0" w:space="0" w:color="auto"/>
      </w:divBdr>
    </w:div>
    <w:div w:id="1839153288">
      <w:bodyDiv w:val="1"/>
      <w:marLeft w:val="0"/>
      <w:marRight w:val="0"/>
      <w:marTop w:val="0"/>
      <w:marBottom w:val="0"/>
      <w:divBdr>
        <w:top w:val="none" w:sz="0" w:space="0" w:color="auto"/>
        <w:left w:val="none" w:sz="0" w:space="0" w:color="auto"/>
        <w:bottom w:val="none" w:sz="0" w:space="0" w:color="auto"/>
        <w:right w:val="none" w:sz="0" w:space="0" w:color="auto"/>
      </w:divBdr>
    </w:div>
    <w:div w:id="1896114783">
      <w:bodyDiv w:val="1"/>
      <w:marLeft w:val="0"/>
      <w:marRight w:val="0"/>
      <w:marTop w:val="0"/>
      <w:marBottom w:val="0"/>
      <w:divBdr>
        <w:top w:val="none" w:sz="0" w:space="0" w:color="auto"/>
        <w:left w:val="none" w:sz="0" w:space="0" w:color="auto"/>
        <w:bottom w:val="none" w:sz="0" w:space="0" w:color="auto"/>
        <w:right w:val="none" w:sz="0" w:space="0" w:color="auto"/>
      </w:divBdr>
    </w:div>
    <w:div w:id="1898667787">
      <w:bodyDiv w:val="1"/>
      <w:marLeft w:val="0"/>
      <w:marRight w:val="0"/>
      <w:marTop w:val="0"/>
      <w:marBottom w:val="0"/>
      <w:divBdr>
        <w:top w:val="none" w:sz="0" w:space="0" w:color="auto"/>
        <w:left w:val="none" w:sz="0" w:space="0" w:color="auto"/>
        <w:bottom w:val="none" w:sz="0" w:space="0" w:color="auto"/>
        <w:right w:val="none" w:sz="0" w:space="0" w:color="auto"/>
      </w:divBdr>
    </w:div>
    <w:div w:id="1951276194">
      <w:bodyDiv w:val="1"/>
      <w:marLeft w:val="0"/>
      <w:marRight w:val="0"/>
      <w:marTop w:val="0"/>
      <w:marBottom w:val="0"/>
      <w:divBdr>
        <w:top w:val="none" w:sz="0" w:space="0" w:color="auto"/>
        <w:left w:val="none" w:sz="0" w:space="0" w:color="auto"/>
        <w:bottom w:val="none" w:sz="0" w:space="0" w:color="auto"/>
        <w:right w:val="none" w:sz="0" w:space="0" w:color="auto"/>
      </w:divBdr>
    </w:div>
    <w:div w:id="2059742935">
      <w:bodyDiv w:val="1"/>
      <w:marLeft w:val="0"/>
      <w:marRight w:val="0"/>
      <w:marTop w:val="0"/>
      <w:marBottom w:val="0"/>
      <w:divBdr>
        <w:top w:val="none" w:sz="0" w:space="0" w:color="auto"/>
        <w:left w:val="none" w:sz="0" w:space="0" w:color="auto"/>
        <w:bottom w:val="none" w:sz="0" w:space="0" w:color="auto"/>
        <w:right w:val="none" w:sz="0" w:space="0" w:color="auto"/>
      </w:divBdr>
    </w:div>
    <w:div w:id="208255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134C-EE54-4D2D-8BDC-54C89F02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Newman-Matthews</dc:creator>
  <cp:lastModifiedBy>Newman-Matthews, Peter</cp:lastModifiedBy>
  <cp:revision>9</cp:revision>
  <dcterms:created xsi:type="dcterms:W3CDTF">2017-04-17T20:24:00Z</dcterms:created>
  <dcterms:modified xsi:type="dcterms:W3CDTF">2017-04-17T22:36:00Z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Microsoft® Publisher 2016</vt:lpwstr>
  </property>
  <property fmtid="{D5CDD505-2E9C-101B-9397-08002B2CF9AE}" pid="4" name="LastSaved">
    <vt:filetime>2017-04-17T00:00:00Z</vt:filetime>
  </property>
</Properties>
</file>